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לליאונו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מתאנדרה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הקורקבן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אימפרביוס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צלזיוס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והרטיבו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ויבקיע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לפשעיהם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מיושנת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יצססיב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והעגמומי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ָּ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that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her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head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wasn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skull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בעפעפיהן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