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ותבקשי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בנונשלנטיות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שתכעסי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ותרחיקי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מאויירת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גוטשאלק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מחבב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תמצאי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ומלכלך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ומוגזמות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אייק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אקספליארמוס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אימפדימנטה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אפרקדן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מזגזגת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להתכווצויות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אפיסקי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אבדון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נאמנים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הלונארים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קטארינה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כשהשביעייה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שפרעכצ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נמעכות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"...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נגמרו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מנצחות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טנקסו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