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Scenario 3: Architectural Roadmap and Key Deliverables</w:t>
      </w:r>
    </w:p>
    <w:p>
      <w:r>
        <w:t>The infrastructure engineering team must prioritize the development and validation of these security and performance features:</w:t>
      </w:r>
    </w:p>
    <w:p>
      <w:pPr>
        <w:pStyle w:val="ListBullet"/>
      </w:pPr>
      <w:r>
        <w:t>Implement OAuth2 and OpenID Connect for secure machine-to-machine identity validation.</w:t>
      </w:r>
    </w:p>
    <w:p>
      <w:pPr>
        <w:pStyle w:val="ListBullet"/>
      </w:pPr>
      <w:r>
        <w:t>Deploy highly available Kubernetes pods across multiple distinct geographic cloud regions.</w:t>
      </w:r>
    </w:p>
    <w:p>
      <w:pPr>
        <w:pStyle w:val="ListBullet"/>
      </w:pPr>
      <w:r>
        <w:t>Integrate Model Context Protocol (MCP) servers to allow structural tool-calling capabilities.</w:t>
      </w:r>
    </w:p>
    <w:p>
      <w:pPr>
        <w:pStyle w:val="ListBullet"/>
      </w:pPr>
      <w:r>
        <w:t>Conduct extensive zero-trust network packet analysis under simulated vector database query loads.</w:t>
      </w:r>
    </w:p>
    <w:p>
      <w:r>
        <w:t>Failure to deliver these core components before the semester audit will result in a deployment 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