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5: Combined Corporate Status Report Q2</w:t>
      </w:r>
    </w:p>
    <w:p>
      <w:r>
        <w:t>Executive Summary</w:t>
      </w:r>
    </w:p>
    <w:p>
      <w:r>
        <w:t>The engineering department completed the integration of the vector database abstraction layer ahead of schedule. Performance benchmarks indicate a thirty percent reduction in retrieval latency.</w:t>
      </w:r>
    </w:p>
    <w:p>
      <w:r>
        <w:t>Current System Vulnerabilities</w:t>
      </w:r>
    </w:p>
    <w:p>
      <w:pPr>
        <w:pStyle w:val="ListBullet"/>
      </w:pPr>
      <w:r>
        <w:t>Missing rate limiting infrastructure on the public LLM route endpoint.</w:t>
      </w:r>
    </w:p>
    <w:p>
      <w:pPr>
        <w:pStyle w:val="ListBullet"/>
      </w:pPr>
      <w:r>
        <w:t>Database connection pooling issues under spike workloads.</w:t>
      </w:r>
    </w:p>
    <w:p>
      <w:r>
        <w:t>Next Steps and Operational Milestones</w:t>
      </w:r>
    </w:p>
    <w:p>
      <w:r>
        <w:t>Refactor the routing layer and deploy to the staging cluster by Friday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