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Subclinical</w:t>
      </w:r>
      <w:r>
        <w:t xml:space="preserve"> </w:t>
      </w:r>
      <w:r>
        <w:t xml:space="preserve">OCD</w:t>
      </w:r>
      <w:r>
        <w:t xml:space="preserve"> </w:t>
      </w:r>
      <w:r>
        <w:t xml:space="preserve">and</w:t>
      </w:r>
      <w:r>
        <w:t xml:space="preserve"> </w:t>
      </w:r>
      <w:r>
        <w:t xml:space="preserve">inference</w:t>
      </w:r>
      <w:r>
        <w:t xml:space="preserve"> </w:t>
      </w:r>
      <w:r>
        <w:t xml:space="preserve">about</w:t>
      </w:r>
      <w:r>
        <w:t xml:space="preserve"> </w:t>
      </w:r>
      <w:r>
        <w:t xml:space="preserve">absence</w:t>
      </w:r>
      <w:r>
        <w:t xml:space="preserve"> </w:t>
      </w:r>
      <w:r>
        <w:t xml:space="preserve">in</w:t>
      </w:r>
      <w:r>
        <w:t xml:space="preserve"> </w:t>
      </w:r>
      <w:r>
        <w:t xml:space="preserve">visual</w:t>
      </w:r>
      <w:r>
        <w:t xml:space="preserve"> </w:t>
      </w:r>
      <w:r>
        <w:t xml:space="preserve">search</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Subclinical OCD and inference about absence in visual search</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(Banca et al., 2015; Hauser et al., 2017). Previous studies found that participants with high obsessive compulsive tendencies (OC+) take longer to decide that a target is absent from a visual search array compared to those with low obsessive compulsive tendencies (OC-; Toffolo et al., 2013). These finding have been replicated (Toffolo et al., 2014) and extended to a clinical sample, where they were found to be specific to patients with OCD and absent in those suffering from anxiety (Toffolo et al., 2016).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p>
      <w:pPr>
        <w:pStyle w:val="SourceCode"/>
      </w:pPr>
      <w:r>
        <w:rPr>
          <w:rStyle w:val="VerbatimChar"/>
        </w:rPr>
        <w:t xml:space="preserve">## Warning in left_join(., demo_prolific, by = "subj_id"): Detected an unexpected many-to-many relationship between `x` and `y`.</w:t>
      </w:r>
      <w:r>
        <w:br/>
      </w:r>
      <w:r>
        <w:rPr>
          <w:rStyle w:val="VerbatimChar"/>
        </w:rPr>
        <w:t xml:space="preserve">## i Row 30049 of `x` matches multiple rows in `y`.</w:t>
      </w:r>
      <w:r>
        <w:br/>
      </w:r>
      <w:r>
        <w:rPr>
          <w:rStyle w:val="VerbatimChar"/>
        </w:rPr>
        <w:t xml:space="preserve">## i Row 581 of `y` matches multiple rows in `x`.</w:t>
      </w:r>
      <w:r>
        <w:br/>
      </w:r>
      <w:r>
        <w:rPr>
          <w:rStyle w:val="VerbatimChar"/>
        </w:rPr>
        <w:t xml:space="preserve">## i If a many-to-many relationship is expected, set `relationship =</w:t>
      </w:r>
      <w:r>
        <w:br/>
      </w:r>
      <w:r>
        <w:rPr>
          <w:rStyle w:val="VerbatimChar"/>
        </w:rPr>
        <w:t xml:space="preserve">##   "many-to-many"` to silence this warning.</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Toffolo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(Toffolo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Hayes, &amp; Couch,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1.0.10; Wickham, Fran?ois, Henry, &amp; M?ller,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Mächler, Bolker, &amp; Walker, 2015)</w:t>
      </w:r>
      <w:r>
        <w:t xml:space="preserve">,</w:t>
      </w:r>
      <w:r>
        <w:t xml:space="preserve"> </w:t>
      </w:r>
      <w:r>
        <w:rPr>
          <w:iCs/>
          <w:i/>
        </w:rPr>
        <w:t xml:space="preserve">lmerTest</w:t>
      </w:r>
      <w:r>
        <w:t xml:space="preserve"> </w:t>
      </w:r>
      <w:r>
        <w:t xml:space="preserve">(Version 3.1.2; Kuznetsova, Brockhoff, &amp; Christensen,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Hypothesis 1</w:t>
      </w:r>
      <w:r>
        <w:t xml:space="preserve"> </w:t>
      </w:r>
      <w:r>
        <w:t xml:space="preserve">- To validate our methods and the quality of our data, we will test for a difference in slopes between the two search types (C in O; O in C) beyond the presence of the target (present/absent). We expect to find an overall steeper slopes for O in C search compared to C in O search. To compare these slopes, we will use a one-tailed paired t-test.</w:t>
      </w:r>
    </w:p>
    <w:p>
      <w:pPr>
        <w:pStyle w:val="Textkrper"/>
      </w:pPr>
      <w:r>
        <w:rPr>
          <w:iCs/>
          <w:i/>
        </w:rPr>
        <w:t xml:space="preserve">Hypothesis 2</w:t>
      </w:r>
      <w:r>
        <w:t xml:space="preserve"> </w:t>
      </w:r>
      <w:r>
        <w:t xml:space="preserve">We will test the difference of slopes between O in C in target presence and C in O in target absence. Based on our pilot and paradigm design, we expect to find a steeper slope for O in C in target presence than C in O in target absence. To compare these slopes, we will use a one-tailed paired t-test.</w:t>
      </w:r>
    </w:p>
    <w:p>
      <w:pPr>
        <w:pStyle w:val="Textkrper"/>
      </w:pPr>
      <m:oMath>
        <m:sSub>
          <m:e>
            <m:r>
              <m:t>M</m:t>
            </m:r>
          </m:e>
          <m:sub>
            <m:r>
              <m:t>D</m:t>
            </m:r>
          </m:sub>
        </m:sSub>
        <m:r>
          <m:rPr>
            <m:sty m:val="p"/>
          </m:rPr>
          <m:t>=</m:t>
        </m:r>
        <m:r>
          <m:rPr>
            <m:sty m:val="p"/>
          </m:rPr>
          <m:t>−</m:t>
        </m:r>
        <m:r>
          <m:t>273.48</m:t>
        </m:r>
      </m:oMath>
      <w:r>
        <w:t xml:space="preserve">, 95% CI</w:t>
      </w:r>
      <w:r>
        <w:t xml:space="preserve"> </w:t>
      </w:r>
      <m:oMath>
        <m:d>
          <m:dPr>
            <m:begChr m:val="["/>
            <m:endChr m:val="]"/>
            <m:sepChr m:val=""/>
            <m:grow/>
          </m:dPr>
          <m:e>
            <m:r>
              <m:rPr>
                <m:sty m:val="p"/>
              </m:rPr>
              <m:t>−</m:t>
            </m:r>
            <m:r>
              <m:t>316.25</m:t>
            </m:r>
            <m:r>
              <m:rPr>
                <m:sty m:val="p"/>
              </m:rPr>
              <m:t>,</m:t>
            </m:r>
            <m:r>
              <m:rPr>
                <m:sty m:val="p"/>
              </m:rPr>
              <m:t>−</m:t>
            </m:r>
            <m:r>
              <m:t>230.71</m:t>
            </m:r>
          </m:e>
        </m:d>
      </m:oMath>
      <w:r>
        <w:t xml:space="preserve">,</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w:t>
      </w:r>
      <w:r>
        <w:t xml:space="preserve"> </w:t>
      </w:r>
      <m:oMath>
        <m:sSub>
          <m:e>
            <m:r>
              <m:t>M</m:t>
            </m:r>
          </m:e>
          <m:sub>
            <m:r>
              <m:t>D</m:t>
            </m:r>
          </m:sub>
        </m:sSub>
        <m:r>
          <m:rPr>
            <m:sty m:val="p"/>
          </m:rPr>
          <m:t>=</m:t>
        </m:r>
        <m:r>
          <m:rPr>
            <m:sty m:val="p"/>
          </m:rPr>
          <m:t>−</m:t>
        </m:r>
        <m:r>
          <m:t>273.48</m:t>
        </m:r>
      </m:oMath>
      <w:r>
        <w:t xml:space="preserve">, 95% CI</w:t>
      </w:r>
      <w:r>
        <w:t xml:space="preserve"> </w:t>
      </w:r>
      <m:oMath>
        <m:d>
          <m:dPr>
            <m:begChr m:val="["/>
            <m:endChr m:val="]"/>
            <m:sepChr m:val=""/>
            <m:grow/>
          </m:dPr>
          <m:e>
            <m:r>
              <m:rPr>
                <m:sty m:val="p"/>
              </m:rPr>
              <m:t>−</m:t>
            </m:r>
            <m:r>
              <m:t>316.25</m:t>
            </m:r>
            <m:r>
              <m:rPr>
                <m:sty m:val="p"/>
              </m:rPr>
              <m:t>,</m:t>
            </m:r>
            <m:r>
              <m:rPr>
                <m:sty m:val="p"/>
              </m:rPr>
              <m:t>−</m:t>
            </m:r>
            <m:r>
              <m:t>230.71</m:t>
            </m:r>
          </m:e>
        </m:d>
      </m:oMath>
      <w:r>
        <w:t xml:space="preserve">,</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list(estimate =</w:t>
      </w:r>
      <w:r>
        <w:t xml:space="preserve"> </w:t>
      </w:r>
      <w:r>
        <w:t xml:space="preserve">“</w:t>
      </w:r>
      <w:r>
        <w:t xml:space="preserve">-273.48</w:t>
      </w:r>
      <w:r>
        <w:t xml:space="preserve">”</w:t>
      </w:r>
      <w:r>
        <w:t xml:space="preserve">, conf.int =</w:t>
      </w:r>
      <w:r>
        <w:t xml:space="preserve"> </w:t>
      </w:r>
      <w:r>
        <w:t xml:space="preserve">“</w:t>
      </w:r>
      <w:r>
        <w:t xml:space="preserve">[-316.25, -230.71]</w:t>
      </w:r>
      <w:r>
        <w:t xml:space="preserve">”</w:t>
      </w:r>
      <w:r>
        <w:t xml:space="preserve">, statistic =</w:t>
      </w:r>
      <w:r>
        <w:t xml:space="preserve"> </w:t>
      </w:r>
      <w:r>
        <w:t xml:space="preserve">“</w:t>
      </w:r>
      <w:r>
        <w:t xml:space="preserve">-12.55</w:t>
      </w:r>
      <w:r>
        <w:t xml:space="preserve">”</w:t>
      </w:r>
      <w:r>
        <w:t xml:space="preserve">, df =</w:t>
      </w:r>
      <w:r>
        <w:t xml:space="preserve"> </w:t>
      </w:r>
      <w:r>
        <w:t xml:space="preserve">“</w:t>
      </w:r>
      <w:r>
        <w:t xml:space="preserve">897</w:t>
      </w:r>
      <w:r>
        <w:t xml:space="preserve">”</w:t>
      </w:r>
      <w:r>
        <w:t xml:space="preserve">, p.value =</w:t>
      </w:r>
      <w:r>
        <w:t xml:space="preserve"> </w:t>
      </w:r>
      <w:r>
        <w:t xml:space="preserve">“</w:t>
      </w:r>
      <w:r>
        <w:t xml:space="preserve">&lt; .001</w:t>
      </w:r>
      <w:r>
        <w:t xml:space="preserve">”</w:t>
      </w:r>
      <w:r>
        <w:t xml:space="preserve">)</w:t>
      </w:r>
    </w:p>
    <w:p>
      <w:pPr>
        <w:pStyle w:val="Textkrper"/>
      </w:pPr>
      <w:r>
        <w:t xml:space="preserve">In line with our hypothesis, search slopes for the easy absent search were less steep than search slopes in the hard present condition.</w:t>
      </w:r>
    </w:p>
    <w:bookmarkEnd w:id="25"/>
    <w:bookmarkStart w:id="26" w:name="discussion"/>
    <w:p>
      <w:pPr>
        <w:pStyle w:val="berschrift1"/>
      </w:pPr>
      <w:r>
        <w:t xml:space="preserve">Discussion</w:t>
      </w:r>
    </w:p>
    <w:p>
      <w:r>
        <w:br w:type="page"/>
      </w:r>
    </w:p>
    <w:bookmarkEnd w:id="26"/>
    <w:bookmarkStart w:id="87" w:name="references"/>
    <w:p>
      <w:pPr>
        <w:pStyle w:val="berschrift1"/>
      </w:pPr>
      <w:r>
        <w:t xml:space="preserve">References</w:t>
      </w:r>
    </w:p>
    <w:bookmarkStart w:id="86" w:name="refs"/>
    <w:bookmarkStart w:id="2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27">
        <w:r>
          <w:rPr>
            <w:rStyle w:val="Hyperlink"/>
          </w:rPr>
          <w:t xml:space="preserve">https://github.com/crsh/citr</w:t>
        </w:r>
      </w:hyperlink>
    </w:p>
    <w:bookmarkEnd w:id="28"/>
    <w:bookmarkStart w:id="3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29">
        <w:r>
          <w:rPr>
            <w:rStyle w:val="Hyperlink"/>
          </w:rPr>
          <w:t xml:space="preserve">https://github.com/crsh/papaja</w:t>
        </w:r>
      </w:hyperlink>
    </w:p>
    <w:bookmarkEnd w:id="30"/>
    <w:bookmarkStart w:id="32"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1">
        <w:r>
          <w:rPr>
            <w:rStyle w:val="Hyperlink"/>
          </w:rPr>
          <w:t xml:space="preserve">https://cran.r-project.org/package=tinylabels</w:t>
        </w:r>
      </w:hyperlink>
    </w:p>
    <w:bookmarkEnd w:id="32"/>
    <w:bookmarkStart w:id="34"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3">
        <w:r>
          <w:rPr>
            <w:rStyle w:val="Hyperlink"/>
          </w:rPr>
          <w:t xml:space="preserve">https://doi.org/10.18637/jss.v067.i01</w:t>
        </w:r>
      </w:hyperlink>
    </w:p>
    <w:bookmarkEnd w:id="34"/>
    <w:bookmarkStart w:id="36"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35">
        <w:r>
          <w:rPr>
            <w:rStyle w:val="Hyperlink"/>
          </w:rPr>
          <w:t xml:space="preserve">https://CRAN.R-project.org/package=Matrix</w:t>
        </w:r>
      </w:hyperlink>
    </w:p>
    <w:bookmarkEnd w:id="36"/>
    <w:bookmarkStart w:id="38"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37">
        <w:r>
          <w:rPr>
            <w:rStyle w:val="Hyperlink"/>
          </w:rPr>
          <w:t xml:space="preserve">https://CRAN.R-project.org/package=piggyback</w:t>
        </w:r>
      </w:hyperlink>
    </w:p>
    <w:bookmarkEnd w:id="38"/>
    <w:bookmarkStart w:id="40"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39">
        <w:r>
          <w:rPr>
            <w:rStyle w:val="Hyperlink"/>
          </w:rPr>
          <w:t xml:space="preserve">https://CRAN.R-project.org/package=shiny</w:t>
        </w:r>
      </w:hyperlink>
    </w:p>
    <w:bookmarkEnd w:id="40"/>
    <w:bookmarkStart w:id="42"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1">
        <w:r>
          <w:rPr>
            <w:rStyle w:val="Hyperlink"/>
          </w:rPr>
          <w:t xml:space="preserve">https://CRAN.R-project.org/package=purrr</w:t>
        </w:r>
      </w:hyperlink>
    </w:p>
    <w:bookmarkEnd w:id="42"/>
    <w:bookmarkStart w:id="44"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43">
        <w:r>
          <w:rPr>
            <w:rStyle w:val="Hyperlink"/>
          </w:rPr>
          <w:t xml:space="preserve">https://CRAN.R-project.org/package=ggpubr</w:t>
        </w:r>
      </w:hyperlink>
    </w:p>
    <w:bookmarkEnd w:id="44"/>
    <w:bookmarkStart w:id="46"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45">
        <w:r>
          <w:rPr>
            <w:rStyle w:val="Hyperlink"/>
          </w:rPr>
          <w:t xml:space="preserve">https://CRAN.R-project.org/package=caret</w:t>
        </w:r>
      </w:hyperlink>
    </w:p>
    <w:bookmarkEnd w:id="46"/>
    <w:bookmarkStart w:id="48"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47">
        <w:r>
          <w:rPr>
            <w:rStyle w:val="Hyperlink"/>
          </w:rPr>
          <w:t xml:space="preserve">https://doi.org/10.18637/jss.v082.i13</w:t>
        </w:r>
      </w:hyperlink>
    </w:p>
    <w:bookmarkEnd w:id="48"/>
    <w:bookmarkStart w:id="49"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9"/>
    <w:bookmarkStart w:id="51"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50">
        <w:r>
          <w:rPr>
            <w:rStyle w:val="Hyperlink"/>
          </w:rPr>
          <w:t xml:space="preserve">https://CRAN.R-project.org/package=tibble</w:t>
        </w:r>
      </w:hyperlink>
    </w:p>
    <w:bookmarkEnd w:id="51"/>
    <w:bookmarkStart w:id="53"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52">
        <w:r>
          <w:rPr>
            <w:rStyle w:val="Hyperlink"/>
          </w:rPr>
          <w:t xml:space="preserve">https://doi.org/10.1007/b98882</w:t>
        </w:r>
      </w:hyperlink>
    </w:p>
    <w:bookmarkEnd w:id="53"/>
    <w:bookmarkStart w:id="55"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4">
        <w:r>
          <w:rPr>
            <w:rStyle w:val="Hyperlink"/>
          </w:rPr>
          <w:t xml:space="preserve">https://www.R-project.org/</w:t>
        </w:r>
      </w:hyperlink>
    </w:p>
    <w:bookmarkEnd w:id="55"/>
    <w:bookmarkStart w:id="56"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56"/>
    <w:bookmarkStart w:id="58"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57">
        <w:r>
          <w:rPr>
            <w:rStyle w:val="Hyperlink"/>
          </w:rPr>
          <w:t xml:space="preserve">https://books.google.co.il/books?id=AGHXzgEACAAJ</w:t>
        </w:r>
      </w:hyperlink>
    </w:p>
    <w:bookmarkEnd w:id="58"/>
    <w:bookmarkStart w:id="59"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59"/>
    <w:bookmarkStart w:id="61"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60">
        <w:r>
          <w:rPr>
            <w:rStyle w:val="Hyperlink"/>
          </w:rPr>
          <w:t xml:space="preserve">http://lmdvr.r-forge.r-project.org</w:t>
        </w:r>
      </w:hyperlink>
    </w:p>
    <w:bookmarkEnd w:id="61"/>
    <w:bookmarkStart w:id="63"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62">
        <w:r>
          <w:rPr>
            <w:rStyle w:val="Hyperlink"/>
          </w:rPr>
          <w:t xml:space="preserve">https://CRAN.R-project.org/package=GGally</w:t>
        </w:r>
      </w:hyperlink>
    </w:p>
    <w:bookmarkEnd w:id="63"/>
    <w:bookmarkStart w:id="64" w:name="ref-shapiroNeuroticStyles1965"/>
    <w:p>
      <w:pPr>
        <w:pStyle w:val="Literaturverzeichnis"/>
      </w:pPr>
      <w:r>
        <w:t xml:space="preserve">Shapiro, D. (1965).</w:t>
      </w:r>
      <w:r>
        <w:t xml:space="preserve"> </w:t>
      </w:r>
      <w:r>
        <w:rPr>
          <w:iCs/>
          <w:i/>
        </w:rPr>
        <w:t xml:space="preserve">Neurotic styles.</w:t>
      </w:r>
    </w:p>
    <w:bookmarkEnd w:id="64"/>
    <w:bookmarkStart w:id="65"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65"/>
    <w:bookmarkStart w:id="67"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66">
        <w:r>
          <w:rPr>
            <w:rStyle w:val="Hyperlink"/>
          </w:rPr>
          <w:t xml:space="preserve">https://ggplot2.tidyverse.org</w:t>
        </w:r>
      </w:hyperlink>
    </w:p>
    <w:bookmarkEnd w:id="67"/>
    <w:bookmarkStart w:id="69"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68">
        <w:r>
          <w:rPr>
            <w:rStyle w:val="Hyperlink"/>
          </w:rPr>
          <w:t xml:space="preserve">https://CRAN.R-project.org/package=stringr</w:t>
        </w:r>
      </w:hyperlink>
    </w:p>
    <w:bookmarkEnd w:id="69"/>
    <w:bookmarkStart w:id="71"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70">
        <w:r>
          <w:rPr>
            <w:rStyle w:val="Hyperlink"/>
          </w:rPr>
          <w:t xml:space="preserve">https://CRAN.R-project.org/package=forcats</w:t>
        </w:r>
      </w:hyperlink>
    </w:p>
    <w:bookmarkEnd w:id="71"/>
    <w:bookmarkStart w:id="73"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72">
        <w:r>
          <w:rPr>
            <w:rStyle w:val="Hyperlink"/>
          </w:rPr>
          <w:t xml:space="preserve">https://CRAN.R-project.org/package=tidyr</w:t>
        </w:r>
      </w:hyperlink>
    </w:p>
    <w:bookmarkEnd w:id="73"/>
    <w:bookmarkStart w:id="75"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4">
        <w:r>
          <w:rPr>
            <w:rStyle w:val="Hyperlink"/>
          </w:rPr>
          <w:t xml:space="preserve">https://doi.org/10.21105/joss.01686</w:t>
        </w:r>
      </w:hyperlink>
    </w:p>
    <w:bookmarkEnd w:id="75"/>
    <w:bookmarkStart w:id="77"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76">
        <w:r>
          <w:rPr>
            <w:rStyle w:val="Hyperlink"/>
          </w:rPr>
          <w:t xml:space="preserve">https://CRAN.R-project.org/package=usethis</w:t>
        </w:r>
      </w:hyperlink>
    </w:p>
    <w:bookmarkEnd w:id="77"/>
    <w:bookmarkStart w:id="79"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78">
        <w:r>
          <w:rPr>
            <w:rStyle w:val="Hyperlink"/>
          </w:rPr>
          <w:t xml:space="preserve">https://CRAN.R-project.org/package=dplyr</w:t>
        </w:r>
      </w:hyperlink>
    </w:p>
    <w:bookmarkEnd w:id="79"/>
    <w:bookmarkStart w:id="81"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80">
        <w:r>
          <w:rPr>
            <w:rStyle w:val="Hyperlink"/>
          </w:rPr>
          <w:t xml:space="preserve">https://CRAN.R-project.org/package=readr</w:t>
        </w:r>
      </w:hyperlink>
    </w:p>
    <w:bookmarkEnd w:id="81"/>
    <w:bookmarkStart w:id="83"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82">
        <w:r>
          <w:rPr>
            <w:rStyle w:val="Hyperlink"/>
          </w:rPr>
          <w:t xml:space="preserve">https://CRAN.R-project.org/package=devtools</w:t>
        </w:r>
      </w:hyperlink>
    </w:p>
    <w:bookmarkEnd w:id="83"/>
    <w:bookmarkStart w:id="85"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84">
        <w:r>
          <w:rPr>
            <w:rStyle w:val="Hyperlink"/>
          </w:rPr>
          <w:t xml:space="preserve">https://CRAN.R-project.org/package=cowplot</w:t>
        </w:r>
      </w:hyperlink>
    </w:p>
    <w:bookmarkEnd w:id="85"/>
    <w:bookmarkEnd w:id="86"/>
    <w:bookmarkEnd w:id="8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SUBCLINICAL OCD VISUAL SEARCH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SUBCLINICAL OCD VISUAL SEARCH </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0" Target="http://lmdvr.r-forge.r-project.org" TargetMode="External" /><Relationship Type="http://schemas.openxmlformats.org/officeDocument/2006/relationships/hyperlink" Id="rId62" Target="https://CRAN.R-project.org/package=GGally" TargetMode="External" /><Relationship Type="http://schemas.openxmlformats.org/officeDocument/2006/relationships/hyperlink" Id="rId35" Target="https://CRAN.R-project.org/package=Matrix" TargetMode="External" /><Relationship Type="http://schemas.openxmlformats.org/officeDocument/2006/relationships/hyperlink" Id="rId45" Target="https://CRAN.R-project.org/package=caret" TargetMode="External" /><Relationship Type="http://schemas.openxmlformats.org/officeDocument/2006/relationships/hyperlink" Id="rId84" Target="https://CRAN.R-project.org/package=cowplot" TargetMode="External" /><Relationship Type="http://schemas.openxmlformats.org/officeDocument/2006/relationships/hyperlink" Id="rId82" Target="https://CRAN.R-project.org/package=devtools" TargetMode="External" /><Relationship Type="http://schemas.openxmlformats.org/officeDocument/2006/relationships/hyperlink" Id="rId78" Target="https://CRAN.R-project.org/package=dplyr" TargetMode="External" /><Relationship Type="http://schemas.openxmlformats.org/officeDocument/2006/relationships/hyperlink" Id="rId70" Target="https://CRAN.R-project.org/package=forcats" TargetMode="External" /><Relationship Type="http://schemas.openxmlformats.org/officeDocument/2006/relationships/hyperlink" Id="rId43" Target="https://CRAN.R-project.org/package=ggpubr" TargetMode="External" /><Relationship Type="http://schemas.openxmlformats.org/officeDocument/2006/relationships/hyperlink" Id="rId37" Target="https://CRAN.R-project.org/package=piggyback" TargetMode="External" /><Relationship Type="http://schemas.openxmlformats.org/officeDocument/2006/relationships/hyperlink" Id="rId41"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39" Target="https://CRAN.R-project.org/package=shiny" TargetMode="External" /><Relationship Type="http://schemas.openxmlformats.org/officeDocument/2006/relationships/hyperlink" Id="rId68"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72" Target="https://CRAN.R-project.org/package=tidyr" TargetMode="External" /><Relationship Type="http://schemas.openxmlformats.org/officeDocument/2006/relationships/hyperlink" Id="rId76" Target="https://CRAN.R-project.org/package=usethis" TargetMode="External" /><Relationship Type="http://schemas.openxmlformats.org/officeDocument/2006/relationships/hyperlink" Id="rId57" Target="https://books.google.co.il/books?id=AGHXzgEACAAJ" TargetMode="External" /><Relationship Type="http://schemas.openxmlformats.org/officeDocument/2006/relationships/hyperlink" Id="rId31" Target="https://cran.r-project.org/package=tinylabels" TargetMode="External" /><Relationship Type="http://schemas.openxmlformats.org/officeDocument/2006/relationships/hyperlink" Id="rId52" Target="https://doi.org/10.1007/b98882" TargetMode="External" /><Relationship Type="http://schemas.openxmlformats.org/officeDocument/2006/relationships/hyperlink" Id="rId33" Target="https://doi.org/10.18637/jss.v067.i01" TargetMode="External" /><Relationship Type="http://schemas.openxmlformats.org/officeDocument/2006/relationships/hyperlink" Id="rId47" Target="https://doi.org/10.18637/jss.v082.i13" TargetMode="External" /><Relationship Type="http://schemas.openxmlformats.org/officeDocument/2006/relationships/hyperlink" Id="rId74" Target="https://doi.org/10.21105/joss.01686" TargetMode="External" /><Relationship Type="http://schemas.openxmlformats.org/officeDocument/2006/relationships/hyperlink" Id="rId66"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60" Target="http://lmdvr.r-forge.r-project.org" TargetMode="External" /><Relationship Type="http://schemas.openxmlformats.org/officeDocument/2006/relationships/hyperlink" Id="rId62" Target="https://CRAN.R-project.org/package=GGally" TargetMode="External" /><Relationship Type="http://schemas.openxmlformats.org/officeDocument/2006/relationships/hyperlink" Id="rId35" Target="https://CRAN.R-project.org/package=Matrix" TargetMode="External" /><Relationship Type="http://schemas.openxmlformats.org/officeDocument/2006/relationships/hyperlink" Id="rId45" Target="https://CRAN.R-project.org/package=caret" TargetMode="External" /><Relationship Type="http://schemas.openxmlformats.org/officeDocument/2006/relationships/hyperlink" Id="rId84" Target="https://CRAN.R-project.org/package=cowplot" TargetMode="External" /><Relationship Type="http://schemas.openxmlformats.org/officeDocument/2006/relationships/hyperlink" Id="rId82" Target="https://CRAN.R-project.org/package=devtools" TargetMode="External" /><Relationship Type="http://schemas.openxmlformats.org/officeDocument/2006/relationships/hyperlink" Id="rId78" Target="https://CRAN.R-project.org/package=dplyr" TargetMode="External" /><Relationship Type="http://schemas.openxmlformats.org/officeDocument/2006/relationships/hyperlink" Id="rId70" Target="https://CRAN.R-project.org/package=forcats" TargetMode="External" /><Relationship Type="http://schemas.openxmlformats.org/officeDocument/2006/relationships/hyperlink" Id="rId43" Target="https://CRAN.R-project.org/package=ggpubr" TargetMode="External" /><Relationship Type="http://schemas.openxmlformats.org/officeDocument/2006/relationships/hyperlink" Id="rId37" Target="https://CRAN.R-project.org/package=piggyback" TargetMode="External" /><Relationship Type="http://schemas.openxmlformats.org/officeDocument/2006/relationships/hyperlink" Id="rId41"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39" Target="https://CRAN.R-project.org/package=shiny" TargetMode="External" /><Relationship Type="http://schemas.openxmlformats.org/officeDocument/2006/relationships/hyperlink" Id="rId68"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72" Target="https://CRAN.R-project.org/package=tidyr" TargetMode="External" /><Relationship Type="http://schemas.openxmlformats.org/officeDocument/2006/relationships/hyperlink" Id="rId76" Target="https://CRAN.R-project.org/package=usethis" TargetMode="External" /><Relationship Type="http://schemas.openxmlformats.org/officeDocument/2006/relationships/hyperlink" Id="rId57" Target="https://books.google.co.il/books?id=AGHXzgEACAAJ" TargetMode="External" /><Relationship Type="http://schemas.openxmlformats.org/officeDocument/2006/relationships/hyperlink" Id="rId31" Target="https://cran.r-project.org/package=tinylabels" TargetMode="External" /><Relationship Type="http://schemas.openxmlformats.org/officeDocument/2006/relationships/hyperlink" Id="rId52" Target="https://doi.org/10.1007/b98882" TargetMode="External" /><Relationship Type="http://schemas.openxmlformats.org/officeDocument/2006/relationships/hyperlink" Id="rId33" Target="https://doi.org/10.18637/jss.v067.i01" TargetMode="External" /><Relationship Type="http://schemas.openxmlformats.org/officeDocument/2006/relationships/hyperlink" Id="rId47" Target="https://doi.org/10.18637/jss.v082.i13" TargetMode="External" /><Relationship Type="http://schemas.openxmlformats.org/officeDocument/2006/relationships/hyperlink" Id="rId74" Target="https://doi.org/10.21105/joss.01686" TargetMode="External" /><Relationship Type="http://schemas.openxmlformats.org/officeDocument/2006/relationships/hyperlink" Id="rId66"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Subclinical OCD and inference about absence in visual search</dc:title>
  <dc:creator/>
  <cp:keywords/>
  <dcterms:created xsi:type="dcterms:W3CDTF">2023-07-10T18:03:06Z</dcterms:created>
  <dcterms:modified xsi:type="dcterms:W3CDTF">2023-07-10T18:03:06Z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r-references_full_paper.bib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Subclinical OCD visual search</vt:lpwstr>
  </property>
  <property fmtid="{D5CDD505-2E9C-101B-9397-08002B2CF9AE}" pid="14" name="tablelist">
    <vt:lpwstr>False</vt:lpwstr>
  </property>
</Properties>
</file>