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Obsessive</w:t>
      </w:r>
      <w:r>
        <w:t xml:space="preserve"> </w:t>
      </w:r>
      <w:r>
        <w:t xml:space="preserve">Compulsive</w:t>
      </w:r>
      <w:r>
        <w:t xml:space="preserve"> </w:t>
      </w:r>
      <w:r>
        <w:t xml:space="preserve">visual</w:t>
      </w:r>
      <w:r>
        <w:t xml:space="preserve"> </w:t>
      </w:r>
      <w:r>
        <w:t xml:space="preserve">search:</w:t>
      </w:r>
      <w:r>
        <w:t xml:space="preserve"> </w:t>
      </w:r>
      <w:r>
        <w:t xml:space="preserve">a</w:t>
      </w:r>
      <w:r>
        <w:t xml:space="preserve"> </w:t>
      </w:r>
      <w:r>
        <w:t xml:space="preserve">reexamination</w:t>
      </w:r>
      <w:r>
        <w:t xml:space="preserve"> </w:t>
      </w:r>
      <w:r>
        <w:t xml:space="preserve">of</w:t>
      </w:r>
      <w:r>
        <w:t xml:space="preserve"> </w:t>
      </w:r>
      <w:r>
        <w:t xml:space="preserve">presence-absence</w:t>
      </w:r>
      <w:r>
        <w:t xml:space="preserve"> </w:t>
      </w:r>
      <w:r>
        <w:t xml:space="preserve">asymmetries</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 previous research, obsessive-compulsive (OC) tendencies were associated with longer search times in a visual search setting.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pPr>
        <w:pStyle w:val="h1-pagebreak"/>
      </w:pPr>
      <w:r>
        <w:t xml:space="preserve">Obsessive Compulsive visual search: a reexamination of presence-absence asymmetries</w:t>
      </w:r>
    </w:p>
    <w:p>
      <w:pPr>
        <w:pStyle w:val="Textkrper"/>
      </w:pPr>
      <w:r>
        <w:t xml:space="preserve">Theories on obsessive-compulsive disorder (OCD) emphasize the pivotal role of pathological doubt in the disorder’s phenomenology</w:t>
      </w:r>
      <w:r>
        <w:t xml:space="preserve"> </w:t>
      </w:r>
      <w:r>
        <w:t xml:space="preserve">(Rasmussen &amp; Eisen, 1989; Reed, 1985; Shapiro, 1965)</w:t>
      </w:r>
      <w:r>
        <w:t xml:space="preserve">. This persistent doubt, marked by increased uncertainty, gives rise to repetitive checking rituals that, paradoxically, serve to intensify the doubt itself. In laboratory perceptual studies, checking behavior is commonly manifested in slow reaction times, as OC participants require more evidence under high uncertainty [</w:t>
      </w:r>
      <w:r>
        <w:t xml:space="preserve">Banca et al. (2015)</w:t>
      </w:r>
      <w:r>
        <w:t xml:space="preserve">;</w:t>
      </w:r>
      <w:r>
        <w:t xml:space="preserve"> </w:t>
      </w:r>
      <w:r>
        <w:t xml:space="preserve">Hauser et al. (2017)</w:t>
      </w:r>
      <w:r>
        <w:t xml:space="preserve">. Previous studies found that participants with high obsessive compulsive tendencies (OC+) take longer to decide that a target is absent from a visual search array compared to those with low obsessive compulsive tendencies (OC-;</w:t>
      </w:r>
      <w:r>
        <w:t xml:space="preserve"> </w:t>
      </w:r>
      <w:r>
        <w:t xml:space="preserve">M. B. Toffolo, van den Hout, Hooge, Engelhard, and Cath (2013)</w:t>
      </w:r>
      <w:r>
        <w:t xml:space="preserve">). These finding have been replicated</w:t>
      </w:r>
      <w:r>
        <w:t xml:space="preserve"> </w:t>
      </w:r>
      <w:r>
        <w:t xml:space="preserve">(M. B. Toffolo, van den Hout, Engelhard, Hooge, &amp; Cat, 2014)</w:t>
      </w:r>
      <w:r>
        <w:t xml:space="preserve"> </w:t>
      </w:r>
      <w:r>
        <w:t xml:space="preserve">and extended to a clinical sample, where they were found to be specific to patients with OCD and absent in those suffering from anxiety</w:t>
      </w:r>
      <w:r>
        <w:t xml:space="preserve"> </w:t>
      </w:r>
      <w:r>
        <w:t xml:space="preserve">(M. B. J. Toffolo, van den Hout, Engelhard, Hooge, &amp; Cat, 2016)</w:t>
      </w:r>
      <w:r>
        <w:t xml:space="preserve">. In these experiments, checking behavior was operationalized by search time, and high and low uncertainty were operationalized by means of contrasting target-present and target-absent trials. Therefore, relatively longer search times for the OC+ group in target-absent trials were interpreted as perseverative checking behavior under mild uncertainty.</w:t>
      </w:r>
    </w:p>
    <w:bookmarkStart w:id="24"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1"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Participants will be recruited via Prolific and selected based on their acceptance rate (&gt;95%) and for being native English speakers, located in the UK, and not having participated in former study pilots. We encountered graphical problems with Safari browser during the pilot study, so we will ask participants to use only other browsers. The entire experiment will take 14 minutes to complete (the median completion time in a pilot study). Participants will be paid £2 for their participation, equivalent to an hourly wage of £8.57.</w:t>
      </w:r>
    </w:p>
    <w:bookmarkEnd w:id="21"/>
    <w:bookmarkStart w:id="22" w:name="material"/>
    <w:p>
      <w:pPr>
        <w:pStyle w:val="berschrift2"/>
      </w:pPr>
      <w:r>
        <w:t xml:space="preserve">Material</w:t>
      </w:r>
    </w:p>
    <w:p>
      <w:pPr>
        <w:pStyle w:val="FirstParagraph"/>
      </w:pPr>
      <w:r>
        <w:t xml:space="preserve">Visual search task The experiment described in this study was adapted from</w:t>
      </w:r>
      <w:r>
        <w:t xml:space="preserve"> </w:t>
      </w:r>
      <w:r>
        <w:t xml:space="preserve">(Mazor &amp; Fleming, 2022)</w:t>
      </w:r>
      <w:r>
        <w:t xml:space="preserve">, with stimuli created to replicate the ones used in the</w:t>
      </w:r>
      <w:r>
        <w:t xml:space="preserve"> </w:t>
      </w:r>
      <w:r>
        <w:t xml:space="preserve">(M. B. Toffolo, Hout, Hooge, Engelhard, &amp; Cath, 2013)</w:t>
      </w:r>
      <w:r>
        <w:t xml:space="preserve"> </w:t>
      </w:r>
      <w:r>
        <w:t xml:space="preserve">experiment. All elements (distractors and target) and their placement on the search grid were made to replicate as closely as possible the paradigm used in</w:t>
      </w:r>
      <w:r>
        <w:t xml:space="preserve"> </w:t>
      </w:r>
      <w:r>
        <w:t xml:space="preserve">M. B. Toffolo, Hout, et al. (2013)</w:t>
      </w:r>
      <w:r>
        <w:t xml:space="preserve">. 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given only in the practice phase, to help participants learn the task efficiently. In the main part of the experiment, no feedback will be given, as was the case in the original paradigm</w:t>
      </w:r>
      <w:r>
        <w:t xml:space="preserve"> </w:t>
      </w:r>
      <w:r>
        <w:t xml:space="preserve">(M. B. Toffolo, Hout, et al., 2013)</w:t>
      </w:r>
      <w:r>
        <w:t xml:space="preserve">.</w:t>
      </w:r>
    </w:p>
    <w:bookmarkEnd w:id="22"/>
    <w:bookmarkStart w:id="23" w:name="procedure"/>
    <w:p>
      <w:pPr>
        <w:pStyle w:val="berschrift2"/>
      </w:pPr>
      <w:r>
        <w:t xml:space="preserve">Procedure</w:t>
      </w:r>
    </w:p>
    <w:p>
      <w:pPr>
        <w:pStyle w:val="FirstParagraph"/>
      </w:pPr>
      <w:r>
        <w:t xml:space="preserve">Participants will first be instructed about the experiment’s structure, which comprises three parts: A visual search part, questions about the visual search part, and some more general questions. Then, they will be informed about the main part of the experiment – the visual search part. Specifically,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rotated Ls. The purpose of the practice trials is to familiarize participants with the task structure. For these practice trials, the number of items will always be 4. In the practice trials, participants will be given feedback about the accuracy of their responses. The feedback will appear right after a response is given. If the response is correct, then the word</w:t>
      </w:r>
      <w:r>
        <w:t xml:space="preserve"> </w:t>
      </w:r>
      <w:r>
        <w:t xml:space="preserve">“</w:t>
      </w:r>
      <w:r>
        <w:t xml:space="preserve">Correct!</w:t>
      </w:r>
      <w:r>
        <w:t xml:space="preserve">”</w:t>
      </w:r>
      <w:r>
        <w:t xml:space="preserve"> </w:t>
      </w:r>
      <w:r>
        <w:t xml:space="preserve">will immediately pop on the screen, for 1 second. If the response is wrong, the word</w:t>
      </w:r>
      <w:r>
        <w:t xml:space="preserve"> </w:t>
      </w:r>
      <w:r>
        <w:t xml:space="preserve">“</w:t>
      </w:r>
      <w:r>
        <w:t xml:space="preserve">Wrong!</w:t>
      </w:r>
      <w:r>
        <w:t xml:space="preserve">”</w:t>
      </w:r>
      <w:r>
        <w:t xml:space="preserve"> </w:t>
      </w:r>
      <w:r>
        <w:t xml:space="preserve">will immediately pop on the screen for 5 seconds. The extended duration of the word</w:t>
      </w:r>
      <w:r>
        <w:t xml:space="preserve"> </w:t>
      </w:r>
      <w:r>
        <w:t xml:space="preserve">“</w:t>
      </w:r>
      <w:r>
        <w:t xml:space="preserve">wrong</w:t>
      </w:r>
      <w:r>
        <w:t xml:space="preserve">”</w:t>
      </w:r>
      <w:r>
        <w:t xml:space="preserve"> </w:t>
      </w:r>
      <w:r>
        <w:t xml:space="preserve">is intended to feel aversive and to make sure participants are paying full attention and giving accurate responses (a pilot study showed higher accuracy rates when using this method). Practice trials will be delivered in one block of 6 trials, and the main part of the experiment will start only once participants respond correctly on at least five trials.</w:t>
      </w:r>
    </w:p>
    <w:p>
      <w:pPr>
        <w:pStyle w:val="Textkrper"/>
      </w:pPr>
      <w:r>
        <w:t xml:space="preserve">We used R</w:t>
      </w:r>
      <w:r>
        <w:t xml:space="preserve"> </w:t>
      </w:r>
      <w:r>
        <w:t xml:space="preserve">(Version 3.6.2;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1.0.2; Robinson, Hayes, &amp; Couch, 2021)</w:t>
      </w:r>
      <w:r>
        <w:t xml:space="preserve">,</w:t>
      </w:r>
      <w:r>
        <w:t xml:space="preserve"> </w:t>
      </w:r>
      <w:r>
        <w:rPr>
          <w:iCs/>
          <w:i/>
        </w:rPr>
        <w:t xml:space="preserve">caret</w:t>
      </w:r>
      <w:r>
        <w:t xml:space="preserve"> </w:t>
      </w:r>
      <w:r>
        <w:t xml:space="preserve">(Version 6.0.86;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1.1.0; Wilke, 2020)</w:t>
      </w:r>
      <w:r>
        <w:t xml:space="preserve">,</w:t>
      </w:r>
      <w:r>
        <w:t xml:space="preserve"> </w:t>
      </w:r>
      <w:r>
        <w:rPr>
          <w:iCs/>
          <w:i/>
        </w:rPr>
        <w:t xml:space="preserve">devtools</w:t>
      </w:r>
      <w:r>
        <w:t xml:space="preserve"> </w:t>
      </w:r>
      <w:r>
        <w:t xml:space="preserve">(Version 2.4.5; Wickham, Hester, Chang, &amp; Bryan, 2022)</w:t>
      </w:r>
      <w:r>
        <w:t xml:space="preserve">,</w:t>
      </w:r>
      <w:r>
        <w:t xml:space="preserve"> </w:t>
      </w:r>
      <w:r>
        <w:rPr>
          <w:iCs/>
          <w:i/>
        </w:rPr>
        <w:t xml:space="preserve">dplyr</w:t>
      </w:r>
      <w:r>
        <w:t xml:space="preserve"> </w:t>
      </w:r>
      <w:r>
        <w:t xml:space="preserve">(Version 1.0.10; Wickham, Fran?ois, Henry, &amp; M?ller, 2021)</w:t>
      </w:r>
      <w:r>
        <w:t xml:space="preserve">,</w:t>
      </w:r>
      <w:r>
        <w:t xml:space="preserve"> </w:t>
      </w:r>
      <w:r>
        <w:rPr>
          <w:iCs/>
          <w:i/>
        </w:rPr>
        <w:t xml:space="preserve">forcats</w:t>
      </w:r>
      <w:r>
        <w:t xml:space="preserve"> </w:t>
      </w:r>
      <w:r>
        <w:t xml:space="preserve">(Version 0.5.2;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lattice</w:t>
      </w:r>
      <w:r>
        <w:t xml:space="preserve"> </w:t>
      </w:r>
      <w:r>
        <w:t xml:space="preserve">(Version 0.20.38; Sarkar, 2008)</w:t>
      </w:r>
      <w:r>
        <w:t xml:space="preserve">,</w:t>
      </w:r>
      <w:r>
        <w:t xml:space="preserve"> </w:t>
      </w:r>
      <w:r>
        <w:rPr>
          <w:iCs/>
          <w:i/>
        </w:rPr>
        <w:t xml:space="preserve">lme4</w:t>
      </w:r>
      <w:r>
        <w:t xml:space="preserve"> </w:t>
      </w:r>
      <w:r>
        <w:t xml:space="preserve">(Version 1.1.26; Bates, Mächler, Bolker, &amp; Walker, 2015)</w:t>
      </w:r>
      <w:r>
        <w:t xml:space="preserve">,</w:t>
      </w:r>
      <w:r>
        <w:t xml:space="preserve"> </w:t>
      </w:r>
      <w:r>
        <w:rPr>
          <w:iCs/>
          <w:i/>
        </w:rPr>
        <w:t xml:space="preserve">lmerTest</w:t>
      </w:r>
      <w:r>
        <w:t xml:space="preserve"> </w:t>
      </w:r>
      <w:r>
        <w:t xml:space="preserve">(Version 3.1.2; Kuznetsova, Brockhoff, &amp; Christensen, 2017)</w:t>
      </w:r>
      <w:r>
        <w:t xml:space="preserve">,</w:t>
      </w:r>
      <w:r>
        <w:t xml:space="preserve"> </w:t>
      </w:r>
      <w:r>
        <w:rPr>
          <w:iCs/>
          <w:i/>
        </w:rPr>
        <w:t xml:space="preserve">Matrix</w:t>
      </w:r>
      <w:r>
        <w:t xml:space="preserve"> </w:t>
      </w:r>
      <w:r>
        <w:t xml:space="preserve">(Version 1.2.18; Bates &amp; Maechler, 2021)</w:t>
      </w:r>
      <w:r>
        <w:t xml:space="preserve">,</w:t>
      </w:r>
      <w:r>
        <w:t xml:space="preserve"> </w:t>
      </w:r>
      <w:r>
        <w:rPr>
          <w:iCs/>
          <w:i/>
        </w:rPr>
        <w:t xml:space="preserve">nlme</w:t>
      </w:r>
      <w:r>
        <w:t xml:space="preserve"> </w:t>
      </w:r>
      <w:r>
        <w:t xml:space="preserve">(Version 3.1.149; Pinheiro &amp; Bates, 2000)</w:t>
      </w:r>
      <w:r>
        <w:t xml:space="preserve">,</w:t>
      </w:r>
      <w:r>
        <w:t xml:space="preserve"> </w:t>
      </w:r>
      <w:r>
        <w:rPr>
          <w:iCs/>
          <w:i/>
        </w:rPr>
        <w:t xml:space="preserve">papaja</w:t>
      </w:r>
      <w:r>
        <w:t xml:space="preserve"> </w:t>
      </w:r>
      <w:r>
        <w:t xml:space="preserve">(Version 0.1.1.9001; Aust &amp; Barth, 2022)</w:t>
      </w:r>
      <w:r>
        <w:t xml:space="preserve">,</w:t>
      </w:r>
      <w:r>
        <w:t xml:space="preserve"> </w:t>
      </w:r>
      <w:r>
        <w:rPr>
          <w:iCs/>
          <w:i/>
        </w:rPr>
        <w:t xml:space="preserve">piggyback</w:t>
      </w:r>
      <w:r>
        <w:t xml:space="preserve"> </w:t>
      </w:r>
      <w:r>
        <w:t xml:space="preserve">(Boettiger &amp; Ho, 2022)</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2.1.2; Wickham &amp; Hester, 2021)</w:t>
      </w:r>
      <w:r>
        <w:t xml:space="preserve">,</w:t>
      </w:r>
      <w:r>
        <w:t xml:space="preserve"> </w:t>
      </w:r>
      <w:r>
        <w:rPr>
          <w:iCs/>
          <w:i/>
        </w:rPr>
        <w:t xml:space="preserve">shiny</w:t>
      </w:r>
      <w:r>
        <w:t xml:space="preserve"> </w:t>
      </w:r>
      <w:r>
        <w:t xml:space="preserve">(Version 1.7.4; Chang, Cheng, Allaire, Xie, &amp; McPherson,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M&lt;U+00FC&gt;ller &amp; Wickham, 2021)</w:t>
      </w:r>
      <w:r>
        <w:t xml:space="preserve">,</w:t>
      </w:r>
      <w:r>
        <w:t xml:space="preserve"> </w:t>
      </w:r>
      <w:r>
        <w:rPr>
          <w:iCs/>
          <w:i/>
        </w:rPr>
        <w:t xml:space="preserve">tidyr</w:t>
      </w:r>
      <w:r>
        <w:t xml:space="preserve"> </w:t>
      </w:r>
      <w:r>
        <w:t xml:space="preserve">(Version 1.2.1; Wickham, 2021b)</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2.1.6; Wickham, Bryan, &amp; Barrett, 2022)</w:t>
      </w:r>
      <w:r>
        <w:t xml:space="preserve"> </w:t>
      </w:r>
      <w:r>
        <w:t xml:space="preserve">for all our analyses.</w:t>
      </w:r>
    </w:p>
    <w:bookmarkEnd w:id="23"/>
    <w:bookmarkEnd w:id="24"/>
    <w:bookmarkStart w:id="25" w:name="results"/>
    <w:p>
      <w:pPr>
        <w:pStyle w:val="berschrift1"/>
      </w:pPr>
      <w:r>
        <w:t xml:space="preserve">Results</w:t>
      </w:r>
    </w:p>
    <w:p>
      <w:pPr>
        <w:pStyle w:val="FirstParagraph"/>
      </w:pPr>
      <w:r>
        <w:rPr>
          <w:iCs/>
          <w:i/>
        </w:rPr>
        <w:t xml:space="preserve">Hypotheses 1 and 2 - Task validation</w:t>
      </w:r>
      <w:r>
        <w:t xml:space="preserve"> </w:t>
      </w:r>
      <w:r>
        <w:t xml:space="preserve">- To validate our paradigm structure and to assess whether we successfully created an easier search by leveraging search asymmetries (i.e., switching between the target and distractors), we first examined the difference in slopes between the two search types (easy/hard), regardless of target presence (pre-registered hypothesis H1). As anticipated, a one-tailed paired t-test demonstrated a steeper slope for the difficult search 104.76 ms/item compared to the easy search 39.19 ms/item,</w:t>
      </w:r>
      <w:r>
        <w:t xml:space="preserve"> </w:t>
      </w:r>
      <m:oMath>
        <m:r>
          <m:t>t</m:t>
        </m:r>
        <m:d>
          <m:dPr>
            <m:begChr m:val="("/>
            <m:endChr m:val=")"/>
            <m:sepChr m:val=""/>
            <m:grow/>
          </m:dPr>
          <m:e>
            <m:r>
              <m:t>1</m:t>
            </m:r>
            <m:r>
              <m:rPr>
                <m:sty m:val="p"/>
              </m:rPr>
              <m:t>,</m:t>
            </m:r>
            <m:r>
              <m:t>795</m:t>
            </m:r>
          </m:e>
        </m:d>
        <m:r>
          <m:rPr>
            <m:sty m:val="p"/>
          </m:rPr>
          <m:t>=</m:t>
        </m:r>
        <m:r>
          <m:rPr>
            <m:sty m:val="p"/>
          </m:rPr>
          <m:t>−</m:t>
        </m:r>
        <m:r>
          <m:t>66.30</m:t>
        </m:r>
      </m:oMath>
      <w:r>
        <w:t xml:space="preserve">,</w:t>
      </w:r>
      <w:r>
        <w:t xml:space="preserve"> </w:t>
      </w:r>
      <m:oMath>
        <m:r>
          <m:t>p</m:t>
        </m:r>
        <m:r>
          <m:rPr>
            <m:sty m:val="p"/>
          </m:rPr>
          <m:t>&lt;</m:t>
        </m:r>
        <m:r>
          <m:t>.001</m:t>
        </m:r>
      </m:oMath>
      <w:r>
        <w:t xml:space="preserve">. Furthermore, a one-tailed paired t-test revealed that target-present slopes in the hard search 75.73 ms/item were steeper than target-absent slopes in the easy search 58.64 ms/item,</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 </w:t>
      </w:r>
      <w:r>
        <w:t xml:space="preserve">(pre-registered hypothesis H2).</w:t>
      </w:r>
    </w:p>
    <w:p>
      <w:pPr>
        <w:pStyle w:val="Textkrper"/>
      </w:pPr>
      <w:r>
        <w:t xml:space="preserve">The initial two control comparisons served to validate that we successfully designed a target-absent condition that was easier than a target-present condition, thereby experimentally decoupling decision certainty from target presence, and enabling to measure their independent effects on search time as a function of obsessive-compulsive tendencies.</w:t>
      </w:r>
    </w:p>
    <w:p>
      <w:pPr>
        <w:pStyle w:val="Textkrper"/>
      </w:pPr>
      <w:r>
        <w:rPr>
          <w:iCs/>
          <w:i/>
        </w:rPr>
        <w:t xml:space="preserve">Hypothesis 3 - Replication of Toffolo et al. (2013), mean RT</w:t>
      </w:r>
      <w:r>
        <w:t xml:space="preserve"> </w:t>
      </w:r>
      <w:r>
        <w:t xml:space="preserve">To directly replicate the findings of Toffolo et al. (2013, 2014, 2016), we focused on the difficult search with the larger set size (set size = 25). We conducted a mixed-effects ANOVA, with mean response time (RT) as the dependent variable, group (OC+ vs. OC-) as a between-subjects variable, and target presence (present vs. absent) as a within-subjects variable. Specifically, we tested for an interaction between group and target presence, wherein the mean RT difference between the OC+ and OC- groups would be significantly larger in target-absent trials. Contrary to our expectations, the analysis did not reveal a significant interaction between group and target presence,</w:t>
      </w:r>
      <w:r>
        <w:t xml:space="preserve"> </w:t>
      </w:r>
      <m:oMath>
        <m:r>
          <m:t>F</m:t>
        </m:r>
        <m:d>
          <m:dPr>
            <m:begChr m:val="("/>
            <m:endChr m:val=")"/>
            <m:sepChr m:val=""/>
            <m:grow/>
          </m:dPr>
          <m:e>
            <m:r>
              <m:t>1</m:t>
            </m:r>
            <m:r>
              <m:rPr>
                <m:sty m:val="p"/>
              </m:rPr>
              <m:t>,</m:t>
            </m:r>
            <m:r>
              <m:t>431</m:t>
            </m:r>
          </m:e>
        </m:d>
        <m:r>
          <m:rPr>
            <m:sty m:val="p"/>
          </m:rPr>
          <m:t>=</m:t>
        </m:r>
        <m:r>
          <m:t>1.62</m:t>
        </m:r>
      </m:oMath>
      <w:r>
        <w:t xml:space="preserve">,</w:t>
      </w:r>
      <w:r>
        <w:t xml:space="preserve"> </w:t>
      </w:r>
      <m:oMath>
        <m:r>
          <m:t>p</m:t>
        </m:r>
        <m:r>
          <m:rPr>
            <m:sty m:val="p"/>
          </m:rPr>
          <m:t>=</m:t>
        </m:r>
        <m:r>
          <m:t>.203</m:t>
        </m:r>
      </m:oMath>
      <w:r>
        <w:t xml:space="preserve">, suggesting no difference in mean RT between the OC+ and OC- groups in either target-present or target-absent trials (figure 3).</w:t>
      </w:r>
    </w:p>
    <w:p>
      <w:pPr>
        <w:pStyle w:val="Textkrper"/>
      </w:pPr>
      <w:r>
        <w:rPr>
          <w:iCs/>
          <w:i/>
        </w:rPr>
        <w:t xml:space="preserve">Hypothesis 4: Extension of Toffolo et al. (2013), search slopes</w:t>
      </w:r>
      <w:r>
        <w:t xml:space="preserve"> </w:t>
      </w:r>
      <w:r>
        <w:t xml:space="preserve">Following the previous hypothesis, we conducted the same mixed-effects ANOVA, with group (OC+/OC-) as between-subject variable and target presence (present/absent) as within-subject variables, only this time, we focused on the search slopes (reaction time as a function of set size) as a dependent variable. Consistent with our findings for Hypothesis 3, a mixed-effects ANOVA revealed no statistically significant interaction between group and target presence</w:t>
      </w:r>
      <w:r>
        <w:t xml:space="preserve"> </w:t>
      </w:r>
      <m:oMath>
        <m:r>
          <m:t>F</m:t>
        </m:r>
        <m:d>
          <m:dPr>
            <m:begChr m:val="("/>
            <m:endChr m:val=")"/>
            <m:sepChr m:val=""/>
            <m:grow/>
          </m:dPr>
          <m:e>
            <m:r>
              <m:t>1</m:t>
            </m:r>
            <m:r>
              <m:rPr>
                <m:sty m:val="p"/>
              </m:rPr>
              <m:t>,</m:t>
            </m:r>
            <m:r>
              <m:t>431</m:t>
            </m:r>
          </m:e>
        </m:d>
        <m:r>
          <m:rPr>
            <m:sty m:val="p"/>
          </m:rPr>
          <m:t>=</m:t>
        </m:r>
        <m:r>
          <m:t>0.82</m:t>
        </m:r>
      </m:oMath>
      <w:r>
        <w:t xml:space="preserve">,</w:t>
      </w:r>
      <w:r>
        <w:t xml:space="preserve"> </w:t>
      </w:r>
      <m:oMath>
        <m:r>
          <m:t>p</m:t>
        </m:r>
        <m:r>
          <m:rPr>
            <m:sty m:val="p"/>
          </m:rPr>
          <m:t>=</m:t>
        </m:r>
        <m:r>
          <m:t>.365</m:t>
        </m:r>
      </m:oMath>
      <w:r>
        <w:t xml:space="preserve">, again providing no evidence for a selective slowing of OC+ individuals in target-absent trials.</w:t>
      </w:r>
    </w:p>
    <w:p>
      <w:pPr>
        <w:pStyle w:val="Textkrper"/>
      </w:pPr>
      <w:r>
        <w:rPr>
          <w:iCs/>
          <w:i/>
        </w:rPr>
        <w:t xml:space="preserve">Hypothesis 5: Low-uncertainty inference about absence</w:t>
      </w:r>
      <w:r>
        <w:br/>
      </w:r>
      <w:r>
        <w:t xml:space="preserve">Originally, our primary focus was on this hypothesis, examining the effect of obsessive-compulsive tendencies on target-absent search times in an easy, low-uncertainty, search setting. However, given our failure to replicate a group difference in the hard search (Hypotheses 3 and 4), a significant result here seemed unlikely. Indeed, a mixed-effects ANOVA with group as a between-subjects variable and target presence as a within-subjects variable did not reveal a significant interaction between group and target presence in the easy search,</w:t>
      </w:r>
      <w:r>
        <w:t xml:space="preserve"> </w:t>
      </w:r>
      <m:oMath>
        <m:r>
          <m:t>F</m:t>
        </m:r>
        <m:d>
          <m:dPr>
            <m:begChr m:val="("/>
            <m:endChr m:val=")"/>
            <m:sepChr m:val=""/>
            <m:grow/>
          </m:dPr>
          <m:e>
            <m:r>
              <m:t>1</m:t>
            </m:r>
            <m:r>
              <m:rPr>
                <m:sty m:val="p"/>
              </m:rPr>
              <m:t>,</m:t>
            </m:r>
            <m:r>
              <m:t>431</m:t>
            </m:r>
          </m:e>
        </m:d>
        <m:r>
          <m:rPr>
            <m:sty m:val="p"/>
          </m:rPr>
          <m:t>=</m:t>
        </m:r>
        <m:r>
          <m:t>1.27</m:t>
        </m:r>
      </m:oMath>
      <w:r>
        <w:t xml:space="preserve">,</w:t>
      </w:r>
      <w:r>
        <w:t xml:space="preserve"> </w:t>
      </w:r>
      <m:oMath>
        <m:r>
          <m:t>p</m:t>
        </m:r>
        <m:r>
          <m:rPr>
            <m:sty m:val="p"/>
          </m:rPr>
          <m:t>=</m:t>
        </m:r>
        <m:r>
          <m:t>.260</m:t>
        </m:r>
      </m:oMath>
      <w:r>
        <w:t xml:space="preserve">.</w:t>
      </w:r>
    </w:p>
    <w:p>
      <w:pPr>
        <w:pStyle w:val="SourceCode"/>
      </w:pPr>
      <w:r>
        <w:rPr>
          <w:rStyle w:val="VerbatimChar"/>
        </w:rPr>
        <w:t xml:space="preserve">##   Model      AIC      BIC</w:t>
      </w:r>
      <w:r>
        <w:br/>
      </w:r>
      <w:r>
        <w:rPr>
          <w:rStyle w:val="VerbatimChar"/>
        </w:rPr>
        <w:t xml:space="preserve">## 1    m1 26299.31 26370.25</w:t>
      </w:r>
      <w:r>
        <w:br/>
      </w:r>
      <w:r>
        <w:rPr>
          <w:rStyle w:val="VerbatimChar"/>
        </w:rPr>
        <w:t xml:space="preserve">## 2    m2 26297.91 26368.85</w:t>
      </w:r>
    </w:p>
    <w:p>
      <w:pPr>
        <w:pStyle w:val="FirstParagraph"/>
      </w:pPr>
      <w:r>
        <w:rPr>
          <w:iCs/>
          <w:i/>
        </w:rPr>
        <w:t xml:space="preserve">Hypothesis 6: Model comparison</w:t>
      </w:r>
      <w:r>
        <w:t xml:space="preserve"> </w:t>
      </w:r>
      <w:r>
        <w:t xml:space="preserve">Our experimental design aimed to differentiate between difficulties arising from higher uncertainty and those arising from the absence of the target. To achieve this, we used two search types: a hard search (searching for a closed square among open squares), and an easy search (searching for an open square among closed squares). Additionally, we manipulated the presence or absence of the target. To determine whether uncertainty or absence had a greater impact on OC+ search time, we constructed two competing regression models that differed only in their interaction terms (table 1). Beyond the search type and the target presence predictors, the first model (M1) included the interaction between group and search type (easy/hard; slope_estimate~ 1+group+search_type * target_presence+ search_type * group), while the second model (M2) included the interaction between group and target presence (absent/present; slope_estimate~ 1+group+ search_type * target_present+target_present * group). Since the two models differ only in their last interaction effect, their complexity (that is, the number of fitted coefficients) is the same, which allowed us to compare these models directly. We compare model performance using their AIC and BIC values. The model comparison table shows that both models have the same AIC and BIC values suggesting that the interaction between group and target presence does not explain search time to a greater extent than the interaction between group and search type.</w:t>
      </w:r>
    </w:p>
    <w:p>
      <w:pPr>
        <w:pStyle w:val="Textkrper"/>
      </w:pPr>
      <w:r>
        <w:t xml:space="preserve">In summary, the results pertaining to hypotheses 3 through 6 indicate no substantiated evidence of prolonged search time among OC+ participants during target-absent trials. Similarly, no discernible group variances emerged, regardless of whether we used the complete OCI scale (preregistered hypothesis 9) or accounted for anxiety and depression (preregistered hypothesis 10). There were also no significant differences between groups during the task’s initial trials, prior to the accumulation of any experience (preregistered hypothesis 8). Lastly, we observed no significant differences between the groups in their self-reported measures of task difficulty (preregistered exploratory analysis). Detailed calculations and results for all these hypotheses are provided in the Appendix for further reference.</w:t>
      </w:r>
    </w:p>
    <w:p>
      <w:pPr>
        <w:pStyle w:val="Textkrper"/>
      </w:pPr>
      <w:r>
        <w:t xml:space="preserve">In Experiment 1, target-absent search times were not significantly slower in OC+ compared to OC- individuals. While this stands in contrast to previous reports</w:t>
      </w:r>
      <w:r>
        <w:t xml:space="preserve"> </w:t>
      </w:r>
      <w:r>
        <w:t xml:space="preserve">M. B. Toffolo, Van Den Hout, Engelhard, Hooge, &amp; Cath (2016)</w:t>
      </w:r>
      <w:r>
        <w:t xml:space="preserve">, our experiment differed from the original study in several respects. Most notably, search times in this study (~4.5s for target-absent and ~2.6s for target-present) were shorter compared to those in</w:t>
      </w:r>
      <w:r>
        <w:t xml:space="preserve"> </w:t>
      </w:r>
      <w:r>
        <w:t xml:space="preserve">M. B. Toffolo, Hout, et al. (2013)</w:t>
      </w:r>
      <w:r>
        <w:t xml:space="preserve"> </w:t>
      </w:r>
      <w:r>
        <w:t xml:space="preserve">(~5.5 for target-absent and ~3.5s for target-present). Accordingly, we considered the possibility that the task used in experiment 1 may have been less challenging and potentially insufficient to elicit doubt and trigger repetitive checking behavior. In order to directly investigate this hypothesis, experiment 2 employed the original stimuli from</w:t>
      </w:r>
      <w:r>
        <w:t xml:space="preserve"> </w:t>
      </w:r>
      <w:r>
        <w:t xml:space="preserve">M. B. Toffolo, Hout, et al. (2013)</w:t>
      </w:r>
      <w:r>
        <w:t xml:space="preserve"> </w:t>
      </w:r>
      <w:r>
        <w:t xml:space="preserve">within an online sample to ascertain whether the failure to reproduce the effect resulted from an excessively easy task.</w:t>
      </w:r>
    </w:p>
    <w:p>
      <w:pPr>
        <w:pStyle w:val="SourceCode"/>
      </w:pPr>
      <w:r>
        <w:rPr>
          <w:rStyle w:val="VerbatimChar"/>
        </w:rPr>
        <w:t xml:space="preserve">## # A tibble: 3 × 2</w:t>
      </w:r>
      <w:r>
        <w:br/>
      </w:r>
      <w:r>
        <w:rPr>
          <w:rStyle w:val="VerbatimChar"/>
        </w:rPr>
        <w:t xml:space="preserve">## # Groups:   OCI_quantile [3]</w:t>
      </w:r>
      <w:r>
        <w:br/>
      </w:r>
      <w:r>
        <w:rPr>
          <w:rStyle w:val="VerbatimChar"/>
        </w:rPr>
        <w:t xml:space="preserve">##   OCI_quantile     n</w:t>
      </w:r>
      <w:r>
        <w:br/>
      </w:r>
      <w:r>
        <w:rPr>
          <w:rStyle w:val="VerbatimChar"/>
        </w:rPr>
        <w:t xml:space="preserve">##   &lt;chr&gt;        &lt;int&gt;</w:t>
      </w:r>
      <w:r>
        <w:br/>
      </w:r>
      <w:r>
        <w:rPr>
          <w:rStyle w:val="VerbatimChar"/>
        </w:rPr>
        <w:t xml:space="preserve">## 1 else            48</w:t>
      </w:r>
      <w:r>
        <w:br/>
      </w:r>
      <w:r>
        <w:rPr>
          <w:rStyle w:val="VerbatimChar"/>
        </w:rPr>
        <w:t xml:space="preserve">## 2 high           110</w:t>
      </w:r>
      <w:r>
        <w:br/>
      </w:r>
      <w:r>
        <w:rPr>
          <w:rStyle w:val="VerbatimChar"/>
        </w:rPr>
        <w:t xml:space="preserve">## 3 low             68</w:t>
      </w:r>
    </w:p>
    <w:p>
      <w:pPr>
        <w:pStyle w:val="SourceCode"/>
      </w:pPr>
      <w:r>
        <w:rPr>
          <w:rStyle w:val="VerbatimChar"/>
        </w:rPr>
        <w:t xml:space="preserve">## Warning: NAs introduced by coercion</w:t>
      </w:r>
    </w:p>
    <w:p>
      <w:pPr>
        <w:pStyle w:val="SourceCode"/>
      </w:pPr>
      <w:r>
        <w:rPr>
          <w:rStyle w:val="VerbatimChar"/>
        </w:rPr>
        <w:t xml:space="preserve">## # A tibble: 3 × 2</w:t>
      </w:r>
      <w:r>
        <w:br/>
      </w:r>
      <w:r>
        <w:rPr>
          <w:rStyle w:val="VerbatimChar"/>
        </w:rPr>
        <w:t xml:space="preserve">##   OCI_quantile mean_acc</w:t>
      </w:r>
      <w:r>
        <w:br/>
      </w:r>
      <w:r>
        <w:rPr>
          <w:rStyle w:val="VerbatimChar"/>
        </w:rPr>
        <w:t xml:space="preserve">##   &lt;chr&gt;           &lt;dbl&gt;</w:t>
      </w:r>
      <w:r>
        <w:br/>
      </w:r>
      <w:r>
        <w:rPr>
          <w:rStyle w:val="VerbatimChar"/>
        </w:rPr>
        <w:t xml:space="preserve">## 1 else            0.833</w:t>
      </w:r>
      <w:r>
        <w:br/>
      </w:r>
      <w:r>
        <w:rPr>
          <w:rStyle w:val="VerbatimChar"/>
        </w:rPr>
        <w:t xml:space="preserve">## 2 high            0.821</w:t>
      </w:r>
      <w:r>
        <w:br/>
      </w:r>
      <w:r>
        <w:rPr>
          <w:rStyle w:val="VerbatimChar"/>
        </w:rPr>
        <w:t xml:space="preserve">## 3 low             0.829</w:t>
      </w:r>
    </w:p>
    <w:p>
      <w:pPr>
        <w:pStyle w:val="SourceCode"/>
      </w:pPr>
      <w:r>
        <w:rPr>
          <w:rStyle w:val="VerbatimChar"/>
        </w:rPr>
        <w:t xml:space="preserve">## [1] 0</w:t>
      </w:r>
    </w:p>
    <w:p>
      <w:pPr>
        <w:pStyle w:val="SourceCode"/>
      </w:pPr>
      <w:r>
        <w:rPr>
          <w:rStyle w:val="VerbatimChar"/>
        </w:rPr>
        <w:t xml:space="preserve">## [1] 1</w:t>
      </w:r>
    </w:p>
    <w:bookmarkEnd w:id="25"/>
    <w:bookmarkStart w:id="31" w:name="methods-1"/>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6" w:name="participants-1"/>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Two hundred twenty-six participants were recruited via Prolific. We invited former participants whose OCI scores were in the top or bottom OCI quantile in Exp. 1. In line with our preregistered stopping rule, we kept data collection until we had invited all participants in the first and fourth quartiles from our previous experiment (n=250; n=239, respectively). Participants completed the OCI questionnaire in this second session to. We then split the sample into OC+/OC- groups based on cut-off scores from</w:t>
      </w:r>
      <w:r>
        <w:t xml:space="preserve"> </w:t>
      </w:r>
      <w:r>
        <w:t xml:space="preserve">M. B. Toffolo, Hout, et al. (2013)</w:t>
      </w:r>
      <w:r>
        <w:t xml:space="preserve"> </w:t>
      </w:r>
      <w:r>
        <w:t xml:space="preserve">(OCI-R total score ≥ 17 for the OC+ group; OCI-R total score ≤ 5 for the OC- group). Our final sample consisted of 110 OC+ participants and 68 OC- participants. The entire experiment took 12 minutes to complete, and participants were paid £1.8 for their participation, equivalent to an hourly wage of £9.</w:t>
      </w:r>
    </w:p>
    <w:bookmarkEnd w:id="26"/>
    <w:bookmarkStart w:id="27" w:name="material-1"/>
    <w:p>
      <w:pPr>
        <w:pStyle w:val="berschrift2"/>
      </w:pPr>
      <w:r>
        <w:t xml:space="preserve">Material</w:t>
      </w:r>
    </w:p>
    <w:p>
      <w:pPr>
        <w:pStyle w:val="FirstParagraph"/>
      </w:pPr>
      <w:r>
        <w:t xml:space="preserve">We used the original stimuli used in</w:t>
      </w:r>
      <w:r>
        <w:t xml:space="preserve"> </w:t>
      </w:r>
      <w:r>
        <w:t xml:space="preserve">M. B. Toffolo, Hout, et al. (2013)</w:t>
      </w:r>
      <w:r>
        <w:t xml:space="preserve">, as provided by the authors. The visual search task consisted of one block of 50 individual search displays, each containing 25 elements. Half of the search displays were target-absent trials, in which 25 squares with a gap in one of the four edges were presented, and the other half were target-present trials, in which 24 open squares were presented and one closed square, the target. To make sure participants understood the task, a practice phase was given first. The practice phase consisted of 4 search displays, (2 target-absent and 2 target-present). In the practice phase, participants got feedback on their response accuracy. Participants were able to move to the next part of the experiment only after getting all questions right (4/4). The practice phase repeated until the performance was perfect, or until it has repeated more than three times, at which point the experiment terminated. Each trial lasted for a maximum of 10 seconds or until a response was received. If no response was given within 10 seconds, the next trial immediately appeared. Feedback about the response was given only in the practice phase, to help participants learn the task efficiently. In the main part of the experiment, no feedback was given.</w:t>
      </w:r>
    </w:p>
    <w:bookmarkEnd w:id="27"/>
    <w:bookmarkStart w:id="29" w:name="procedure-1"/>
    <w:p>
      <w:pPr>
        <w:pStyle w:val="berschrift2"/>
      </w:pPr>
      <w:r>
        <w:t xml:space="preserve">Procedure</w:t>
      </w:r>
    </w:p>
    <w:p>
      <w:pPr>
        <w:pStyle w:val="FirstParagraph"/>
      </w:pPr>
      <w:r>
        <w:t xml:space="preserve">A static version of experiment 2 can be accessed here: jatos.mindprobe.eu/publix/Qkm6hi2c3vS. Experiment 2 was similar to experiment 1 with the following exceptions. First, the search task was more challenging due to an enlarged search grid, which led to larger gaps between stimuli, as well as reduced stimulus size and narrower sides of the squares. Second, experiment 2 did not had a perceived difficulty estimation part and was comprised of two parts: a visual search part and study questionnaires. Third, to make it identical to</w:t>
      </w:r>
      <w:r>
        <w:t xml:space="preserve"> </w:t>
      </w:r>
      <w:r>
        <w:t xml:space="preserve">M. B. Toffolo, Hout, et al. (2013)</w:t>
      </w:r>
      <w:r>
        <w:t xml:space="preserve">, the practice trials in experiment 2 involved the same stimuli as the main blocks. Forth, participants were instructed to press the spacebar key to move to the search display screen. Once they pressed the space bar, the search display appeared immediately . Finally, the main part of the experiment included only the hard search type: looking for a closed square among open squares.</w:t>
      </w:r>
    </w:p>
    <w:p>
      <w:pPr>
        <w:pStyle w:val="Textkrper"/>
      </w:pPr>
      <w:r>
        <w:t xml:space="preserve">The preregistered analysis plan can be accessed at the following link:</w:t>
      </w:r>
      <w:r>
        <w:t xml:space="preserve"> </w:t>
      </w:r>
      <w:hyperlink r:id="rId28">
        <w:r>
          <w:rPr>
            <w:rStyle w:val="Hyperlink"/>
          </w:rPr>
          <w:t xml:space="preserve">https://osf.io/8a5mr</w:t>
        </w:r>
      </w:hyperlink>
      <w:r>
        <w:t xml:space="preserve">. As in Experiment 1, we employed the Mersenne Twister pseudorandom number generator to ensure that our preregistration preceded data collection</w:t>
      </w:r>
      <w:r>
        <w:t xml:space="preserve"> </w:t>
      </w:r>
      <w:r>
        <w:t xml:space="preserve">Mazor, Mazor, and Mukamel (2019)</w:t>
      </w:r>
      <w:r>
        <w:t xml:space="preserve">. Since Experiment 2 served as a direct replication, we adopted the same rejection criteria as</w:t>
      </w:r>
      <w:r>
        <w:t xml:space="preserve"> </w:t>
      </w:r>
      <w:r>
        <w:t xml:space="preserve">M. B. Toffolo, Hout, et al. (2013)</w:t>
      </w:r>
      <w:r>
        <w:t xml:space="preserve">, in which participants were excluded if their error count exceeded 2.5 standard deviations from the mean error rate of the entire sample. In line with Experiment 1, participants were also excluded from the analysis if they incorrectly answered one or more attention-check questions.</w:t>
      </w:r>
    </w:p>
    <w:p>
      <w:pPr>
        <w:pStyle w:val="Textkrper"/>
      </w:pPr>
      <w:r>
        <w:t xml:space="preserve">###Randomization</w:t>
      </w:r>
      <w:r>
        <w:t xml:space="preserve"> </w:t>
      </w:r>
      <w:r>
        <w:t xml:space="preserve">The order and timing of experimental events will be determined pseudo-randomly by the Mersenne Twister pseudorandom number generator, initialized to ensure registration time-locking</w:t>
      </w:r>
      <w:r>
        <w:t xml:space="preserve"> </w:t>
      </w:r>
      <w:r>
        <w:t xml:space="preserve">(Mazor et al., 2019)</w:t>
      </w:r>
      <w:r>
        <w:t xml:space="preserve">.</w:t>
      </w:r>
    </w:p>
    <w:bookmarkEnd w:id="29"/>
    <w:bookmarkStart w:id="30" w:name="data-analysis"/>
    <w:p>
      <w:pPr>
        <w:pStyle w:val="berschrift2"/>
      </w:pPr>
      <w:r>
        <w:t xml:space="preserve">Data analysis</w:t>
      </w:r>
    </w:p>
    <w:p>
      <w:pPr>
        <w:pStyle w:val="FirstParagraph"/>
      </w:pPr>
      <w:r>
        <w:t xml:space="preserve">We used R</w:t>
      </w:r>
      <w:r>
        <w:t xml:space="preserve"> </w:t>
      </w:r>
      <w:r>
        <w:t xml:space="preserve">(Version 3.6.2; R Core Team, 2021)</w:t>
      </w:r>
      <w:r>
        <w:t xml:space="preserve"> </w:t>
      </w:r>
      <w:r>
        <w:t xml:space="preserve">and the R-packages</w:t>
      </w:r>
      <w:r>
        <w:t xml:space="preserve"> </w:t>
      </w:r>
      <w:r>
        <w:rPr>
          <w:iCs/>
          <w:i/>
        </w:rPr>
        <w:t xml:space="preserve">}lvmisc</w:t>
      </w:r>
      <w:r>
        <w:t xml:space="preserve"> </w:t>
      </w:r>
      <w:r>
        <w:t xml:space="preserve">[@}R-lvmisc],</w:t>
      </w:r>
      <w:r>
        <w:t xml:space="preserve"> </w:t>
      </w:r>
      <w:r>
        <w:rPr>
          <w:iCs/>
          <w:i/>
        </w:rPr>
        <w:t xml:space="preserve">broom</w:t>
      </w:r>
      <w:r>
        <w:t xml:space="preserve"> </w:t>
      </w:r>
      <w:r>
        <w:t xml:space="preserve">(Version 1.0.2; Robinson et al., 2021)</w:t>
      </w:r>
      <w:r>
        <w:t xml:space="preserve">,</w:t>
      </w:r>
      <w:r>
        <w:t xml:space="preserve"> </w:t>
      </w:r>
      <w:r>
        <w:rPr>
          <w:iCs/>
          <w:i/>
        </w:rPr>
        <w:t xml:space="preserve">caret</w:t>
      </w:r>
      <w:r>
        <w:t xml:space="preserve"> </w:t>
      </w:r>
      <w:r>
        <w:t xml:space="preserve">(Version 6.0.86; Kuhn, 2021)</w:t>
      </w:r>
      <w:r>
        <w:t xml:space="preserve">,</w:t>
      </w:r>
      <w:r>
        <w:t xml:space="preserve"> </w:t>
      </w:r>
      <w:r>
        <w:rPr>
          <w:iCs/>
          <w:i/>
        </w:rPr>
        <w:t xml:space="preserve">citr</w:t>
      </w:r>
      <w:r>
        <w:t xml:space="preserve"> </w:t>
      </w:r>
      <w:r>
        <w:t xml:space="preserve">(Version 0.3.2; Aust, 2019)</w:t>
      </w:r>
      <w:r>
        <w:t xml:space="preserve">,</w:t>
      </w:r>
      <w:r>
        <w:t xml:space="preserve"> </w:t>
      </w:r>
      <w:r>
        <w:rPr>
          <w:iCs/>
          <w:i/>
        </w:rPr>
        <w:t xml:space="preserve">cowplot</w:t>
      </w:r>
      <w:r>
        <w:t xml:space="preserve"> </w:t>
      </w:r>
      <w:r>
        <w:t xml:space="preserve">(Version 1.1.0; Wilke, 2020)</w:t>
      </w:r>
      <w:r>
        <w:t xml:space="preserve">,</w:t>
      </w:r>
      <w:r>
        <w:t xml:space="preserve"> </w:t>
      </w:r>
      <w:r>
        <w:rPr>
          <w:iCs/>
          <w:i/>
        </w:rPr>
        <w:t xml:space="preserve">devtools</w:t>
      </w:r>
      <w:r>
        <w:t xml:space="preserve"> </w:t>
      </w:r>
      <w:r>
        <w:t xml:space="preserve">(Version 2.4.5; Wickham, Hester, et al., 2022)</w:t>
      </w:r>
      <w:r>
        <w:t xml:space="preserve">,</w:t>
      </w:r>
      <w:r>
        <w:t xml:space="preserve"> </w:t>
      </w:r>
      <w:r>
        <w:rPr>
          <w:iCs/>
          <w:i/>
        </w:rPr>
        <w:t xml:space="preserve">dplyr</w:t>
      </w:r>
      <w:r>
        <w:t xml:space="preserve"> </w:t>
      </w:r>
      <w:r>
        <w:t xml:space="preserve">(Version 1.0.10; Wickham et al., 2021)</w:t>
      </w:r>
      <w:r>
        <w:t xml:space="preserve">,</w:t>
      </w:r>
      <w:r>
        <w:t xml:space="preserve"> </w:t>
      </w:r>
      <w:r>
        <w:rPr>
          <w:iCs/>
          <w:i/>
        </w:rPr>
        <w:t xml:space="preserve">forcats</w:t>
      </w:r>
      <w:r>
        <w:t xml:space="preserve"> </w:t>
      </w:r>
      <w:r>
        <w:t xml:space="preserve">(Version 0.5.2;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3.4.0;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lattice</w:t>
      </w:r>
      <w:r>
        <w:t xml:space="preserve"> </w:t>
      </w:r>
      <w:r>
        <w:t xml:space="preserve">(Version 0.20.38; Sarkar, 2008)</w:t>
      </w:r>
      <w:r>
        <w:t xml:space="preserve">,</w:t>
      </w:r>
      <w:r>
        <w:t xml:space="preserve"> </w:t>
      </w:r>
      <w:r>
        <w:rPr>
          <w:iCs/>
          <w:i/>
        </w:rPr>
        <w:t xml:space="preserve">lme4</w:t>
      </w:r>
      <w:r>
        <w:t xml:space="preserve"> </w:t>
      </w:r>
      <w:r>
        <w:t xml:space="preserve">(Version 1.1.26; Bates et al., 2015)</w:t>
      </w:r>
      <w:r>
        <w:t xml:space="preserve">,</w:t>
      </w:r>
      <w:r>
        <w:t xml:space="preserve"> </w:t>
      </w:r>
      <w:r>
        <w:rPr>
          <w:iCs/>
          <w:i/>
        </w:rPr>
        <w:t xml:space="preserve">lmerTest</w:t>
      </w:r>
      <w:r>
        <w:t xml:space="preserve"> </w:t>
      </w:r>
      <w:r>
        <w:t xml:space="preserve">(Version 3.1.2; Kuznetsova et al., 2017)</w:t>
      </w:r>
      <w:r>
        <w:t xml:space="preserve">,</w:t>
      </w:r>
      <w:r>
        <w:t xml:space="preserve"> </w:t>
      </w:r>
      <w:r>
        <w:rPr>
          <w:iCs/>
          <w:i/>
        </w:rPr>
        <w:t xml:space="preserve">Matrix</w:t>
      </w:r>
      <w:r>
        <w:t xml:space="preserve"> </w:t>
      </w:r>
      <w:r>
        <w:t xml:space="preserve">(Version 1.2.18; Bates &amp; Maechler, 2021)</w:t>
      </w:r>
      <w:r>
        <w:t xml:space="preserve">,</w:t>
      </w:r>
      <w:r>
        <w:t xml:space="preserve"> </w:t>
      </w:r>
      <w:r>
        <w:rPr>
          <w:iCs/>
          <w:i/>
        </w:rPr>
        <w:t xml:space="preserve">nlme</w:t>
      </w:r>
      <w:r>
        <w:t xml:space="preserve"> </w:t>
      </w:r>
      <w:r>
        <w:t xml:space="preserve">(Version 3.1.149; Pinheiro &amp; Bates, 2000)</w:t>
      </w:r>
      <w:r>
        <w:t xml:space="preserve">,</w:t>
      </w:r>
      <w:r>
        <w:t xml:space="preserve"> </w:t>
      </w:r>
      <w:r>
        <w:rPr>
          <w:iCs/>
          <w:i/>
        </w:rPr>
        <w:t xml:space="preserve">papaja</w:t>
      </w:r>
      <w:r>
        <w:t xml:space="preserve"> </w:t>
      </w:r>
      <w:r>
        <w:t xml:space="preserve">(Version 0.1.1.9001; Aust &amp; Barth, 2022)</w:t>
      </w:r>
      <w:r>
        <w:t xml:space="preserve">,</w:t>
      </w:r>
      <w:r>
        <w:t xml:space="preserve"> </w:t>
      </w:r>
      <w:r>
        <w:rPr>
          <w:iCs/>
          <w:i/>
        </w:rPr>
        <w:t xml:space="preserve">piggyback</w:t>
      </w:r>
      <w:r>
        <w:t xml:space="preserve"> </w:t>
      </w:r>
      <w:r>
        <w:t xml:space="preserve">(Boettiger &amp; Ho, 2022)</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2.1.2; Wickham &amp; Hester, 2021)</w:t>
      </w:r>
      <w:r>
        <w:t xml:space="preserve">,</w:t>
      </w:r>
      <w:r>
        <w:t xml:space="preserve"> </w:t>
      </w:r>
      <w:r>
        <w:rPr>
          <w:iCs/>
          <w:i/>
        </w:rPr>
        <w:t xml:space="preserve">shiny</w:t>
      </w:r>
      <w:r>
        <w:t xml:space="preserve"> </w:t>
      </w:r>
      <w:r>
        <w:t xml:space="preserve">(Version 1.7.4; Chang et al.,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M&lt;U+00FC&gt;ller &amp; Wickham, 2021)</w:t>
      </w:r>
      <w:r>
        <w:t xml:space="preserve">,</w:t>
      </w:r>
      <w:r>
        <w:t xml:space="preserve"> </w:t>
      </w:r>
      <w:r>
        <w:rPr>
          <w:iCs/>
          <w:i/>
        </w:rPr>
        <w:t xml:space="preserve">tidyr</w:t>
      </w:r>
      <w:r>
        <w:t xml:space="preserve"> </w:t>
      </w:r>
      <w:r>
        <w:t xml:space="preserve">(Version 1.2.1; Wickham, 2021b)</w:t>
      </w:r>
      <w:r>
        <w:t xml:space="preserve">,</w:t>
      </w:r>
      <w:r>
        <w:t xml:space="preserve"> </w:t>
      </w:r>
      <w:r>
        <w:rPr>
          <w:iCs/>
          <w:i/>
        </w:rPr>
        <w:t xml:space="preserve">tidyverse</w:t>
      </w:r>
      <w:r>
        <w:t xml:space="preserve"> </w:t>
      </w:r>
      <w:r>
        <w:t xml:space="preserve">(Version 1.3.2; Wickham et al., 2019)</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usethis</w:t>
      </w:r>
      <w:r>
        <w:t xml:space="preserve"> </w:t>
      </w:r>
      <w:r>
        <w:t xml:space="preserve">(Version 2.1.6; Wickham, Bryan, et al., 2022)</w:t>
      </w:r>
      <w:r>
        <w:t xml:space="preserve"> </w:t>
      </w:r>
      <w:r>
        <w:t xml:space="preserve">for all our analyses.</w:t>
      </w:r>
    </w:p>
    <w:bookmarkEnd w:id="30"/>
    <w:bookmarkEnd w:id="31"/>
    <w:bookmarkStart w:id="35" w:name="results-1"/>
    <w:p>
      <w:pPr>
        <w:pStyle w:val="berschrift1"/>
      </w:pPr>
      <w:r>
        <w:t xml:space="preserve">Results</w:t>
      </w:r>
    </w:p>
    <w:p>
      <w:pPr>
        <w:pStyle w:val="FirstParagraph"/>
      </w:pPr>
      <w:r>
        <w:drawing>
          <wp:inline>
            <wp:extent cx="5969000" cy="4775200"/>
            <wp:effectExtent b="0" l="0" r="0" t="0"/>
            <wp:docPr descr="" title="" id="33" name="Picture"/>
            <a:graphic>
              <a:graphicData uri="http://schemas.openxmlformats.org/drawingml/2006/picture">
                <pic:pic>
                  <pic:nvPicPr>
                    <pic:cNvPr descr="OCD_VS_full_files/figure-docx/Exp2_analyze_data-1.png" id="34"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[1] 4732.69</w:t>
      </w:r>
    </w:p>
    <w:p>
      <w:pPr>
        <w:pStyle w:val="SourceCode"/>
      </w:pPr>
      <w:r>
        <w:rPr>
          <w:rStyle w:val="VerbatimChar"/>
        </w:rPr>
        <w:t xml:space="preserve">## [1] 7022.51</w:t>
      </w:r>
    </w:p>
    <w:p>
      <w:pPr>
        <w:pStyle w:val="FirstParagraph"/>
      </w:pPr>
      <w:r>
        <w:rPr>
          <w:iCs/>
          <w:i/>
        </w:rPr>
        <w:t xml:space="preserve">Hypothesis 1 - Task validation</w:t>
      </w:r>
      <w:r>
        <w:br/>
      </w:r>
      <w:r>
        <w:t xml:space="preserve">To validate our paradigm and demonstrate that target-absent searches are more difficult, we tested for an effect of condition (target-absent vs. target-present) on mean search times, collapsed across both groups. Our results revealed the expected difference</w:t>
      </w:r>
      <w:r>
        <w:t xml:space="preserve"> </w:t>
      </w:r>
      <m:oMath>
        <m:r>
          <m:t>t</m:t>
        </m:r>
        <m:d>
          <m:dPr>
            <m:begChr m:val="("/>
            <m:endChr m:val=")"/>
            <m:sepChr m:val=""/>
            <m:grow/>
          </m:dPr>
          <m:e>
            <m:r>
              <m:t>174</m:t>
            </m:r>
          </m:e>
        </m:d>
        <m:r>
          <m:rPr>
            <m:sty m:val="p"/>
          </m:rPr>
          <m:t>=</m:t>
        </m:r>
        <m:r>
          <m:t>37.53</m:t>
        </m:r>
      </m:oMath>
      <w:r>
        <w:t xml:space="preserve">,</w:t>
      </w:r>
      <w:r>
        <w:t xml:space="preserve"> </w:t>
      </w:r>
      <m:oMath>
        <m:r>
          <m:t>p</m:t>
        </m:r>
        <m:r>
          <m:rPr>
            <m:sty m:val="p"/>
          </m:rPr>
          <m:t>&lt;</m:t>
        </m:r>
        <m:r>
          <m:t>.001</m:t>
        </m:r>
      </m:oMath>
      <w:r>
        <w:t xml:space="preserve"> </w:t>
      </w:r>
      <w:r>
        <w:t xml:space="preserve">with 4,732.69 ms for target-present responses and 7,022.51 ms for target-absent responses.</w:t>
      </w:r>
    </w:p>
    <w:p>
      <w:pPr>
        <w:pStyle w:val="Textkrper"/>
      </w:pPr>
      <w:r>
        <w:rPr>
          <w:iCs/>
          <w:i/>
        </w:rPr>
        <w:t xml:space="preserve">Hypothesis 2 - Direct replication</w:t>
      </w:r>
      <w:r>
        <w:t xml:space="preserve"> </w:t>
      </w:r>
      <w:r>
        <w:t xml:space="preserve">The primary aim of experiment 2 was to examine the interaction between group (OC+ vs. OC-) and condition (target-absent vs. target-present). We conducted a one-tailed t-test using the difference in search times (mean RT absent - mean RT present) as the dependent variable and group (OC+ vs. OC-) as the independent variable, expecting a greater difference score for the OC+ group. The one-tailed t-test revealed no significant differences between the groups,</w:t>
      </w:r>
      <m:oMath>
        <m:r>
          <m:t>t</m:t>
        </m:r>
        <m:d>
          <m:dPr>
            <m:begChr m:val="("/>
            <m:endChr m:val=")"/>
            <m:sepChr m:val=""/>
            <m:grow/>
          </m:dPr>
          <m:e>
            <m:r>
              <m:t>144.88</m:t>
            </m:r>
          </m:e>
        </m:d>
        <m:r>
          <m:rPr>
            <m:sty m:val="p"/>
          </m:rPr>
          <m:t>=</m:t>
        </m:r>
        <m:r>
          <m:t>1.41</m:t>
        </m:r>
      </m:oMath>
      <w:r>
        <w:t xml:space="preserve">,</w:t>
      </w:r>
      <w:r>
        <w:t xml:space="preserve"> </w:t>
      </w:r>
      <m:oMath>
        <m:r>
          <m:t>p</m:t>
        </m:r>
        <m:r>
          <m:rPr>
            <m:sty m:val="p"/>
          </m:rPr>
          <m:t>=</m:t>
        </m:r>
        <m:r>
          <m:t>.081</m:t>
        </m:r>
      </m:oMath>
      <w:r>
        <w:t xml:space="preserve">, providing no evidence for the expected interaction.</w:t>
      </w:r>
    </w:p>
    <w:bookmarkEnd w:id="35"/>
    <w:bookmarkStart w:id="36" w:name="discussion"/>
    <w:p>
      <w:pPr>
        <w:pStyle w:val="berschrift1"/>
      </w:pPr>
      <w:r>
        <w:t xml:space="preserve">Discussion</w:t>
      </w:r>
    </w:p>
    <w:p>
      <w:r>
        <w:br w:type="page"/>
      </w:r>
    </w:p>
    <w:bookmarkEnd w:id="36"/>
    <w:bookmarkStart w:id="108" w:name="references"/>
    <w:p>
      <w:pPr>
        <w:pStyle w:val="berschrift1"/>
      </w:pPr>
      <w:r>
        <w:t xml:space="preserve">References</w:t>
      </w:r>
    </w:p>
    <w:bookmarkStart w:id="107" w:name="refs"/>
    <w:bookmarkStart w:id="38" w:name="ref-R-citr"/>
    <w:p>
      <w:pPr>
        <w:pStyle w:val="Literaturverzeichnis"/>
      </w:pPr>
      <w:r>
        <w:t xml:space="preserve">Aust, F. (2019).</w:t>
      </w:r>
      <w:r>
        <w:t xml:space="preserve"> </w:t>
      </w:r>
      <w:r>
        <w:rPr>
          <w:iCs/>
          <w:i/>
        </w:rPr>
        <w:t xml:space="preserve">Citr: ’RStudio’ add-in to insert markdown citations</w:t>
      </w:r>
      <w:r>
        <w:t xml:space="preserve">. Retrieved from</w:t>
      </w:r>
      <w:r>
        <w:t xml:space="preserve"> </w:t>
      </w:r>
      <w:hyperlink r:id="rId37">
        <w:r>
          <w:rPr>
            <w:rStyle w:val="Hyperlink"/>
          </w:rPr>
          <w:t xml:space="preserve">https://github.com/crsh/citr</w:t>
        </w:r>
      </w:hyperlink>
    </w:p>
    <w:bookmarkEnd w:id="38"/>
    <w:bookmarkStart w:id="4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9">
        <w:r>
          <w:rPr>
            <w:rStyle w:val="Hyperlink"/>
          </w:rPr>
          <w:t xml:space="preserve">https://github.com/crsh/papaja</w:t>
        </w:r>
      </w:hyperlink>
    </w:p>
    <w:bookmarkEnd w:id="40"/>
    <w:bookmarkStart w:id="42" w:name="Xb7d0371dee96e7e2d995e022b68ed11bb221900"/>
    <w:p>
      <w:pPr>
        <w:pStyle w:val="Literaturverzeichnis"/>
      </w:pPr>
      <w:r>
        <w:t xml:space="preserve">Banca, P., Vestergaard, M. D., Rankov, V., Baek, K., Mitchell, S., Lapa, T., … Voon, V. (2015). Evidence</w:t>
      </w:r>
      <w:r>
        <w:t xml:space="preserve"> </w:t>
      </w:r>
      <w:r>
        <w:t xml:space="preserve">Accumulation</w:t>
      </w:r>
      <w:r>
        <w:t xml:space="preserve"> </w:t>
      </w:r>
      <w:r>
        <w:t xml:space="preserve">in</w:t>
      </w:r>
      <w:r>
        <w:t xml:space="preserve"> </w:t>
      </w:r>
      <w:r>
        <w:t xml:space="preserve">Obsessive-Compulsive Disorder</w:t>
      </w:r>
      <w:r>
        <w:t xml:space="preserve">: The</w:t>
      </w:r>
      <w:r>
        <w:t xml:space="preserve"> </w:t>
      </w:r>
      <w:r>
        <w:t xml:space="preserve">Role</w:t>
      </w:r>
      <w:r>
        <w:t xml:space="preserve"> </w:t>
      </w:r>
      <w:r>
        <w:t xml:space="preserve">of</w:t>
      </w:r>
      <w:r>
        <w:t xml:space="preserve"> </w:t>
      </w:r>
      <w:r>
        <w:t xml:space="preserve">Uncertainty</w:t>
      </w:r>
      <w:r>
        <w:t xml:space="preserve"> </w:t>
      </w:r>
      <w:r>
        <w:t xml:space="preserve">and</w:t>
      </w:r>
      <w:r>
        <w:t xml:space="preserve"> </w:t>
      </w:r>
      <w:r>
        <w:t xml:space="preserve">Monetary Reward</w:t>
      </w:r>
      <w:r>
        <w:t xml:space="preserve"> </w:t>
      </w:r>
      <w:r>
        <w:t xml:space="preserve">on</w:t>
      </w:r>
      <w:r>
        <w:t xml:space="preserve"> </w:t>
      </w:r>
      <w:r>
        <w:t xml:space="preserve">Perceptual Decision-Making Thresholds</w:t>
      </w:r>
      <w:r>
        <w:t xml:space="preserve">.</w:t>
      </w:r>
      <w:r>
        <w:t xml:space="preserve"> </w:t>
      </w:r>
      <w:r>
        <w:rPr>
          <w:iCs/>
          <w:i/>
        </w:rPr>
        <w:t xml:space="preserve">Neuropsychopharmacology</w:t>
      </w:r>
      <w:r>
        <w:t xml:space="preserve">,</w:t>
      </w:r>
      <w:r>
        <w:t xml:space="preserve"> </w:t>
      </w:r>
      <w:r>
        <w:rPr>
          <w:iCs/>
          <w:i/>
        </w:rPr>
        <w:t xml:space="preserve">40</w:t>
      </w:r>
      <w:r>
        <w:t xml:space="preserve">(5, 5), 1192–1202.</w:t>
      </w:r>
      <w:r>
        <w:t xml:space="preserve"> </w:t>
      </w:r>
      <w:hyperlink r:id="rId41">
        <w:r>
          <w:rPr>
            <w:rStyle w:val="Hyperlink"/>
          </w:rPr>
          <w:t xml:space="preserve">https://doi.org/10.1038/npp.2014.303</w:t>
        </w:r>
      </w:hyperlink>
    </w:p>
    <w:bookmarkEnd w:id="42"/>
    <w:bookmarkStart w:id="44"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43">
        <w:r>
          <w:rPr>
            <w:rStyle w:val="Hyperlink"/>
          </w:rPr>
          <w:t xml:space="preserve">https://cran.r-project.org/package=tinylabels</w:t>
        </w:r>
      </w:hyperlink>
    </w:p>
    <w:bookmarkEnd w:id="44"/>
    <w:bookmarkStart w:id="46"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45">
        <w:r>
          <w:rPr>
            <w:rStyle w:val="Hyperlink"/>
          </w:rPr>
          <w:t xml:space="preserve">https://doi.org/10.18637/jss.v067.i01</w:t>
        </w:r>
      </w:hyperlink>
    </w:p>
    <w:bookmarkEnd w:id="46"/>
    <w:bookmarkStart w:id="48"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47">
        <w:r>
          <w:rPr>
            <w:rStyle w:val="Hyperlink"/>
          </w:rPr>
          <w:t xml:space="preserve">https://CRAN.R-project.org/package=Matrix</w:t>
        </w:r>
      </w:hyperlink>
    </w:p>
    <w:bookmarkEnd w:id="48"/>
    <w:bookmarkStart w:id="50" w:name="ref-R-piggyback"/>
    <w:p>
      <w:pPr>
        <w:pStyle w:val="Literaturverzeichnis"/>
      </w:pPr>
      <w:r>
        <w:t xml:space="preserve">Boettiger, C., &amp; Ho, T. (2022).</w:t>
      </w:r>
      <w:r>
        <w:t xml:space="preserve"> </w:t>
      </w:r>
      <w:r>
        <w:rPr>
          <w:iCs/>
          <w:i/>
        </w:rPr>
        <w:t xml:space="preserve">Piggyback: Managing larger data on a GitHub repository</w:t>
      </w:r>
      <w:r>
        <w:t xml:space="preserve">. Retrieved from</w:t>
      </w:r>
      <w:r>
        <w:t xml:space="preserve"> </w:t>
      </w:r>
      <w:hyperlink r:id="rId49">
        <w:r>
          <w:rPr>
            <w:rStyle w:val="Hyperlink"/>
          </w:rPr>
          <w:t xml:space="preserve">https://CRAN.R-project.org/package=piggyback</w:t>
        </w:r>
      </w:hyperlink>
    </w:p>
    <w:bookmarkEnd w:id="50"/>
    <w:bookmarkStart w:id="52" w:name="ref-R-shiny"/>
    <w:p>
      <w:pPr>
        <w:pStyle w:val="Literaturverzeichnis"/>
      </w:pPr>
      <w:r>
        <w:t xml:space="preserve">Chang, W., Cheng, J., Allaire, J., Xie, Y., &amp; McPherson, J. (2020).</w:t>
      </w:r>
      <w:r>
        <w:t xml:space="preserve"> </w:t>
      </w:r>
      <w:r>
        <w:rPr>
          <w:iCs/>
          <w:i/>
        </w:rPr>
        <w:t xml:space="preserve">Shiny: Web application framework for r</w:t>
      </w:r>
      <w:r>
        <w:t xml:space="preserve">. Retrieved from</w:t>
      </w:r>
      <w:r>
        <w:t xml:space="preserve"> </w:t>
      </w:r>
      <w:hyperlink r:id="rId51">
        <w:r>
          <w:rPr>
            <w:rStyle w:val="Hyperlink"/>
          </w:rPr>
          <w:t xml:space="preserve">https://CRAN.R-project.org/package=shiny</w:t>
        </w:r>
      </w:hyperlink>
    </w:p>
    <w:bookmarkEnd w:id="52"/>
    <w:bookmarkStart w:id="54" w:name="Xbf6ce34d4ef53709dfd0848f35b998c71fe7e02"/>
    <w:p>
      <w:pPr>
        <w:pStyle w:val="Literaturverzeichnis"/>
      </w:pPr>
      <w:r>
        <w:t xml:space="preserve">Hauser, T. U., Allen, M., NSPN Consortium, Bullmore, E. T., Goodyer, I., Fonagy, P., … Dolan, R. J. (2017). Metacognitive impairments extend perceptual decision making weaknesses in compulsivity.</w:t>
      </w:r>
      <w:r>
        <w:t xml:space="preserve"> </w:t>
      </w:r>
      <w:r>
        <w:rPr>
          <w:iCs/>
          <w:i/>
        </w:rPr>
        <w:t xml:space="preserve">Scientific Reports</w:t>
      </w:r>
      <w:r>
        <w:t xml:space="preserve">,</w:t>
      </w:r>
      <w:r>
        <w:t xml:space="preserve"> </w:t>
      </w:r>
      <w:r>
        <w:rPr>
          <w:iCs/>
          <w:i/>
        </w:rPr>
        <w:t xml:space="preserve">7</w:t>
      </w:r>
      <w:r>
        <w:t xml:space="preserve">(1), 6614.</w:t>
      </w:r>
      <w:r>
        <w:t xml:space="preserve"> </w:t>
      </w:r>
      <w:hyperlink r:id="rId53">
        <w:r>
          <w:rPr>
            <w:rStyle w:val="Hyperlink"/>
          </w:rPr>
          <w:t xml:space="preserve">https://doi.org/10.1038/s41598-017-06116-z</w:t>
        </w:r>
      </w:hyperlink>
    </w:p>
    <w:bookmarkEnd w:id="54"/>
    <w:bookmarkStart w:id="56"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5">
        <w:r>
          <w:rPr>
            <w:rStyle w:val="Hyperlink"/>
          </w:rPr>
          <w:t xml:space="preserve">https://CRAN.R-project.org/package=purrr</w:t>
        </w:r>
      </w:hyperlink>
    </w:p>
    <w:bookmarkEnd w:id="56"/>
    <w:bookmarkStart w:id="58"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57">
        <w:r>
          <w:rPr>
            <w:rStyle w:val="Hyperlink"/>
          </w:rPr>
          <w:t xml:space="preserve">https://CRAN.R-project.org/package=ggpubr</w:t>
        </w:r>
      </w:hyperlink>
    </w:p>
    <w:bookmarkEnd w:id="58"/>
    <w:bookmarkStart w:id="60" w:name="ref-R-caret"/>
    <w:p>
      <w:pPr>
        <w:pStyle w:val="Literaturverzeichnis"/>
      </w:pPr>
      <w:r>
        <w:t xml:space="preserve">Kuhn, M. (2021).</w:t>
      </w:r>
      <w:r>
        <w:t xml:space="preserve"> </w:t>
      </w:r>
      <w:r>
        <w:rPr>
          <w:iCs/>
          <w:i/>
        </w:rPr>
        <w:t xml:space="preserve">Caret: Classification and regression training</w:t>
      </w:r>
      <w:r>
        <w:t xml:space="preserve">. Retrieved from</w:t>
      </w:r>
      <w:r>
        <w:t xml:space="preserve"> </w:t>
      </w:r>
      <w:hyperlink r:id="rId59">
        <w:r>
          <w:rPr>
            <w:rStyle w:val="Hyperlink"/>
          </w:rPr>
          <w:t xml:space="preserve">https://CRAN.R-project.org/package=caret</w:t>
        </w:r>
      </w:hyperlink>
    </w:p>
    <w:bookmarkEnd w:id="60"/>
    <w:bookmarkStart w:id="62"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61">
        <w:r>
          <w:rPr>
            <w:rStyle w:val="Hyperlink"/>
          </w:rPr>
          <w:t xml:space="preserve">https://doi.org/10.18637/jss.v082.i13</w:t>
        </w:r>
      </w:hyperlink>
    </w:p>
    <w:bookmarkEnd w:id="62"/>
    <w:bookmarkStart w:id="63"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63"/>
    <w:bookmarkStart w:id="64"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64"/>
    <w:bookmarkStart w:id="66"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65">
        <w:r>
          <w:rPr>
            <w:rStyle w:val="Hyperlink"/>
          </w:rPr>
          <w:t xml:space="preserve">https://CRAN.R-project.org/package=tibble</w:t>
        </w:r>
      </w:hyperlink>
    </w:p>
    <w:bookmarkEnd w:id="66"/>
    <w:bookmarkStart w:id="68"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67">
        <w:r>
          <w:rPr>
            <w:rStyle w:val="Hyperlink"/>
          </w:rPr>
          <w:t xml:space="preserve">https://doi.org/10.1007/b98882</w:t>
        </w:r>
      </w:hyperlink>
    </w:p>
    <w:bookmarkEnd w:id="68"/>
    <w:bookmarkStart w:id="70"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69">
        <w:r>
          <w:rPr>
            <w:rStyle w:val="Hyperlink"/>
          </w:rPr>
          <w:t xml:space="preserve">https://www.R-project.org/</w:t>
        </w:r>
      </w:hyperlink>
    </w:p>
    <w:bookmarkEnd w:id="70"/>
    <w:bookmarkStart w:id="71" w:name="X3a50f0f7691c88e0ebb35a0b645c09f78469b34"/>
    <w:p>
      <w:pPr>
        <w:pStyle w:val="Literaturverzeichnis"/>
      </w:pPr>
      <w:r>
        <w:t xml:space="preserve">Rasmussen, S. A., &amp; Eisen, J. L. (1989). Clinical features and phenomenology of obsessive compulsive disorder.</w:t>
      </w:r>
      <w:r>
        <w:t xml:space="preserve"> </w:t>
      </w:r>
      <w:r>
        <w:t xml:space="preserve">SLACK Incorporated Thorofare, NJ</w:t>
      </w:r>
      <w:r>
        <w:t xml:space="preserve">.</w:t>
      </w:r>
    </w:p>
    <w:bookmarkEnd w:id="71"/>
    <w:bookmarkStart w:id="73" w:name="Xc7d6a211b9dba590b2b1c2935d03812cce489d6"/>
    <w:p>
      <w:pPr>
        <w:pStyle w:val="Literaturverzeichnis"/>
      </w:pPr>
      <w:r>
        <w:t xml:space="preserve">Reed, G. F. (1985).</w:t>
      </w:r>
      <w:r>
        <w:t xml:space="preserve"> </w:t>
      </w:r>
      <w:r>
        <w:rPr>
          <w:iCs/>
          <w:i/>
        </w:rPr>
        <w:t xml:space="preserve">Obsessional</w:t>
      </w:r>
      <w:r>
        <w:rPr>
          <w:iCs/>
          <w:i/>
        </w:rPr>
        <w:t xml:space="preserve"> </w:t>
      </w:r>
      <w:r>
        <w:rPr>
          <w:iCs/>
          <w:i/>
        </w:rPr>
        <w:t xml:space="preserve">Experience</w:t>
      </w:r>
      <w:r>
        <w:rPr>
          <w:iCs/>
          <w:i/>
        </w:rPr>
        <w:t xml:space="preserve"> </w:t>
      </w:r>
      <w:r>
        <w:rPr>
          <w:iCs/>
          <w:i/>
        </w:rPr>
        <w:t xml:space="preserve">and</w:t>
      </w:r>
      <w:r>
        <w:rPr>
          <w:iCs/>
          <w:i/>
        </w:rPr>
        <w:t xml:space="preserve"> </w:t>
      </w:r>
      <w:r>
        <w:rPr>
          <w:iCs/>
          <w:i/>
        </w:rPr>
        <w:t xml:space="preserve">Compulsive Behavior</w:t>
      </w:r>
      <w:r>
        <w:rPr>
          <w:iCs/>
          <w:i/>
        </w:rPr>
        <w:t xml:space="preserve">:</w:t>
      </w:r>
      <w:r>
        <w:rPr>
          <w:iCs/>
          <w:i/>
        </w:rPr>
        <w:t xml:space="preserve"> </w:t>
      </w:r>
      <w:r>
        <w:rPr>
          <w:iCs/>
          <w:i/>
        </w:rPr>
        <w:t xml:space="preserve">A Cognitive-structural Approach</w:t>
      </w:r>
      <w:r>
        <w:t xml:space="preserve">.</w:t>
      </w:r>
      <w:r>
        <w:t xml:space="preserve"> </w:t>
      </w:r>
      <w:r>
        <w:t xml:space="preserve">Academic Press</w:t>
      </w:r>
      <w:r>
        <w:t xml:space="preserve">. Retrieved from</w:t>
      </w:r>
      <w:r>
        <w:t xml:space="preserve"> </w:t>
      </w:r>
      <w:hyperlink r:id="rId72">
        <w:r>
          <w:rPr>
            <w:rStyle w:val="Hyperlink"/>
          </w:rPr>
          <w:t xml:space="preserve">https://books.google.co.il/books?id=AGHXzgEACAAJ</w:t>
        </w:r>
      </w:hyperlink>
    </w:p>
    <w:bookmarkEnd w:id="73"/>
    <w:bookmarkStart w:id="74"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4"/>
    <w:bookmarkStart w:id="76"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75">
        <w:r>
          <w:rPr>
            <w:rStyle w:val="Hyperlink"/>
          </w:rPr>
          <w:t xml:space="preserve">http://lmdvr.r-forge.r-project.org</w:t>
        </w:r>
      </w:hyperlink>
    </w:p>
    <w:bookmarkEnd w:id="76"/>
    <w:bookmarkStart w:id="78"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77">
        <w:r>
          <w:rPr>
            <w:rStyle w:val="Hyperlink"/>
          </w:rPr>
          <w:t xml:space="preserve">https://CRAN.R-project.org/package=GGally</w:t>
        </w:r>
      </w:hyperlink>
    </w:p>
    <w:bookmarkEnd w:id="78"/>
    <w:bookmarkStart w:id="79" w:name="ref-shapiroNeuroticStyles1965"/>
    <w:p>
      <w:pPr>
        <w:pStyle w:val="Literaturverzeichnis"/>
      </w:pPr>
      <w:r>
        <w:t xml:space="preserve">Shapiro, D. (1965).</w:t>
      </w:r>
      <w:r>
        <w:t xml:space="preserve"> </w:t>
      </w:r>
      <w:r>
        <w:rPr>
          <w:iCs/>
          <w:i/>
        </w:rPr>
        <w:t xml:space="preserve">Neurotic styles.</w:t>
      </w:r>
    </w:p>
    <w:bookmarkEnd w:id="79"/>
    <w:bookmarkStart w:id="81" w:name="Xad737db8e2e93affedf020a17e71c3c84c27e49"/>
    <w:p>
      <w:pPr>
        <w:pStyle w:val="Literaturverzeichnis"/>
      </w:pPr>
      <w:r>
        <w:t xml:space="preserve">Toffolo, M. B. J., van den Hout, M. A., Engelhard, I. M., Hooge, I. T. C., &amp; Cat, D. C. (2016). Patients</w:t>
      </w:r>
      <w:r>
        <w:t xml:space="preserve"> </w:t>
      </w:r>
      <w:r>
        <w:t xml:space="preserve">With Obsessive-Compulsive Disorder Check Excessively</w:t>
      </w:r>
      <w:r>
        <w:t xml:space="preserve"> </w:t>
      </w:r>
      <w:r>
        <w:t xml:space="preserve">in</w:t>
      </w:r>
      <w:r>
        <w:t xml:space="preserve"> </w:t>
      </w:r>
      <w:r>
        <w:t xml:space="preserve">Response</w:t>
      </w:r>
      <w:r>
        <w:t xml:space="preserve"> </w:t>
      </w:r>
      <w:r>
        <w:t xml:space="preserve">to</w:t>
      </w:r>
      <w:r>
        <w:t xml:space="preserve"> </w:t>
      </w:r>
      <w:r>
        <w:t xml:space="preserve">Mild Uncertainty</w:t>
      </w:r>
      <w:r>
        <w:t xml:space="preserve">.</w:t>
      </w:r>
      <w:r>
        <w:t xml:space="preserve"> </w:t>
      </w:r>
      <w:r>
        <w:rPr>
          <w:iCs/>
          <w:i/>
        </w:rPr>
        <w:t xml:space="preserve">Behavior Therapy</w:t>
      </w:r>
      <w:r>
        <w:t xml:space="preserve">,</w:t>
      </w:r>
      <w:r>
        <w:t xml:space="preserve"> </w:t>
      </w:r>
      <w:r>
        <w:rPr>
          <w:iCs/>
          <w:i/>
        </w:rPr>
        <w:t xml:space="preserve">47</w:t>
      </w:r>
      <w:r>
        <w:t xml:space="preserve">(4), 550–559.</w:t>
      </w:r>
      <w:r>
        <w:t xml:space="preserve"> </w:t>
      </w:r>
      <w:hyperlink r:id="rId80">
        <w:r>
          <w:rPr>
            <w:rStyle w:val="Hyperlink"/>
          </w:rPr>
          <w:t xml:space="preserve">https://doi.org/10.1016/j.beth.2016.04.002</w:t>
        </w:r>
      </w:hyperlink>
    </w:p>
    <w:bookmarkEnd w:id="81"/>
    <w:bookmarkStart w:id="82" w:name="ref-toffolo2014uncertainty"/>
    <w:p>
      <w:pPr>
        <w:pStyle w:val="Literaturverzeichnis"/>
      </w:pPr>
      <w:r>
        <w:t xml:space="preserve">Toffolo, M. B., Hout, M. A. van den, Engelhard, I. M., Hooge, I. T., &amp; Cath, D. C. (2014). Uncertainty, checking, and intolerance of uncertainty in subclinical obsessive compulsive disorder: An 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82"/>
    <w:bookmarkStart w:id="83" w:name="ref-toffolo2013mild"/>
    <w:p>
      <w:pPr>
        <w:pStyle w:val="Literaturverzeichnis"/>
      </w:pPr>
      <w:r>
        <w:t xml:space="preserve">Toffolo, M. B., Hout, M. A. van den,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83"/>
    <w:bookmarkStart w:id="84" w:name="Xe17695638ff54b5412895fab6091352aa09edde"/>
    <w:p>
      <w:pPr>
        <w:pStyle w:val="Literaturverzeichnis"/>
      </w:pPr>
      <w:r>
        <w:t xml:space="preserve">Toffolo, M. B., van den Hout, M. A., Engelhard, I. M., Hooge, I. T., &amp; Cat, D. C. (2014). Uncertainty, checking, and intolerance of uncertainty in subclinical obsessive compulsive disorder:</w:t>
      </w:r>
      <w:r>
        <w:t xml:space="preserve"> </w:t>
      </w:r>
      <w:r>
        <w:t xml:space="preserve">An</w:t>
      </w:r>
      <w:r>
        <w:t xml:space="preserve"> </w:t>
      </w:r>
      <w:r>
        <w:t xml:space="preserve">extended replication.</w:t>
      </w:r>
      <w:r>
        <w:t xml:space="preserve"> </w:t>
      </w:r>
      <w:r>
        <w:rPr>
          <w:iCs/>
          <w:i/>
        </w:rPr>
        <w:t xml:space="preserve">Journal of Obsessive-Compulsive and Related Disorders</w:t>
      </w:r>
      <w:r>
        <w:t xml:space="preserve">,</w:t>
      </w:r>
      <w:r>
        <w:t xml:space="preserve"> </w:t>
      </w:r>
      <w:r>
        <w:rPr>
          <w:iCs/>
          <w:i/>
        </w:rPr>
        <w:t xml:space="preserve">3</w:t>
      </w:r>
      <w:r>
        <w:t xml:space="preserve">(4), 338–344.</w:t>
      </w:r>
    </w:p>
    <w:bookmarkEnd w:id="84"/>
    <w:bookmarkStart w:id="85" w:name="ref-toffolo2016patients"/>
    <w:p>
      <w:pPr>
        <w:pStyle w:val="Literaturverzeichnis"/>
      </w:pPr>
      <w:r>
        <w:t xml:space="preserve">Toffolo, M. B., Van Den Hout, M. A., Engelhard, I. M., Hooge, I. T., &amp; Cath, D. C. (2016). Patients with obsessive-compulsive disorder check excessively in response to mild uncertainty.</w:t>
      </w:r>
      <w:r>
        <w:t xml:space="preserve"> </w:t>
      </w:r>
      <w:r>
        <w:rPr>
          <w:iCs/>
          <w:i/>
        </w:rPr>
        <w:t xml:space="preserve">Behavior Therapy</w:t>
      </w:r>
      <w:r>
        <w:t xml:space="preserve">,</w:t>
      </w:r>
      <w:r>
        <w:t xml:space="preserve"> </w:t>
      </w:r>
      <w:r>
        <w:rPr>
          <w:iCs/>
          <w:i/>
        </w:rPr>
        <w:t xml:space="preserve">47</w:t>
      </w:r>
      <w:r>
        <w:t xml:space="preserve">(4), 550–559.</w:t>
      </w:r>
    </w:p>
    <w:bookmarkEnd w:id="85"/>
    <w:bookmarkStart w:id="86" w:name="ref-toffoloMildUncertaintyPromotes2013"/>
    <w:p>
      <w:pPr>
        <w:pStyle w:val="Literaturverzeichnis"/>
      </w:pPr>
      <w:r>
        <w:t xml:space="preserve">Toffolo, M. B., van den Hout, M. A., Hooge, I. T., Engelhard, I. M., &amp; Cath, D. C. (2013). Mild uncertainty promotes checking behavior in subclinical obsessive-compulsive disorder.</w:t>
      </w:r>
      <w:r>
        <w:t xml:space="preserve"> </w:t>
      </w:r>
      <w:r>
        <w:rPr>
          <w:iCs/>
          <w:i/>
        </w:rPr>
        <w:t xml:space="preserve">Clinical Psychological Science</w:t>
      </w:r>
      <w:r>
        <w:t xml:space="preserve">,</w:t>
      </w:r>
      <w:r>
        <w:t xml:space="preserve"> </w:t>
      </w:r>
      <w:r>
        <w:rPr>
          <w:iCs/>
          <w:i/>
        </w:rPr>
        <w:t xml:space="preserve">1</w:t>
      </w:r>
      <w:r>
        <w:t xml:space="preserve">(2), 103–109.</w:t>
      </w:r>
    </w:p>
    <w:bookmarkEnd w:id="86"/>
    <w:bookmarkStart w:id="88"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7">
        <w:r>
          <w:rPr>
            <w:rStyle w:val="Hyperlink"/>
          </w:rPr>
          <w:t xml:space="preserve">https://ggplot2.tidyverse.org</w:t>
        </w:r>
      </w:hyperlink>
    </w:p>
    <w:bookmarkEnd w:id="88"/>
    <w:bookmarkStart w:id="90"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89">
        <w:r>
          <w:rPr>
            <w:rStyle w:val="Hyperlink"/>
          </w:rPr>
          <w:t xml:space="preserve">https://CRAN.R-project.org/package=stringr</w:t>
        </w:r>
      </w:hyperlink>
    </w:p>
    <w:bookmarkEnd w:id="90"/>
    <w:bookmarkStart w:id="92"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91">
        <w:r>
          <w:rPr>
            <w:rStyle w:val="Hyperlink"/>
          </w:rPr>
          <w:t xml:space="preserve">https://CRAN.R-project.org/package=forcats</w:t>
        </w:r>
      </w:hyperlink>
    </w:p>
    <w:bookmarkEnd w:id="92"/>
    <w:bookmarkStart w:id="94"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93">
        <w:r>
          <w:rPr>
            <w:rStyle w:val="Hyperlink"/>
          </w:rPr>
          <w:t xml:space="preserve">https://CRAN.R-project.org/package=tidyr</w:t>
        </w:r>
      </w:hyperlink>
    </w:p>
    <w:bookmarkEnd w:id="94"/>
    <w:bookmarkStart w:id="96"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5">
        <w:r>
          <w:rPr>
            <w:rStyle w:val="Hyperlink"/>
          </w:rPr>
          <w:t xml:space="preserve">https://doi.org/10.21105/joss.01686</w:t>
        </w:r>
      </w:hyperlink>
    </w:p>
    <w:bookmarkEnd w:id="96"/>
    <w:bookmarkStart w:id="98" w:name="ref-R-usethis"/>
    <w:p>
      <w:pPr>
        <w:pStyle w:val="Literaturverzeichnis"/>
      </w:pPr>
      <w:r>
        <w:t xml:space="preserve">Wickham, H., Bryan, J., &amp; Barrett, M. (2022).</w:t>
      </w:r>
      <w:r>
        <w:t xml:space="preserve"> </w:t>
      </w:r>
      <w:r>
        <w:rPr>
          <w:iCs/>
          <w:i/>
        </w:rPr>
        <w:t xml:space="preserve">Usethis: Automate package and project setup</w:t>
      </w:r>
      <w:r>
        <w:t xml:space="preserve">. Retrieved from</w:t>
      </w:r>
      <w:r>
        <w:t xml:space="preserve"> </w:t>
      </w:r>
      <w:hyperlink r:id="rId97">
        <w:r>
          <w:rPr>
            <w:rStyle w:val="Hyperlink"/>
          </w:rPr>
          <w:t xml:space="preserve">https://CRAN.R-project.org/package=usethis</w:t>
        </w:r>
      </w:hyperlink>
    </w:p>
    <w:bookmarkEnd w:id="98"/>
    <w:bookmarkStart w:id="100"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99">
        <w:r>
          <w:rPr>
            <w:rStyle w:val="Hyperlink"/>
          </w:rPr>
          <w:t xml:space="preserve">https://CRAN.R-project.org/package=dplyr</w:t>
        </w:r>
      </w:hyperlink>
    </w:p>
    <w:bookmarkEnd w:id="100"/>
    <w:bookmarkStart w:id="102"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101">
        <w:r>
          <w:rPr>
            <w:rStyle w:val="Hyperlink"/>
          </w:rPr>
          <w:t xml:space="preserve">https://CRAN.R-project.org/package=readr</w:t>
        </w:r>
      </w:hyperlink>
    </w:p>
    <w:bookmarkEnd w:id="102"/>
    <w:bookmarkStart w:id="104" w:name="ref-R-devtools"/>
    <w:p>
      <w:pPr>
        <w:pStyle w:val="Literaturverzeichnis"/>
      </w:pPr>
      <w:r>
        <w:t xml:space="preserve">Wickham, H., Hester, J., Chang, W., &amp; Bryan, J. (2022).</w:t>
      </w:r>
      <w:r>
        <w:t xml:space="preserve"> </w:t>
      </w:r>
      <w:r>
        <w:rPr>
          <w:iCs/>
          <w:i/>
        </w:rPr>
        <w:t xml:space="preserve">Devtools: Tools to make developing r packages easier</w:t>
      </w:r>
      <w:r>
        <w:t xml:space="preserve">. Retrieved from</w:t>
      </w:r>
      <w:r>
        <w:t xml:space="preserve"> </w:t>
      </w:r>
      <w:hyperlink r:id="rId103">
        <w:r>
          <w:rPr>
            <w:rStyle w:val="Hyperlink"/>
          </w:rPr>
          <w:t xml:space="preserve">https://CRAN.R-project.org/package=devtools</w:t>
        </w:r>
      </w:hyperlink>
    </w:p>
    <w:bookmarkEnd w:id="104"/>
    <w:bookmarkStart w:id="106"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105">
        <w:r>
          <w:rPr>
            <w:rStyle w:val="Hyperlink"/>
          </w:rPr>
          <w:t xml:space="preserve">https://CRAN.R-project.org/package=cowplot</w:t>
        </w:r>
      </w:hyperlink>
    </w:p>
    <w:bookmarkEnd w:id="106"/>
    <w:bookmarkEnd w:id="107"/>
    <w:bookmarkEnd w:id="10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OBSESSIVE COMPULSIVE VISUAL SEARCH: A REEXAMINATION OF PRESENCE-ABSENCE ASYMMETRIES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OBSESSIVE COMPULSIVE VISUAL SEARCH: A REEXAMINATION OF PRESENCE-ABSENCE ASYMMETRIES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ng" /><Relationship Type="http://schemas.openxmlformats.org/officeDocument/2006/relationships/hyperlink" Id="rId75" Target="http://lmdvr.r-forge.r-project.org" TargetMode="External" /><Relationship Type="http://schemas.openxmlformats.org/officeDocument/2006/relationships/hyperlink" Id="rId77" Target="https://CRAN.R-project.org/package=GGally" TargetMode="External" /><Relationship Type="http://schemas.openxmlformats.org/officeDocument/2006/relationships/hyperlink" Id="rId47" Target="https://CRAN.R-project.org/package=Matrix" TargetMode="External" /><Relationship Type="http://schemas.openxmlformats.org/officeDocument/2006/relationships/hyperlink" Id="rId59" Target="https://CRAN.R-project.org/package=caret" TargetMode="External" /><Relationship Type="http://schemas.openxmlformats.org/officeDocument/2006/relationships/hyperlink" Id="rId105" Target="https://CRAN.R-project.org/package=cowplot" TargetMode="External" /><Relationship Type="http://schemas.openxmlformats.org/officeDocument/2006/relationships/hyperlink" Id="rId103" Target="https://CRAN.R-project.org/package=devtools" TargetMode="External" /><Relationship Type="http://schemas.openxmlformats.org/officeDocument/2006/relationships/hyperlink" Id="rId99" Target="https://CRAN.R-project.org/package=dplyr" TargetMode="External" /><Relationship Type="http://schemas.openxmlformats.org/officeDocument/2006/relationships/hyperlink" Id="rId91" Target="https://CRAN.R-project.org/package=forcats" TargetMode="External" /><Relationship Type="http://schemas.openxmlformats.org/officeDocument/2006/relationships/hyperlink" Id="rId57" Target="https://CRAN.R-project.org/package=ggpubr" TargetMode="External" /><Relationship Type="http://schemas.openxmlformats.org/officeDocument/2006/relationships/hyperlink" Id="rId49" Target="https://CRAN.R-project.org/package=piggyback" TargetMode="External" /><Relationship Type="http://schemas.openxmlformats.org/officeDocument/2006/relationships/hyperlink" Id="rId55" Target="https://CRAN.R-project.org/package=purrr" TargetMode="External" /><Relationship Type="http://schemas.openxmlformats.org/officeDocument/2006/relationships/hyperlink" Id="rId101" Target="https://CRAN.R-project.org/package=readr" TargetMode="External" /><Relationship Type="http://schemas.openxmlformats.org/officeDocument/2006/relationships/hyperlink" Id="rId51" Target="https://CRAN.R-project.org/package=shiny" TargetMode="External" /><Relationship Type="http://schemas.openxmlformats.org/officeDocument/2006/relationships/hyperlink" Id="rId89"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93" Target="https://CRAN.R-project.org/package=tidyr" TargetMode="External" /><Relationship Type="http://schemas.openxmlformats.org/officeDocument/2006/relationships/hyperlink" Id="rId97" Target="https://CRAN.R-project.org/package=usethis" TargetMode="External" /><Relationship Type="http://schemas.openxmlformats.org/officeDocument/2006/relationships/hyperlink" Id="rId72" Target="https://books.google.co.il/books?id=AGHXzgEACAAJ" TargetMode="External" /><Relationship Type="http://schemas.openxmlformats.org/officeDocument/2006/relationships/hyperlink" Id="rId43" Target="https://cran.r-project.org/package=tinylabels" TargetMode="External" /><Relationship Type="http://schemas.openxmlformats.org/officeDocument/2006/relationships/hyperlink" Id="rId67" Target="https://doi.org/10.1007/b98882" TargetMode="External" /><Relationship Type="http://schemas.openxmlformats.org/officeDocument/2006/relationships/hyperlink" Id="rId80" Target="https://doi.org/10.1016/j.beth.2016.04.002" TargetMode="External" /><Relationship Type="http://schemas.openxmlformats.org/officeDocument/2006/relationships/hyperlink" Id="rId41" Target="https://doi.org/10.1038/npp.2014.303" TargetMode="External" /><Relationship Type="http://schemas.openxmlformats.org/officeDocument/2006/relationships/hyperlink" Id="rId53" Target="https://doi.org/10.1038/s41598-017-06116-z" TargetMode="External" /><Relationship Type="http://schemas.openxmlformats.org/officeDocument/2006/relationships/hyperlink" Id="rId45" Target="https://doi.org/10.18637/jss.v067.i01" TargetMode="External" /><Relationship Type="http://schemas.openxmlformats.org/officeDocument/2006/relationships/hyperlink" Id="rId61" Target="https://doi.org/10.18637/jss.v082.i13" TargetMode="External" /><Relationship Type="http://schemas.openxmlformats.org/officeDocument/2006/relationships/hyperlink" Id="rId95" Target="https://doi.org/10.21105/joss.01686" TargetMode="External" /><Relationship Type="http://schemas.openxmlformats.org/officeDocument/2006/relationships/hyperlink" Id="rId87" Target="https://ggplot2.tidyverse.org" TargetMode="External" /><Relationship Type="http://schemas.openxmlformats.org/officeDocument/2006/relationships/hyperlink" Id="rId37" Target="https://github.com/crsh/citr" TargetMode="External" /><Relationship Type="http://schemas.openxmlformats.org/officeDocument/2006/relationships/hyperlink" Id="rId39" Target="https://github.com/crsh/papaja" TargetMode="External" /><Relationship Type="http://schemas.openxmlformats.org/officeDocument/2006/relationships/hyperlink" Id="rId28" Target="https://osf.io/8a5mr" TargetMode="External" /><Relationship Type="http://schemas.openxmlformats.org/officeDocument/2006/relationships/hyperlink" Id="rId69"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75" Target="http://lmdvr.r-forge.r-project.org" TargetMode="External" /><Relationship Type="http://schemas.openxmlformats.org/officeDocument/2006/relationships/hyperlink" Id="rId77" Target="https://CRAN.R-project.org/package=GGally" TargetMode="External" /><Relationship Type="http://schemas.openxmlformats.org/officeDocument/2006/relationships/hyperlink" Id="rId47" Target="https://CRAN.R-project.org/package=Matrix" TargetMode="External" /><Relationship Type="http://schemas.openxmlformats.org/officeDocument/2006/relationships/hyperlink" Id="rId59" Target="https://CRAN.R-project.org/package=caret" TargetMode="External" /><Relationship Type="http://schemas.openxmlformats.org/officeDocument/2006/relationships/hyperlink" Id="rId105" Target="https://CRAN.R-project.org/package=cowplot" TargetMode="External" /><Relationship Type="http://schemas.openxmlformats.org/officeDocument/2006/relationships/hyperlink" Id="rId103" Target="https://CRAN.R-project.org/package=devtools" TargetMode="External" /><Relationship Type="http://schemas.openxmlformats.org/officeDocument/2006/relationships/hyperlink" Id="rId99" Target="https://CRAN.R-project.org/package=dplyr" TargetMode="External" /><Relationship Type="http://schemas.openxmlformats.org/officeDocument/2006/relationships/hyperlink" Id="rId91" Target="https://CRAN.R-project.org/package=forcats" TargetMode="External" /><Relationship Type="http://schemas.openxmlformats.org/officeDocument/2006/relationships/hyperlink" Id="rId57" Target="https://CRAN.R-project.org/package=ggpubr" TargetMode="External" /><Relationship Type="http://schemas.openxmlformats.org/officeDocument/2006/relationships/hyperlink" Id="rId49" Target="https://CRAN.R-project.org/package=piggyback" TargetMode="External" /><Relationship Type="http://schemas.openxmlformats.org/officeDocument/2006/relationships/hyperlink" Id="rId55" Target="https://CRAN.R-project.org/package=purrr" TargetMode="External" /><Relationship Type="http://schemas.openxmlformats.org/officeDocument/2006/relationships/hyperlink" Id="rId101" Target="https://CRAN.R-project.org/package=readr" TargetMode="External" /><Relationship Type="http://schemas.openxmlformats.org/officeDocument/2006/relationships/hyperlink" Id="rId51" Target="https://CRAN.R-project.org/package=shiny" TargetMode="External" /><Relationship Type="http://schemas.openxmlformats.org/officeDocument/2006/relationships/hyperlink" Id="rId89"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93" Target="https://CRAN.R-project.org/package=tidyr" TargetMode="External" /><Relationship Type="http://schemas.openxmlformats.org/officeDocument/2006/relationships/hyperlink" Id="rId97" Target="https://CRAN.R-project.org/package=usethis" TargetMode="External" /><Relationship Type="http://schemas.openxmlformats.org/officeDocument/2006/relationships/hyperlink" Id="rId72" Target="https://books.google.co.il/books?id=AGHXzgEACAAJ" TargetMode="External" /><Relationship Type="http://schemas.openxmlformats.org/officeDocument/2006/relationships/hyperlink" Id="rId43" Target="https://cran.r-project.org/package=tinylabels" TargetMode="External" /><Relationship Type="http://schemas.openxmlformats.org/officeDocument/2006/relationships/hyperlink" Id="rId67" Target="https://doi.org/10.1007/b98882" TargetMode="External" /><Relationship Type="http://schemas.openxmlformats.org/officeDocument/2006/relationships/hyperlink" Id="rId80" Target="https://doi.org/10.1016/j.beth.2016.04.002" TargetMode="External" /><Relationship Type="http://schemas.openxmlformats.org/officeDocument/2006/relationships/hyperlink" Id="rId41" Target="https://doi.org/10.1038/npp.2014.303" TargetMode="External" /><Relationship Type="http://schemas.openxmlformats.org/officeDocument/2006/relationships/hyperlink" Id="rId53" Target="https://doi.org/10.1038/s41598-017-06116-z" TargetMode="External" /><Relationship Type="http://schemas.openxmlformats.org/officeDocument/2006/relationships/hyperlink" Id="rId45" Target="https://doi.org/10.18637/jss.v067.i01" TargetMode="External" /><Relationship Type="http://schemas.openxmlformats.org/officeDocument/2006/relationships/hyperlink" Id="rId61" Target="https://doi.org/10.18637/jss.v082.i13" TargetMode="External" /><Relationship Type="http://schemas.openxmlformats.org/officeDocument/2006/relationships/hyperlink" Id="rId95" Target="https://doi.org/10.21105/joss.01686" TargetMode="External" /><Relationship Type="http://schemas.openxmlformats.org/officeDocument/2006/relationships/hyperlink" Id="rId87" Target="https://ggplot2.tidyverse.org" TargetMode="External" /><Relationship Type="http://schemas.openxmlformats.org/officeDocument/2006/relationships/hyperlink" Id="rId37" Target="https://github.com/crsh/citr" TargetMode="External" /><Relationship Type="http://schemas.openxmlformats.org/officeDocument/2006/relationships/hyperlink" Id="rId39" Target="https://github.com/crsh/papaja" TargetMode="External" /><Relationship Type="http://schemas.openxmlformats.org/officeDocument/2006/relationships/hyperlink" Id="rId28" Target="https://osf.io/8a5mr" TargetMode="External" /><Relationship Type="http://schemas.openxmlformats.org/officeDocument/2006/relationships/hyperlink" Id="rId69"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Obsessive Compulsive visual search: a reexamination of presence-absence asymmetries</dc:title>
  <dc:creator/>
  <cp:keywords/>
  <dcterms:created xsi:type="dcterms:W3CDTF">2023-07-16T08:24:25Z</dcterms:created>
  <dcterms:modified xsi:type="dcterms:W3CDTF">2023-07-16T08:24:25Z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r-references_full_paper.bib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Obsessive Compulsive visual search: a reexamination of presence-absence asymmetries</vt:lpwstr>
  </property>
  <property fmtid="{D5CDD505-2E9C-101B-9397-08002B2CF9AE}" pid="15" name="tablelist">
    <vt:lpwstr>False</vt:lpwstr>
  </property>
</Properties>
</file>