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Subclinical</w:t>
      </w:r>
      <w:r>
        <w:t xml:space="preserve"> </w:t>
      </w:r>
      <w:r>
        <w:t xml:space="preserve">OCD</w:t>
      </w:r>
      <w:r>
        <w:t xml:space="preserve"> </w:t>
      </w:r>
      <w:r>
        <w:t xml:space="preserve">and</w:t>
      </w:r>
      <w:r>
        <w:t xml:space="preserve"> </w:t>
      </w:r>
      <w:r>
        <w:t xml:space="preserve">inference</w:t>
      </w:r>
      <w:r>
        <w:t xml:space="preserve"> </w:t>
      </w:r>
      <w:r>
        <w:t xml:space="preserve">about</w:t>
      </w:r>
      <w:r>
        <w:t xml:space="preserve"> </w:t>
      </w:r>
      <w:r>
        <w:t xml:space="preserve">absence</w:t>
      </w:r>
      <w:r>
        <w:t xml:space="preserve"> </w:t>
      </w:r>
      <w:r>
        <w:t xml:space="preserve">in</w:t>
      </w:r>
      <w:r>
        <w:t xml:space="preserve"> </w:t>
      </w:r>
      <w:r>
        <w:t xml:space="preserve">visual</w:t>
      </w:r>
      <w:r>
        <w:t xml:space="preserve"> </w:t>
      </w:r>
      <w:r>
        <w:t xml:space="preserve">search</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Subclinical OCD and inference about absence in visual search</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w:t>
      </w:r>
      <w:r>
        <w:t xml:space="preserve">Banca et al. (2015)</w:t>
      </w:r>
      <w:r>
        <w:t xml:space="preserve">;</w:t>
      </w:r>
      <w:r>
        <w:t xml:space="preserve"> </w:t>
      </w:r>
      <w:r>
        <w:t xml:space="preserve">Hauser et al. (2017)</w:t>
      </w:r>
      <w:r>
        <w:t xml:space="preserve">. Previous studies found that participants with high obsessive compulsive tendencies (OC+) take longer to decide that a target is absent from a visual search array compared to those with low obsessive compulsive tendencies (OC-;</w:t>
      </w:r>
      <w:r>
        <w:t xml:space="preserve"> </w:t>
      </w:r>
      <w:r>
        <w:t xml:space="preserve">M. B. Toffolo, van den Hout, Hooge, Engelhard, and Cath (2013)</w:t>
      </w:r>
      <w:r>
        <w:t xml:space="preserve">). These finding have been replicated</w:t>
      </w:r>
      <w:r>
        <w:t xml:space="preserve"> </w:t>
      </w:r>
      <w:r>
        <w:t xml:space="preserve">(M. B. Toffolo, van den Hout, Engelhard, Hooge, &amp; Cat, 2014)</w:t>
      </w:r>
      <w:r>
        <w:t xml:space="preserve"> </w:t>
      </w:r>
      <w:r>
        <w:t xml:space="preserve">and extended to a clinical sample, where they were found to be specific to patients with OCD and absent in those suffering from anxiety</w:t>
      </w:r>
      <w:r>
        <w:t xml:space="preserve"> </w:t>
      </w:r>
      <w:r>
        <w:t xml:space="preserve">(M. B. J. Toffolo, van den Hout, Engelhard, Hooge, &amp; Cat, 2016)</w:t>
      </w:r>
      <w:r>
        <w:t xml:space="preserve">.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p>
      <w:pPr>
        <w:pStyle w:val="SourceCode"/>
      </w:pPr>
      <w:r>
        <w:rPr>
          <w:rStyle w:val="VerbatimChar"/>
        </w:rPr>
        <w:t xml:space="preserve">## Warning in left_join(., demo_prolific, by = "subj_id"): Detected an unexpected many-to-many relationship between `x` and `y`.</w:t>
      </w:r>
      <w:r>
        <w:br/>
      </w:r>
      <w:r>
        <w:rPr>
          <w:rStyle w:val="VerbatimChar"/>
        </w:rPr>
        <w:t xml:space="preserve">## i Row 30049 of `x` matches multiple rows in `y`.</w:t>
      </w:r>
      <w:r>
        <w:br/>
      </w:r>
      <w:r>
        <w:rPr>
          <w:rStyle w:val="VerbatimChar"/>
        </w:rPr>
        <w:t xml:space="preserve">## i Row 581 of `y` matches multiple rows in `x`.</w:t>
      </w:r>
      <w:r>
        <w:br/>
      </w:r>
      <w:r>
        <w:rPr>
          <w:rStyle w:val="VerbatimChar"/>
        </w:rPr>
        <w:t xml:space="preserve">## i If a many-to-many relationship is expected, set `relationship =</w:t>
      </w:r>
      <w:r>
        <w:br/>
      </w:r>
      <w:r>
        <w:rPr>
          <w:rStyle w:val="VerbatimChar"/>
        </w:rPr>
        <w:t xml:space="preserve">##   "many-to-many"` to silence this warning.</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(M. B. 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M. B. Toffolo, Hout,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(M. B. Toffolo, Hout,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4.1.2;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1.0.5; Robinson, Hayes, &amp; Couch, 2021)</w:t>
      </w:r>
      <w:r>
        <w:t xml:space="preserve">,</w:t>
      </w:r>
      <w:r>
        <w:t xml:space="preserve"> </w:t>
      </w:r>
      <w:r>
        <w:rPr>
          <w:iCs/>
          <w:i/>
        </w:rPr>
        <w:t xml:space="preserve">caret</w:t>
      </w:r>
      <w:r>
        <w:t xml:space="preserve"> </w:t>
      </w:r>
      <w:r>
        <w:t xml:space="preserve">(Version 6.0.94;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1.1.2; Wickham, Fran?ois, Henry, &amp; M?ller, 2021)</w:t>
      </w:r>
      <w:r>
        <w:t xml:space="preserve">,</w:t>
      </w:r>
      <w:r>
        <w:t xml:space="preserve"> </w:t>
      </w:r>
      <w:r>
        <w:rPr>
          <w:iCs/>
          <w:i/>
        </w:rPr>
        <w:t xml:space="preserve">forcats</w:t>
      </w:r>
      <w:r>
        <w:t xml:space="preserve"> </w:t>
      </w:r>
      <w:r>
        <w:t xml:space="preserve">(Version 1.0.0;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2020)</w:t>
      </w:r>
      <w:r>
        <w:t xml:space="preserve">,</w:t>
      </w:r>
      <w:r>
        <w:t xml:space="preserve"> </w:t>
      </w:r>
      <w:r>
        <w:rPr>
          <w:iCs/>
          <w:i/>
        </w:rPr>
        <w:t xml:space="preserve">lattice</w:t>
      </w:r>
      <w:r>
        <w:t xml:space="preserve"> </w:t>
      </w:r>
      <w:r>
        <w:t xml:space="preserve">(Version 0.20.45; Sarkar, 2008)</w:t>
      </w:r>
      <w:r>
        <w:t xml:space="preserve">,</w:t>
      </w:r>
      <w:r>
        <w:t xml:space="preserve"> </w:t>
      </w:r>
      <w:r>
        <w:rPr>
          <w:iCs/>
          <w:i/>
        </w:rPr>
        <w:t xml:space="preserve">lme4</w:t>
      </w:r>
      <w:r>
        <w:t xml:space="preserve"> </w:t>
      </w:r>
      <w:r>
        <w:t xml:space="preserve">(Version 1.1.32;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Matrix</w:t>
      </w:r>
      <w:r>
        <w:t xml:space="preserve"> </w:t>
      </w:r>
      <w:r>
        <w:t xml:space="preserve">(Version 1.5.4; Bates &amp; Maechler, 2021)</w:t>
      </w:r>
      <w:r>
        <w:t xml:space="preserve">,</w:t>
      </w:r>
      <w:r>
        <w:t xml:space="preserve"> </w:t>
      </w:r>
      <w:r>
        <w:rPr>
          <w:iCs/>
          <w:i/>
        </w:rPr>
        <w:t xml:space="preserve">nlme</w:t>
      </w:r>
      <w:r>
        <w:t xml:space="preserve"> </w:t>
      </w:r>
      <w:r>
        <w:t xml:space="preserve">(Version 3.1.162;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piggyback</w:t>
      </w:r>
      <w:r>
        <w:t xml:space="preserve"> </w:t>
      </w:r>
      <w:r>
        <w:t xml:space="preserve">(Version 0.1.4; Boettiger &amp; Ho, 2022)</w:t>
      </w:r>
      <w:r>
        <w:t xml:space="preserve">,</w:t>
      </w:r>
      <w:r>
        <w:t xml:space="preserve"> </w:t>
      </w:r>
      <w:r>
        <w:rPr>
          <w:iCs/>
          <w:i/>
        </w:rPr>
        <w:t xml:space="preserve">purrr</w:t>
      </w:r>
      <w:r>
        <w:t xml:space="preserve"> </w:t>
      </w:r>
      <w:r>
        <w:t xml:space="preserve">(Version 1.0.1; Henry &amp; Wickham, 2020)</w:t>
      </w:r>
      <w:r>
        <w:t xml:space="preserve">,</w:t>
      </w:r>
      <w:r>
        <w:t xml:space="preserve"> </w:t>
      </w:r>
      <w:r>
        <w:rPr>
          <w:iCs/>
          <w:i/>
        </w:rPr>
        <w:t xml:space="preserve">readr</w:t>
      </w:r>
      <w:r>
        <w:t xml:space="preserve"> </w:t>
      </w:r>
      <w:r>
        <w:t xml:space="preserve">(Version 2.1.4;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1.5.0; Wickham, 2019)</w:t>
      </w:r>
      <w:r>
        <w:t xml:space="preserve">,</w:t>
      </w:r>
      <w:r>
        <w:t xml:space="preserve"> </w:t>
      </w:r>
      <w:r>
        <w:rPr>
          <w:iCs/>
          <w:i/>
        </w:rPr>
        <w:t xml:space="preserve">tibble</w:t>
      </w:r>
      <w:r>
        <w:t xml:space="preserve"> </w:t>
      </w:r>
      <w:r>
        <w:t xml:space="preserve">(Version 3.2.1; M&lt;U+00FC&gt;ller &amp; Wickham, 2021)</w:t>
      </w:r>
      <w:r>
        <w:t xml:space="preserve">,</w:t>
      </w:r>
      <w:r>
        <w:t xml:space="preserve"> </w:t>
      </w:r>
      <w:r>
        <w:rPr>
          <w:iCs/>
          <w:i/>
        </w:rPr>
        <w:t xml:space="preserve">tidyr</w:t>
      </w:r>
      <w:r>
        <w:t xml:space="preserve"> </w:t>
      </w:r>
      <w:r>
        <w:t xml:space="preserve">(Version 1.3.0; Wickham, 2021b)</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2.2.0;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Hypotheses 1 and 2 - Task validation</w:t>
      </w:r>
      <w:r>
        <w:rPr>
          <w:iCs/>
          <w:i/>
        </w:rPr>
        <w:t xml:space="preserve"> </w:t>
      </w:r>
      <w:r>
        <w:t xml:space="preserve"> </w:t>
      </w:r>
      <w:r>
        <w:t xml:space="preserve">- 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104.76 ms/item compared to the easy search 39.19 ms/item,</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 Furthermore, a one-tailed paired t-test revealed that target-present slopes in the hard search 75.73 ms/item were steeper than target-absent slopes in the easy search 58.64 ms/item,</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w:t>
      </w:r>
      <w:r>
        <w:t xml:space="preserve">(pre-registered hypothesis H2).</w:t>
      </w:r>
    </w:p>
    <w:p>
      <w:pPr>
        <w:pStyle w:val="Textkrpe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pPr>
        <w:pStyle w:val="Textkrper"/>
      </w:pPr>
      <w:r>
        <w:rPr>
          <w:iCs/>
          <w:i/>
        </w:rPr>
        <w:t xml:space="preserve">Hypothesis 3 - Replication of Toffolo et al. (2013), mean RT</w:t>
      </w:r>
      <w:r>
        <w:t xml:space="preserve"> </w:t>
      </w:r>
      <w:r>
        <w:t xml:space="preserve">To directly replicate the findings of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wherein the mean RT difference between the OC+ and OC- groups would be significantly larger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suggesting no difference in mean RT between the OC+ and OC- groups in either target-present or target-absent trials (figure 3).</w:t>
      </w:r>
    </w:p>
    <w:p>
      <w:pPr>
        <w:pStyle w:val="Textkrper"/>
      </w:pPr>
      <w:r>
        <w:rPr>
          <w:iCs/>
          <w:i/>
        </w:rPr>
        <w:t xml:space="preserve">Hypothesis 4: Extension of Toffolo et al. (2013), search slopes</w:t>
      </w:r>
      <w:r>
        <w:t xml:space="preserve"> </w:t>
      </w:r>
      <w:r>
        <w:t xml:space="preserve">Following the previous hypothesis, we conducted the same mixed-effects ANOVA, with group (OC+/OC-) as between-subject variable and target presence (present/absent) as within-subject variables, only this time, we focused on the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0.82</m:t>
        </m:r>
      </m:oMath>
      <w:r>
        <w:t xml:space="preserve">,</w:t>
      </w:r>
      <w:r>
        <w:t xml:space="preserve"> </w:t>
      </w:r>
      <m:oMath>
        <m:r>
          <m:t>p</m:t>
        </m:r>
        <m:r>
          <m:rPr>
            <m:sty m:val="p"/>
          </m:rPr>
          <m:t>=</m:t>
        </m:r>
        <m:r>
          <m:t>.365</m:t>
        </m:r>
      </m:oMath>
      <w:r>
        <w:t xml:space="preserve">, again providing no evidence for a selective slowing of OC+ individuals in target-absent trials.</w:t>
      </w:r>
    </w:p>
    <w:p>
      <w:pPr>
        <w:pStyle w:val="Textkrper"/>
      </w:pPr>
      <w:r>
        <w:rPr>
          <w:iCs/>
          <w:i/>
        </w:rPr>
        <w:t xml:space="preserve">Hypothesis 5: Low-uncertainty inference about absence</w:t>
      </w:r>
      <w:r>
        <w:br/>
      </w: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1.27</m:t>
        </m:r>
      </m:oMath>
      <w:r>
        <w:t xml:space="preserve">,</w:t>
      </w:r>
      <w:r>
        <w:t xml:space="preserve"> </w:t>
      </w:r>
      <m:oMath>
        <m:r>
          <m:t>p</m:t>
        </m:r>
        <m:r>
          <m:rPr>
            <m:sty m:val="p"/>
          </m:rPr>
          <m:t>=</m:t>
        </m:r>
        <m:r>
          <m:t>.260</m:t>
        </m:r>
      </m:oMath>
      <w:r>
        <w:t xml:space="preserve">.</w:t>
      </w:r>
    </w:p>
    <w:p>
      <w:pPr>
        <w:pStyle w:val="SourceCode"/>
      </w:pPr>
      <w:r>
        <w:rPr>
          <w:rStyle w:val="VerbatimChar"/>
        </w:rPr>
        <w:t xml:space="preserve">##   Model      AIC      BIC</w:t>
      </w:r>
      <w:r>
        <w:br/>
      </w:r>
      <w:r>
        <w:rPr>
          <w:rStyle w:val="VerbatimChar"/>
        </w:rPr>
        <w:t xml:space="preserve">## 1    m1 26299.31 26370.25</w:t>
      </w:r>
      <w:r>
        <w:br/>
      </w:r>
      <w:r>
        <w:rPr>
          <w:rStyle w:val="VerbatimChar"/>
        </w:rPr>
        <w:t xml:space="preserve">## 2    m2 26297.91 26368.85</w:t>
      </w:r>
    </w:p>
    <w:p>
      <w:pPr>
        <w:pStyle w:val="FirstParagraph"/>
      </w:pPr>
      <w:r>
        <w:rPr>
          <w:iCs/>
          <w:i/>
        </w:rPr>
        <w:t xml:space="preserve">Hypothesis 6: Model comparison</w:t>
      </w:r>
      <w:r>
        <w:t xml:space="preserve"> </w:t>
      </w: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1). Beyond the search type and the target presence predictors, the first model (M1) included the interaction between group and search type (easy/hard; slope_estimate~ 1+group+search_type * target_presence+ search_type * group), while the second model (M2) included the interaction between group and target presence (absent/present; slope_estimate~ 1+group+ search_type * target_present+target_present * group).</w:t>
      </w:r>
      <w:r>
        <w:t xml:space="preserve"> </w:t>
      </w:r>
      <w:r>
        <w:t xml:space="preserve">Since the two models differ only in their last interaction effect, their complexity (that is, the number of fitted coefficients) is the same, which allowed us to compare these models directly. We compare model performance using their AIC and BIC values. The model comparison table shows that both models have the same AIC and BIC values suggesting that the interaction between group and target presence does not explain search time to a greater extent than the interaction between group and search type.</w:t>
      </w:r>
    </w:p>
    <w:bookmarkEnd w:id="25"/>
    <w:bookmarkStart w:id="26" w:name="discussion"/>
    <w:p>
      <w:pPr>
        <w:pStyle w:val="berschrift1"/>
      </w:pPr>
      <w:r>
        <w:t xml:space="preserve">Discussion</w:t>
      </w:r>
    </w:p>
    <w:p>
      <w:r>
        <w:br w:type="page"/>
      </w:r>
    </w:p>
    <w:bookmarkEnd w:id="26"/>
    <w:bookmarkStart w:id="95" w:name="references"/>
    <w:p>
      <w:pPr>
        <w:pStyle w:val="berschrift1"/>
      </w:pPr>
      <w:r>
        <w:t xml:space="preserve">References</w:t>
      </w:r>
    </w:p>
    <w:bookmarkStart w:id="94" w:name="refs"/>
    <w:bookmarkStart w:id="2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27">
        <w:r>
          <w:rPr>
            <w:rStyle w:val="Hyperlink"/>
          </w:rPr>
          <w:t xml:space="preserve">https://github.com/crsh/citr</w:t>
        </w:r>
      </w:hyperlink>
    </w:p>
    <w:bookmarkEnd w:id="28"/>
    <w:bookmarkStart w:id="3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29">
        <w:r>
          <w:rPr>
            <w:rStyle w:val="Hyperlink"/>
          </w:rPr>
          <w:t xml:space="preserve">https://github.com/crsh/papaja</w:t>
        </w:r>
      </w:hyperlink>
    </w:p>
    <w:bookmarkEnd w:id="30"/>
    <w:bookmarkStart w:id="32" w:name="Xb7d0371dee96e7e2d995e022b68ed11bb221900"/>
    <w:p>
      <w:pPr>
        <w:pStyle w:val="Literaturverzeichnis"/>
      </w:pPr>
      <w:r>
        <w:t xml:space="preserve">Banca, P., Vestergaard, M. D., Rankov, V., Baek, K., Mitchell, S., Lapa, T., … Voon, V. (2015). Evidence</w:t>
      </w:r>
      <w:r>
        <w:t xml:space="preserve"> </w:t>
      </w:r>
      <w:r>
        <w:t xml:space="preserve">Accumulation</w:t>
      </w:r>
      <w:r>
        <w:t xml:space="preserve"> </w:t>
      </w:r>
      <w:r>
        <w:t xml:space="preserve">in</w:t>
      </w:r>
      <w:r>
        <w:t xml:space="preserve"> </w:t>
      </w:r>
      <w:r>
        <w:t xml:space="preserve">Obsessive-Compulsive Disorder</w:t>
      </w:r>
      <w:r>
        <w:t xml:space="preserve">: The</w:t>
      </w:r>
      <w:r>
        <w:t xml:space="preserve"> </w:t>
      </w:r>
      <w:r>
        <w:t xml:space="preserve">Role</w:t>
      </w:r>
      <w:r>
        <w:t xml:space="preserve"> </w:t>
      </w:r>
      <w:r>
        <w:t xml:space="preserve">of</w:t>
      </w:r>
      <w:r>
        <w:t xml:space="preserve"> </w:t>
      </w:r>
      <w:r>
        <w:t xml:space="preserve">Uncertainty</w:t>
      </w:r>
      <w:r>
        <w:t xml:space="preserve"> </w:t>
      </w:r>
      <w:r>
        <w:t xml:space="preserve">and</w:t>
      </w:r>
      <w:r>
        <w:t xml:space="preserve"> </w:t>
      </w:r>
      <w:r>
        <w:t xml:space="preserve">Monetary Reward</w:t>
      </w:r>
      <w:r>
        <w:t xml:space="preserve"> </w:t>
      </w:r>
      <w:r>
        <w:t xml:space="preserve">on</w:t>
      </w:r>
      <w:r>
        <w:t xml:space="preserve"> </w:t>
      </w:r>
      <w:r>
        <w:t xml:space="preserve">Perceptual Decision-Making Thresholds</w:t>
      </w:r>
      <w:r>
        <w:t xml:space="preserve">.</w:t>
      </w:r>
      <w:r>
        <w:t xml:space="preserve"> </w:t>
      </w:r>
      <w:r>
        <w:rPr>
          <w:iCs/>
          <w:i/>
        </w:rPr>
        <w:t xml:space="preserve">Neuropsychopharmacology</w:t>
      </w:r>
      <w:r>
        <w:t xml:space="preserve">,</w:t>
      </w:r>
      <w:r>
        <w:t xml:space="preserve"> </w:t>
      </w:r>
      <w:r>
        <w:rPr>
          <w:iCs/>
          <w:i/>
        </w:rPr>
        <w:t xml:space="preserve">40</w:t>
      </w:r>
      <w:r>
        <w:t xml:space="preserve">(5, 5), 1192–1202.</w:t>
      </w:r>
      <w:r>
        <w:t xml:space="preserve"> </w:t>
      </w:r>
      <w:hyperlink r:id="rId31">
        <w:r>
          <w:rPr>
            <w:rStyle w:val="Hyperlink"/>
          </w:rPr>
          <w:t xml:space="preserve">https://doi.org/10.1038/npp.2014.303</w:t>
        </w:r>
      </w:hyperlink>
    </w:p>
    <w:bookmarkEnd w:id="32"/>
    <w:bookmarkStart w:id="3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3">
        <w:r>
          <w:rPr>
            <w:rStyle w:val="Hyperlink"/>
          </w:rPr>
          <w:t xml:space="preserve">https://cran.r-project.org/package=tinylabels</w:t>
        </w:r>
      </w:hyperlink>
    </w:p>
    <w:bookmarkEnd w:id="34"/>
    <w:bookmarkStart w:id="3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5">
        <w:r>
          <w:rPr>
            <w:rStyle w:val="Hyperlink"/>
          </w:rPr>
          <w:t xml:space="preserve">https://doi.org/10.18637/jss.v067.i01</w:t>
        </w:r>
      </w:hyperlink>
    </w:p>
    <w:bookmarkEnd w:id="36"/>
    <w:bookmarkStart w:id="38"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37">
        <w:r>
          <w:rPr>
            <w:rStyle w:val="Hyperlink"/>
          </w:rPr>
          <w:t xml:space="preserve">https://CRAN.R-project.org/package=Matrix</w:t>
        </w:r>
      </w:hyperlink>
    </w:p>
    <w:bookmarkEnd w:id="38"/>
    <w:bookmarkStart w:id="40"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39">
        <w:r>
          <w:rPr>
            <w:rStyle w:val="Hyperlink"/>
          </w:rPr>
          <w:t xml:space="preserve">https://CRAN.R-project.org/package=piggyback</w:t>
        </w:r>
      </w:hyperlink>
    </w:p>
    <w:bookmarkEnd w:id="40"/>
    <w:bookmarkStart w:id="42"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41">
        <w:r>
          <w:rPr>
            <w:rStyle w:val="Hyperlink"/>
          </w:rPr>
          <w:t xml:space="preserve">https://CRAN.R-project.org/package=shiny</w:t>
        </w:r>
      </w:hyperlink>
    </w:p>
    <w:bookmarkEnd w:id="42"/>
    <w:bookmarkStart w:id="44" w:name="Xbf6ce34d4ef53709dfd0848f35b998c71fe7e02"/>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43">
        <w:r>
          <w:rPr>
            <w:rStyle w:val="Hyperlink"/>
          </w:rPr>
          <w:t xml:space="preserve">https://doi.org/10.1038/s41598-017-06116-z</w:t>
        </w:r>
      </w:hyperlink>
    </w:p>
    <w:bookmarkEnd w:id="44"/>
    <w:bookmarkStart w:id="4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5">
        <w:r>
          <w:rPr>
            <w:rStyle w:val="Hyperlink"/>
          </w:rPr>
          <w:t xml:space="preserve">https://CRAN.R-project.org/package=purrr</w:t>
        </w:r>
      </w:hyperlink>
    </w:p>
    <w:bookmarkEnd w:id="46"/>
    <w:bookmarkStart w:id="48"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47">
        <w:r>
          <w:rPr>
            <w:rStyle w:val="Hyperlink"/>
          </w:rPr>
          <w:t xml:space="preserve">https://CRAN.R-project.org/package=ggpubr</w:t>
        </w:r>
      </w:hyperlink>
    </w:p>
    <w:bookmarkEnd w:id="48"/>
    <w:bookmarkStart w:id="50"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49">
        <w:r>
          <w:rPr>
            <w:rStyle w:val="Hyperlink"/>
          </w:rPr>
          <w:t xml:space="preserve">https://CRAN.R-project.org/package=caret</w:t>
        </w:r>
      </w:hyperlink>
    </w:p>
    <w:bookmarkEnd w:id="50"/>
    <w:bookmarkStart w:id="5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51">
        <w:r>
          <w:rPr>
            <w:rStyle w:val="Hyperlink"/>
          </w:rPr>
          <w:t xml:space="preserve">https://doi.org/10.18637/jss.v082.i13</w:t>
        </w:r>
      </w:hyperlink>
    </w:p>
    <w:bookmarkEnd w:id="52"/>
    <w:bookmarkStart w:id="5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53"/>
    <w:bookmarkStart w:id="55"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54">
        <w:r>
          <w:rPr>
            <w:rStyle w:val="Hyperlink"/>
          </w:rPr>
          <w:t xml:space="preserve">https://CRAN.R-project.org/package=tibble</w:t>
        </w:r>
      </w:hyperlink>
    </w:p>
    <w:bookmarkEnd w:id="55"/>
    <w:bookmarkStart w:id="57"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56">
        <w:r>
          <w:rPr>
            <w:rStyle w:val="Hyperlink"/>
          </w:rPr>
          <w:t xml:space="preserve">https://doi.org/10.1007/b98882</w:t>
        </w:r>
      </w:hyperlink>
    </w:p>
    <w:bookmarkEnd w:id="57"/>
    <w:bookmarkStart w:id="5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bookmarkEnd w:id="59"/>
    <w:bookmarkStart w:id="60"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60"/>
    <w:bookmarkStart w:id="62"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61">
        <w:r>
          <w:rPr>
            <w:rStyle w:val="Hyperlink"/>
          </w:rPr>
          <w:t xml:space="preserve">https://books.google.co.il/books?id=AGHXzgEACAAJ</w:t>
        </w:r>
      </w:hyperlink>
    </w:p>
    <w:bookmarkEnd w:id="62"/>
    <w:bookmarkStart w:id="6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63"/>
    <w:bookmarkStart w:id="65"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64">
        <w:r>
          <w:rPr>
            <w:rStyle w:val="Hyperlink"/>
          </w:rPr>
          <w:t xml:space="preserve">http://lmdvr.r-forge.r-project.org</w:t>
        </w:r>
      </w:hyperlink>
    </w:p>
    <w:bookmarkEnd w:id="65"/>
    <w:bookmarkStart w:id="67"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66">
        <w:r>
          <w:rPr>
            <w:rStyle w:val="Hyperlink"/>
          </w:rPr>
          <w:t xml:space="preserve">https://CRAN.R-project.org/package=GGally</w:t>
        </w:r>
      </w:hyperlink>
    </w:p>
    <w:bookmarkEnd w:id="67"/>
    <w:bookmarkStart w:id="68" w:name="ref-shapiroNeuroticStyles1965"/>
    <w:p>
      <w:pPr>
        <w:pStyle w:val="Literaturverzeichnis"/>
      </w:pPr>
      <w:r>
        <w:t xml:space="preserve">Shapiro, D. (1965).</w:t>
      </w:r>
      <w:r>
        <w:t xml:space="preserve"> </w:t>
      </w:r>
      <w:r>
        <w:rPr>
          <w:iCs/>
          <w:i/>
        </w:rPr>
        <w:t xml:space="preserve">Neurotic styles.</w:t>
      </w:r>
    </w:p>
    <w:bookmarkEnd w:id="68"/>
    <w:bookmarkStart w:id="70" w:name="Xad737db8e2e93affedf020a17e71c3c84c27e49"/>
    <w:p>
      <w:pPr>
        <w:pStyle w:val="Literaturverzeichnis"/>
      </w:pPr>
      <w:r>
        <w:t xml:space="preserve">Toffolo, M. B. J., van den Hout, M. A., Engelhard, I. M., Hooge, I. T. C., &amp; Cat, D. C. (2016). Patients</w:t>
      </w:r>
      <w:r>
        <w:t xml:space="preserve"> </w:t>
      </w:r>
      <w:r>
        <w:t xml:space="preserve">With Obsessive-Compulsive Disorder Check Excessively</w:t>
      </w:r>
      <w:r>
        <w:t xml:space="preserve"> </w:t>
      </w:r>
      <w:r>
        <w:t xml:space="preserve">in</w:t>
      </w:r>
      <w:r>
        <w:t xml:space="preserve"> </w:t>
      </w:r>
      <w:r>
        <w:t xml:space="preserve">Response</w:t>
      </w:r>
      <w:r>
        <w:t xml:space="preserve"> </w:t>
      </w:r>
      <w:r>
        <w:t xml:space="preserve">to</w:t>
      </w:r>
      <w:r>
        <w:t xml:space="preserve"> </w:t>
      </w:r>
      <w:r>
        <w:t xml:space="preserve">Mild Uncertainty</w:t>
      </w:r>
      <w:r>
        <w:t xml:space="preserve">.</w:t>
      </w:r>
      <w:r>
        <w:t xml:space="preserve"> </w:t>
      </w:r>
      <w:r>
        <w:rPr>
          <w:iCs/>
          <w:i/>
        </w:rPr>
        <w:t xml:space="preserve">Behavior Therapy</w:t>
      </w:r>
      <w:r>
        <w:t xml:space="preserve">,</w:t>
      </w:r>
      <w:r>
        <w:t xml:space="preserve"> </w:t>
      </w:r>
      <w:r>
        <w:rPr>
          <w:iCs/>
          <w:i/>
        </w:rPr>
        <w:t xml:space="preserve">47</w:t>
      </w:r>
      <w:r>
        <w:t xml:space="preserve">(4), 550–559.</w:t>
      </w:r>
      <w:r>
        <w:t xml:space="preserve"> </w:t>
      </w:r>
      <w:hyperlink r:id="rId69">
        <w:r>
          <w:rPr>
            <w:rStyle w:val="Hyperlink"/>
          </w:rPr>
          <w:t xml:space="preserve">https://doi.org/10.1016/j.beth.2016.04.002</w:t>
        </w:r>
      </w:hyperlink>
    </w:p>
    <w:bookmarkEnd w:id="70"/>
    <w:bookmarkStart w:id="71"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71"/>
    <w:bookmarkStart w:id="72" w:name="Xe17695638ff54b5412895fab6091352aa09edde"/>
    <w:p>
      <w:pPr>
        <w:pStyle w:val="Literaturverzeichnis"/>
      </w:pPr>
      <w:r>
        <w:t xml:space="preserve">Toffolo, M. B., van den Hout, M. A., Engelhard, I. M., Hooge, I. T., &amp; Cat, D. C. (2014). Uncertainty, checking, and intolerance of uncertainty in subclinical obsessive compulsive disorder:</w:t>
      </w:r>
      <w:r>
        <w:t xml:space="preserve"> </w:t>
      </w:r>
      <w:r>
        <w:t xml:space="preserve">An</w:t>
      </w:r>
      <w:r>
        <w:t xml:space="preserve"> </w:t>
      </w:r>
      <w:r>
        <w:t xml:space="preserve">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72"/>
    <w:bookmarkStart w:id="73" w:name="ref-toffoloMildUncertaintyPromotes2013"/>
    <w:p>
      <w:pPr>
        <w:pStyle w:val="Literaturverzeichnis"/>
      </w:pPr>
      <w:r>
        <w:t xml:space="preserve">Toffolo, M. B., van den Hout, M. A.,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73"/>
    <w:bookmarkStart w:id="7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4">
        <w:r>
          <w:rPr>
            <w:rStyle w:val="Hyperlink"/>
          </w:rPr>
          <w:t xml:space="preserve">https://ggplot2.tidyverse.org</w:t>
        </w:r>
      </w:hyperlink>
    </w:p>
    <w:bookmarkEnd w:id="75"/>
    <w:bookmarkStart w:id="77"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76">
        <w:r>
          <w:rPr>
            <w:rStyle w:val="Hyperlink"/>
          </w:rPr>
          <w:t xml:space="preserve">https://CRAN.R-project.org/package=stringr</w:t>
        </w:r>
      </w:hyperlink>
    </w:p>
    <w:bookmarkEnd w:id="77"/>
    <w:bookmarkStart w:id="79"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8">
        <w:r>
          <w:rPr>
            <w:rStyle w:val="Hyperlink"/>
          </w:rPr>
          <w:t xml:space="preserve">https://CRAN.R-project.org/package=forcats</w:t>
        </w:r>
      </w:hyperlink>
    </w:p>
    <w:bookmarkEnd w:id="79"/>
    <w:bookmarkStart w:id="81"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80">
        <w:r>
          <w:rPr>
            <w:rStyle w:val="Hyperlink"/>
          </w:rPr>
          <w:t xml:space="preserve">https://CRAN.R-project.org/package=tidyr</w:t>
        </w:r>
      </w:hyperlink>
    </w:p>
    <w:bookmarkEnd w:id="81"/>
    <w:bookmarkStart w:id="83"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2">
        <w:r>
          <w:rPr>
            <w:rStyle w:val="Hyperlink"/>
          </w:rPr>
          <w:t xml:space="preserve">https://doi.org/10.21105/joss.01686</w:t>
        </w:r>
      </w:hyperlink>
    </w:p>
    <w:bookmarkEnd w:id="83"/>
    <w:bookmarkStart w:id="85"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84">
        <w:r>
          <w:rPr>
            <w:rStyle w:val="Hyperlink"/>
          </w:rPr>
          <w:t xml:space="preserve">https://CRAN.R-project.org/package=usethis</w:t>
        </w:r>
      </w:hyperlink>
    </w:p>
    <w:bookmarkEnd w:id="85"/>
    <w:bookmarkStart w:id="87"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90">
        <w:r>
          <w:rPr>
            <w:rStyle w:val="Hyperlink"/>
          </w:rPr>
          <w:t xml:space="preserve">https://CRAN.R-project.org/package=devtools</w:t>
        </w:r>
      </w:hyperlink>
    </w:p>
    <w:bookmarkEnd w:id="91"/>
    <w:bookmarkStart w:id="93"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92">
        <w:r>
          <w:rPr>
            <w:rStyle w:val="Hyperlink"/>
          </w:rPr>
          <w:t xml:space="preserve">https://CRAN.R-project.org/package=cowplot</w:t>
        </w:r>
      </w:hyperlink>
    </w:p>
    <w:bookmarkEnd w:id="93"/>
    <w:bookmarkEnd w:id="94"/>
    <w:bookmarkEnd w:id="9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SUBCLINICAL OCD VISUAL SEARCH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SUBCLINICAL OCD VISUAL SEARCH </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4" Target="http://lmdvr.r-forge.r-project.org" TargetMode="External" /><Relationship Type="http://schemas.openxmlformats.org/officeDocument/2006/relationships/hyperlink" Id="rId66" Target="https://CRAN.R-project.org/package=GGally" TargetMode="External" /><Relationship Type="http://schemas.openxmlformats.org/officeDocument/2006/relationships/hyperlink" Id="rId37" Target="https://CRAN.R-project.org/package=Matrix" TargetMode="External" /><Relationship Type="http://schemas.openxmlformats.org/officeDocument/2006/relationships/hyperlink" Id="rId49" Target="https://CRAN.R-project.org/package=caret" TargetMode="External" /><Relationship Type="http://schemas.openxmlformats.org/officeDocument/2006/relationships/hyperlink" Id="rId92" Target="https://CRAN.R-project.org/package=cowplot" TargetMode="External" /><Relationship Type="http://schemas.openxmlformats.org/officeDocument/2006/relationships/hyperlink" Id="rId90" Target="https://CRAN.R-project.org/package=devtools" TargetMode="External" /><Relationship Type="http://schemas.openxmlformats.org/officeDocument/2006/relationships/hyperlink" Id="rId86"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47" Target="https://CRAN.R-project.org/package=ggpubr" TargetMode="External" /><Relationship Type="http://schemas.openxmlformats.org/officeDocument/2006/relationships/hyperlink" Id="rId39" Target="https://CRAN.R-project.org/package=piggyback" TargetMode="External" /><Relationship Type="http://schemas.openxmlformats.org/officeDocument/2006/relationships/hyperlink" Id="rId45"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76"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84" Target="https://CRAN.R-project.org/package=usethis" TargetMode="External" /><Relationship Type="http://schemas.openxmlformats.org/officeDocument/2006/relationships/hyperlink" Id="rId61" Target="https://books.google.co.il/books?id=AGHXzgEACAAJ" TargetMode="External" /><Relationship Type="http://schemas.openxmlformats.org/officeDocument/2006/relationships/hyperlink" Id="rId33" Target="https://cran.r-project.org/package=tinylabels" TargetMode="External" /><Relationship Type="http://schemas.openxmlformats.org/officeDocument/2006/relationships/hyperlink" Id="rId56" Target="https://doi.org/10.1007/b98882" TargetMode="External" /><Relationship Type="http://schemas.openxmlformats.org/officeDocument/2006/relationships/hyperlink" Id="rId69" Target="https://doi.org/10.1016/j.beth.2016.04.002" TargetMode="External" /><Relationship Type="http://schemas.openxmlformats.org/officeDocument/2006/relationships/hyperlink" Id="rId31" Target="https://doi.org/10.1038/npp.2014.303" TargetMode="External" /><Relationship Type="http://schemas.openxmlformats.org/officeDocument/2006/relationships/hyperlink" Id="rId43" Target="https://doi.org/10.1038/s41598-017-06116-z" TargetMode="External" /><Relationship Type="http://schemas.openxmlformats.org/officeDocument/2006/relationships/hyperlink" Id="rId3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64" Target="http://lmdvr.r-forge.r-project.org" TargetMode="External" /><Relationship Type="http://schemas.openxmlformats.org/officeDocument/2006/relationships/hyperlink" Id="rId66" Target="https://CRAN.R-project.org/package=GGally" TargetMode="External" /><Relationship Type="http://schemas.openxmlformats.org/officeDocument/2006/relationships/hyperlink" Id="rId37" Target="https://CRAN.R-project.org/package=Matrix" TargetMode="External" /><Relationship Type="http://schemas.openxmlformats.org/officeDocument/2006/relationships/hyperlink" Id="rId49" Target="https://CRAN.R-project.org/package=caret" TargetMode="External" /><Relationship Type="http://schemas.openxmlformats.org/officeDocument/2006/relationships/hyperlink" Id="rId92" Target="https://CRAN.R-project.org/package=cowplot" TargetMode="External" /><Relationship Type="http://schemas.openxmlformats.org/officeDocument/2006/relationships/hyperlink" Id="rId90" Target="https://CRAN.R-project.org/package=devtools" TargetMode="External" /><Relationship Type="http://schemas.openxmlformats.org/officeDocument/2006/relationships/hyperlink" Id="rId86"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47" Target="https://CRAN.R-project.org/package=ggpubr" TargetMode="External" /><Relationship Type="http://schemas.openxmlformats.org/officeDocument/2006/relationships/hyperlink" Id="rId39" Target="https://CRAN.R-project.org/package=piggyback" TargetMode="External" /><Relationship Type="http://schemas.openxmlformats.org/officeDocument/2006/relationships/hyperlink" Id="rId45"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76"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84" Target="https://CRAN.R-project.org/package=usethis" TargetMode="External" /><Relationship Type="http://schemas.openxmlformats.org/officeDocument/2006/relationships/hyperlink" Id="rId61" Target="https://books.google.co.il/books?id=AGHXzgEACAAJ" TargetMode="External" /><Relationship Type="http://schemas.openxmlformats.org/officeDocument/2006/relationships/hyperlink" Id="rId33" Target="https://cran.r-project.org/package=tinylabels" TargetMode="External" /><Relationship Type="http://schemas.openxmlformats.org/officeDocument/2006/relationships/hyperlink" Id="rId56" Target="https://doi.org/10.1007/b98882" TargetMode="External" /><Relationship Type="http://schemas.openxmlformats.org/officeDocument/2006/relationships/hyperlink" Id="rId69" Target="https://doi.org/10.1016/j.beth.2016.04.002" TargetMode="External" /><Relationship Type="http://schemas.openxmlformats.org/officeDocument/2006/relationships/hyperlink" Id="rId31" Target="https://doi.org/10.1038/npp.2014.303" TargetMode="External" /><Relationship Type="http://schemas.openxmlformats.org/officeDocument/2006/relationships/hyperlink" Id="rId43" Target="https://doi.org/10.1038/s41598-017-06116-z" TargetMode="External" /><Relationship Type="http://schemas.openxmlformats.org/officeDocument/2006/relationships/hyperlink" Id="rId3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27" Target="https://github.com/crsh/citr" TargetMode="External" /><Relationship Type="http://schemas.openxmlformats.org/officeDocument/2006/relationships/hyperlink" Id="rId2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Subclinical OCD and inference about absence in visual search</dc:title>
  <dc:creator/>
  <cp:keywords/>
  <dcterms:created xsi:type="dcterms:W3CDTF">2023-07-13T09:07:44Z</dcterms:created>
  <dcterms:modified xsi:type="dcterms:W3CDTF">2023-07-13T09:07:44Z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r-references_full_paper.bib</vt:lpwstr>
  </property>
  <property fmtid="{D5CDD505-2E9C-101B-9397-08002B2CF9AE}" pid="4" name="classoption">
    <vt:lpwstr>man</vt:lpwstr>
  </property>
  <property fmtid="{D5CDD505-2E9C-101B-9397-08002B2CF9AE}" pid="5" name="csl">
    <vt:lpwstr>C:\Users\User\Documents\R\win-library\4.1\papaja\rmd\apa6.csl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Subclinical OCD visual search</vt:lpwstr>
  </property>
  <property fmtid="{D5CDD505-2E9C-101B-9397-08002B2CF9AE}" pid="14" name="tablelist">
    <vt:lpwstr>False</vt:lpwstr>
  </property>
</Properties>
</file>