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Subclinical</w:t>
      </w:r>
      <w:r>
        <w:t xml:space="preserve"> </w:t>
      </w:r>
      <w:r>
        <w:t xml:space="preserve">OCD</w:t>
      </w:r>
      <w:r>
        <w:t xml:space="preserve"> </w:t>
      </w:r>
      <w:r>
        <w:t xml:space="preserve">and</w:t>
      </w:r>
      <w:r>
        <w:t xml:space="preserve"> </w:t>
      </w:r>
      <w:r>
        <w:t xml:space="preserve">inference</w:t>
      </w:r>
      <w:r>
        <w:t xml:space="preserve"> </w:t>
      </w:r>
      <w:r>
        <w:t xml:space="preserve">about</w:t>
      </w:r>
      <w:r>
        <w:t xml:space="preserve"> </w:t>
      </w:r>
      <w:r>
        <w:t xml:space="preserve">absence</w:t>
      </w:r>
      <w:r>
        <w:t xml:space="preserve"> </w:t>
      </w:r>
      <w:r>
        <w:t xml:space="preserve">in</w:t>
      </w:r>
      <w:r>
        <w:t xml:space="preserve"> </w:t>
      </w:r>
      <w:r>
        <w:t xml:space="preserve">visual</w:t>
      </w:r>
      <w:r>
        <w:t xml:space="preserve"> </w:t>
      </w:r>
      <w:r>
        <w:t xml:space="preserve">search</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setting.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Subclinical OCD and inference about absence in visual search</w:t>
      </w:r>
    </w:p>
    <w:p>
      <w:pPr>
        <w:pStyle w:val="Textkrper"/>
      </w:pPr>
      <w:r>
        <w:t xml:space="preserve">In Experiment 1, target-absent search times were not significantly slower in OC+ compared to OC- individuals. While this stands in contrast to previous reports</w:t>
      </w:r>
      <w:r>
        <w:t xml:space="preserve"> </w:t>
      </w:r>
      <w:r>
        <w:t xml:space="preserve">Toffolo, Van Den Hout, Engelhard, Hooge, &amp; Cath (2016)</w:t>
      </w:r>
      <w:r>
        <w:t xml:space="preserve">, our experiment differed from the original study in several respects. Most notably, search times in this study (~4.5s for target-absent and ~2.6s for target-present) were shorter compared to those in</w:t>
      </w:r>
      <w:r>
        <w:t xml:space="preserve"> </w:t>
      </w:r>
      <w:r>
        <w:t xml:space="preserve">Toffolo et al. (2013)</w:t>
      </w:r>
      <w:r>
        <w:t xml:space="preserve"> </w:t>
      </w:r>
      <w:r>
        <w:t xml:space="preserve">(~5.5 for target-absent and ~3.5s for target-present). Accordingly, we considered the possibility that the task used in experiment 1 may have been less challenging and potentially insufficient to elicit doubt and trigger repetitive checking behavior. In order to directly investigate this hypothesis, experiment 2 employed the original stimuli from</w:t>
      </w:r>
      <w:r>
        <w:t xml:space="preserve"> </w:t>
      </w:r>
      <w:r>
        <w:t xml:space="preserve">Toffolo et al. (2013)</w:t>
      </w:r>
      <w:r>
        <w:t xml:space="preserve"> </w:t>
      </w:r>
      <w:r>
        <w:t xml:space="preserve">within an online sample to ascertain whether the failure to reproduce the effect resulted from an excessively easy task.</w:t>
      </w:r>
    </w:p>
    <w:p>
      <w:pPr>
        <w:pStyle w:val="SourceCode"/>
      </w:pPr>
      <w:r>
        <w:rPr>
          <w:rStyle w:val="VerbatimChar"/>
        </w:rPr>
        <w:t xml:space="preserve">## # A tibble: 3 x 2</w:t>
      </w:r>
      <w:r>
        <w:br/>
      </w:r>
      <w:r>
        <w:rPr>
          <w:rStyle w:val="VerbatimChar"/>
        </w:rPr>
        <w:t xml:space="preserve">## # Groups:   OCI_quantile [3]</w:t>
      </w:r>
      <w:r>
        <w:br/>
      </w:r>
      <w:r>
        <w:rPr>
          <w:rStyle w:val="VerbatimChar"/>
        </w:rPr>
        <w:t xml:space="preserve">##   OCI_quantile     n</w:t>
      </w:r>
      <w:r>
        <w:br/>
      </w:r>
      <w:r>
        <w:rPr>
          <w:rStyle w:val="VerbatimChar"/>
        </w:rPr>
        <w:t xml:space="preserve">##   &lt;chr&gt;        &lt;int&gt;</w:t>
      </w:r>
      <w:r>
        <w:br/>
      </w:r>
      <w:r>
        <w:rPr>
          <w:rStyle w:val="VerbatimChar"/>
        </w:rPr>
        <w:t xml:space="preserve">## 1 else            48</w:t>
      </w:r>
      <w:r>
        <w:br/>
      </w:r>
      <w:r>
        <w:rPr>
          <w:rStyle w:val="VerbatimChar"/>
        </w:rPr>
        <w:t xml:space="preserve">## 2 high           110</w:t>
      </w:r>
      <w:r>
        <w:br/>
      </w:r>
      <w:r>
        <w:rPr>
          <w:rStyle w:val="VerbatimChar"/>
        </w:rPr>
        <w:t xml:space="preserve">## 3 low             68</w:t>
      </w:r>
    </w:p>
    <w:p>
      <w:pPr>
        <w:pStyle w:val="SourceCode"/>
      </w:pPr>
      <w:r>
        <w:rPr>
          <w:rStyle w:val="VerbatimChar"/>
        </w:rPr>
        <w:t xml:space="preserve">## Warning: NAs introduced by coercion</w:t>
      </w:r>
    </w:p>
    <w:p>
      <w:pPr>
        <w:pStyle w:val="SourceCode"/>
      </w:pPr>
      <w:r>
        <w:rPr>
          <w:rStyle w:val="VerbatimChar"/>
        </w:rPr>
        <w:t xml:space="preserve">## # A tibble: 3 x 2</w:t>
      </w:r>
      <w:r>
        <w:br/>
      </w:r>
      <w:r>
        <w:rPr>
          <w:rStyle w:val="VerbatimChar"/>
        </w:rPr>
        <w:t xml:space="preserve">##   OCI_quantile mean_acc</w:t>
      </w:r>
      <w:r>
        <w:br/>
      </w:r>
      <w:r>
        <w:rPr>
          <w:rStyle w:val="VerbatimChar"/>
        </w:rPr>
        <w:t xml:space="preserve">##   &lt;chr&gt;           &lt;dbl&gt;</w:t>
      </w:r>
      <w:r>
        <w:br/>
      </w:r>
      <w:r>
        <w:rPr>
          <w:rStyle w:val="VerbatimChar"/>
        </w:rPr>
        <w:t xml:space="preserve">## 1 else            0.833</w:t>
      </w:r>
      <w:r>
        <w:br/>
      </w:r>
      <w:r>
        <w:rPr>
          <w:rStyle w:val="VerbatimChar"/>
        </w:rPr>
        <w:t xml:space="preserve">## 2 high            0.821</w:t>
      </w:r>
      <w:r>
        <w:br/>
      </w:r>
      <w:r>
        <w:rPr>
          <w:rStyle w:val="VerbatimChar"/>
        </w:rPr>
        <w:t xml:space="preserve">## 3 low             0.829</w:t>
      </w:r>
    </w:p>
    <w:p>
      <w:pPr>
        <w:pStyle w:val="SourceCode"/>
      </w:pPr>
      <w:r>
        <w:rPr>
          <w:rStyle w:val="VerbatimChar"/>
        </w:rPr>
        <w:t xml:space="preserve">## [1] 0</w:t>
      </w:r>
    </w:p>
    <w:p>
      <w:pPr>
        <w:pStyle w:val="SourceCode"/>
      </w:pPr>
      <w:r>
        <w:rPr>
          <w:rStyle w:val="VerbatimChar"/>
        </w:rPr>
        <w:t xml:space="preserve">## [1] 1</w:t>
      </w:r>
    </w:p>
    <w:bookmarkStart w:id="26"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Two hundred twenty-six participants were recruited via Prolific. We invited former participants whose OCI scores were in the top or bottom OCI quantile in Exp. 1. In line with our preregistered stopping rule, we kept data collection until we had invited all participants in the first and fourth quartiles from our previous experiment (n=250; n=239, respectively). Participants completed the OCI questionnaire in this second session to. We then split the sample into OC+/OC- groups based on cut-off scores from</w:t>
      </w:r>
      <w:r>
        <w:t xml:space="preserve"> </w:t>
      </w:r>
      <w:r>
        <w:t xml:space="preserve">Toffolo et al. (2013)</w:t>
      </w:r>
      <w:r>
        <w:t xml:space="preserve"> </w:t>
      </w:r>
      <w:r>
        <w:t xml:space="preserve">(OCI-R total score ≥ 17 for the OC+ group; OCI-R total score ≤ 5 for the OC- group). Our final sample consisted of 110 OC+ participants and 68 OC- participants. The entire experiment took 12 minutes to complete, and participants were paid £1.8 for their participation, equivalent to an hourly wage of £9.</w:t>
      </w:r>
    </w:p>
    <w:bookmarkEnd w:id="21"/>
    <w:bookmarkStart w:id="22" w:name="material"/>
    <w:p>
      <w:pPr>
        <w:pStyle w:val="berschrift2"/>
      </w:pPr>
      <w:r>
        <w:t xml:space="preserve">Material</w:t>
      </w:r>
    </w:p>
    <w:p>
      <w:pPr>
        <w:pStyle w:val="FirstParagraph"/>
      </w:pPr>
      <w:r>
        <w:t xml:space="preserve">We used the original stimuli used in</w:t>
      </w:r>
      <w:r>
        <w:t xml:space="preserve"> </w:t>
      </w:r>
      <w:r>
        <w:t xml:space="preserve">Toffolo et al. (2013)</w:t>
      </w:r>
      <w:r>
        <w:t xml:space="preserve">, as provided by the authors. The visual search task consisted of one block of 50 individual search displays, each containing 25 elements. Half of the search displays were target-absent trials, in which 25 squares with a gap in one of the four edges were presented, and the other half were target-present trials, in which 24 open squares were presented and one closed square, the target. To make sure participants understood the task, a practice phase was given first. The practice phase consisted of 4 search displays, (2 target-absent and 2 target-present). In the practice phase, participants got feedback on their response accuracy. Participants were able to move to the next part of the experiment only after getting all questions right (4/4). The practice phase repeated until the performance was perfect, or until it has repeated more than three times, at which point the experiment terminated. Each trial lasted for a maximum of 10 seconds or until a response was received. If no response was given within 10 seconds, the next trial immediately appeared. Feedback about the response was given only in the practice phase, to help participants learn the task efficiently. In the main part of the experiment, no feedback was given.</w:t>
      </w:r>
    </w:p>
    <w:bookmarkEnd w:id="22"/>
    <w:bookmarkStart w:id="24" w:name="procedure"/>
    <w:p>
      <w:pPr>
        <w:pStyle w:val="berschrift2"/>
      </w:pPr>
      <w:r>
        <w:t xml:space="preserve">Procedure</w:t>
      </w:r>
    </w:p>
    <w:p>
      <w:pPr>
        <w:pStyle w:val="FirstParagraph"/>
      </w:pPr>
      <w:r>
        <w:t xml:space="preserve">A static version of experiment 2 can be accessed here: jatos.mindprobe.eu/publix/Qkm6hi2c3vS. Experiment 2 was similar to experiment 1 with the following exceptions. First, the search task was more challenging due to an enlarged search grid, which led to larger gaps between stimuli, as well as reduced stimulus size and narrower sides of the squares. Second, experiment 2 did not had a perceived difficulty estimation part and was comprised of two parts: a visual search part and study questionnaires. Third, to make it identical to</w:t>
      </w:r>
      <w:r>
        <w:t xml:space="preserve"> </w:t>
      </w:r>
      <w:r>
        <w:t xml:space="preserve">Toffolo et al. (2013)</w:t>
      </w:r>
      <w:r>
        <w:t xml:space="preserve">, the practice trials in experiment 2 involved the same stimuli as the main blocks. Forth, participants were instructed to press the spacebar key to move to the search display screen. Once they pressed the space bar, the search display appeared immediately . Finally, the main part of the experiment included only the hard search type: looking for a closed square among open squares.</w:t>
      </w:r>
    </w:p>
    <w:p>
      <w:pPr>
        <w:pStyle w:val="Textkrper"/>
      </w:pPr>
      <w:r>
        <w:t xml:space="preserve">The preregistered analysis plan can be accessed at the following link:</w:t>
      </w:r>
      <w:r>
        <w:t xml:space="preserve"> </w:t>
      </w:r>
      <w:hyperlink r:id="rId23">
        <w:r>
          <w:rPr>
            <w:rStyle w:val="Hyperlink"/>
          </w:rPr>
          <w:t xml:space="preserve">https://osf.io/8a5mr</w:t>
        </w:r>
      </w:hyperlink>
      <w:r>
        <w:t xml:space="preserve">. As in Experiment 1, we employed the Mersenne Twister pseudorandom number generator to ensure that our preregistration preceded data collection</w:t>
      </w:r>
      <w:r>
        <w:t xml:space="preserve"> </w:t>
      </w:r>
      <w:r>
        <w:t xml:space="preserve">Mazor, Mazor, and Mukamel (2019)</w:t>
      </w:r>
      <w:r>
        <w:t xml:space="preserve">. Since Experiment 2 served as a direct replication, we adopted the same rejection criteria as</w:t>
      </w:r>
      <w:r>
        <w:t xml:space="preserve"> </w:t>
      </w:r>
      <w:r>
        <w:t xml:space="preserve">Toffolo et al. (2013)</w:t>
      </w:r>
      <w:r>
        <w:t xml:space="preserve">, in which participants were excluded if their error count exceeded 2.5 standard deviations from the mean error rate of the entire sample. In line with Experiment 1, participants were also excluded from the analysis if they incorrectly answered one or more attention-check questions.</w:t>
      </w:r>
    </w:p>
    <w:p>
      <w:pPr>
        <w:pStyle w:val="Textkrper"/>
      </w:pPr>
      <w:r>
        <w:t xml:space="preserve">###Randomization</w:t>
      </w:r>
      <w:r>
        <w:t xml:space="preserve"> </w:t>
      </w:r>
      <w:r>
        <w:t xml:space="preserve">The order and timing of experimental events will be determined pseudo-randomly by the Mersenne Twister pseudorandom number generator, initialized to ensure registration time-locking</w:t>
      </w:r>
      <w:r>
        <w:t xml:space="preserve"> </w:t>
      </w:r>
      <w:r>
        <w:t xml:space="preserve">(Mazor et al., 2019)</w:t>
      </w:r>
      <w:r>
        <w:t xml:space="preserve">.</w:t>
      </w:r>
    </w:p>
    <w:bookmarkEnd w:id="24"/>
    <w:bookmarkStart w:id="25" w:name="data-analysis"/>
    <w:p>
      <w:pPr>
        <w:pStyle w:val="berschrift2"/>
      </w:pPr>
      <w:r>
        <w:t xml:space="preserve">Data analysis</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1.0.5; Robinson, Hayes, &amp; Couch, 2021)</w:t>
      </w:r>
      <w:r>
        <w:t xml:space="preserve">,</w:t>
      </w:r>
      <w:r>
        <w:t xml:space="preserve"> </w:t>
      </w:r>
      <w:r>
        <w:rPr>
          <w:iCs/>
          <w:i/>
        </w:rPr>
        <w:t xml:space="preserve">caret</w:t>
      </w:r>
      <w:r>
        <w:t xml:space="preserve"> </w:t>
      </w:r>
      <w:r>
        <w:t xml:space="preserve">(Version 6.0.94; Kuhn, 2021)</w:t>
      </w:r>
      <w:r>
        <w:t xml:space="preserve">,</w:t>
      </w:r>
      <w:r>
        <w:t xml:space="preserve"> </w:t>
      </w:r>
      <w:r>
        <w:rPr>
          <w:iCs/>
          <w:i/>
        </w:rPr>
        <w:t xml:space="preserve">citr</w:t>
      </w:r>
      <w:r>
        <w:t xml:space="preserve"> </w:t>
      </w:r>
      <w:r>
        <w:t xml:space="preserve">(Aust, 2019)</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1.1.2; Wickham, Fran?ois, Henry, &amp; M?ller, 2021)</w:t>
      </w:r>
      <w:r>
        <w:t xml:space="preserve">,</w:t>
      </w:r>
      <w:r>
        <w:t xml:space="preserve"> </w:t>
      </w:r>
      <w:r>
        <w:rPr>
          <w:iCs/>
          <w:i/>
        </w:rPr>
        <w:t xml:space="preserve">forcats</w:t>
      </w:r>
      <w:r>
        <w:t xml:space="preserve"> </w:t>
      </w:r>
      <w:r>
        <w:t xml:space="preserve">(Version 1.0.0;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ggpubr</w:t>
      </w:r>
      <w:r>
        <w:t xml:space="preserve"> </w:t>
      </w:r>
      <w:r>
        <w:t xml:space="preserve">(Version 0.6.0; Kassambara, 2020)</w:t>
      </w:r>
      <w:r>
        <w:t xml:space="preserve">,</w:t>
      </w:r>
      <w:r>
        <w:t xml:space="preserve"> </w:t>
      </w:r>
      <w:r>
        <w:rPr>
          <w:iCs/>
          <w:i/>
        </w:rPr>
        <w:t xml:space="preserve">lattice</w:t>
      </w:r>
      <w:r>
        <w:t xml:space="preserve"> </w:t>
      </w:r>
      <w:r>
        <w:t xml:space="preserve">(Version 0.20.45; Sarkar, 2008)</w:t>
      </w:r>
      <w:r>
        <w:t xml:space="preserve">,</w:t>
      </w:r>
      <w:r>
        <w:t xml:space="preserve"> </w:t>
      </w:r>
      <w:r>
        <w:rPr>
          <w:iCs/>
          <w:i/>
        </w:rPr>
        <w:t xml:space="preserve">lme4</w:t>
      </w:r>
      <w:r>
        <w:t xml:space="preserve"> </w:t>
      </w:r>
      <w:r>
        <w:t xml:space="preserve">(Version 1.1.32; Bates, Mächler, Bolker, &amp; Walker, 2015)</w:t>
      </w:r>
      <w:r>
        <w:t xml:space="preserve">,</w:t>
      </w:r>
      <w:r>
        <w:t xml:space="preserve"> </w:t>
      </w:r>
      <w:r>
        <w:rPr>
          <w:iCs/>
          <w:i/>
        </w:rPr>
        <w:t xml:space="preserve">lmerTest</w:t>
      </w:r>
      <w:r>
        <w:t xml:space="preserve"> </w:t>
      </w:r>
      <w:r>
        <w:t xml:space="preserve">(Version 3.1.3; Kuznetsova, Brockhoff, &amp; Christensen, 2017)</w:t>
      </w:r>
      <w:r>
        <w:t xml:space="preserve">,</w:t>
      </w:r>
      <w:r>
        <w:t xml:space="preserve"> </w:t>
      </w:r>
      <w:r>
        <w:rPr>
          <w:iCs/>
          <w:i/>
        </w:rPr>
        <w:t xml:space="preserve">Matrix</w:t>
      </w:r>
      <w:r>
        <w:t xml:space="preserve"> </w:t>
      </w:r>
      <w:r>
        <w:t xml:space="preserve">(Version 1.5.4; Bates &amp; Maechler, 2021)</w:t>
      </w:r>
      <w:r>
        <w:t xml:space="preserve">,</w:t>
      </w:r>
      <w:r>
        <w:t xml:space="preserve"> </w:t>
      </w:r>
      <w:r>
        <w:rPr>
          <w:iCs/>
          <w:i/>
        </w:rPr>
        <w:t xml:space="preserve">nlme</w:t>
      </w:r>
      <w:r>
        <w:t xml:space="preserve"> </w:t>
      </w:r>
      <w:r>
        <w:t xml:space="preserve">(Version 3.1.162; Pinheiro &amp; Bates, 2000)</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piggyback</w:t>
      </w:r>
      <w:r>
        <w:t xml:space="preserve"> </w:t>
      </w:r>
      <w:r>
        <w:t xml:space="preserve">(Version 0.1.4; Boettiger &amp; Ho, 2022)</w:t>
      </w:r>
      <w:r>
        <w:t xml:space="preserve">,</w:t>
      </w:r>
      <w:r>
        <w:t xml:space="preserve"> </w:t>
      </w:r>
      <w:r>
        <w:rPr>
          <w:iCs/>
          <w:i/>
        </w:rPr>
        <w:t xml:space="preserve">purrr</w:t>
      </w:r>
      <w:r>
        <w:t xml:space="preserve"> </w:t>
      </w:r>
      <w:r>
        <w:t xml:space="preserve">(Version 1.0.1; Henry &amp; Wickham, 2020)</w:t>
      </w:r>
      <w:r>
        <w:t xml:space="preserve">,</w:t>
      </w:r>
      <w:r>
        <w:t xml:space="preserve"> </w:t>
      </w:r>
      <w:r>
        <w:rPr>
          <w:iCs/>
          <w:i/>
        </w:rPr>
        <w:t xml:space="preserve">readr</w:t>
      </w:r>
      <w:r>
        <w:t xml:space="preserve"> </w:t>
      </w:r>
      <w:r>
        <w:t xml:space="preserve">(Version 2.1.4; Wickham &amp; Hester, 2021)</w:t>
      </w:r>
      <w:r>
        <w:t xml:space="preserve">,</w:t>
      </w:r>
      <w:r>
        <w:t xml:space="preserve"> </w:t>
      </w:r>
      <w:r>
        <w:rPr>
          <w:iCs/>
          <w:i/>
        </w:rPr>
        <w:t xml:space="preserve">shiny</w:t>
      </w:r>
      <w:r>
        <w:t xml:space="preserve"> </w:t>
      </w:r>
      <w:r>
        <w:t xml:space="preserve">(Version 1.7.4; Chang, Cheng, Allaire, Xie, &amp; McPherson, 2020)</w:t>
      </w:r>
      <w:r>
        <w:t xml:space="preserve">,</w:t>
      </w:r>
      <w:r>
        <w:t xml:space="preserve"> </w:t>
      </w:r>
      <w:r>
        <w:rPr>
          <w:iCs/>
          <w:i/>
        </w:rPr>
        <w:t xml:space="preserve">stringr</w:t>
      </w:r>
      <w:r>
        <w:t xml:space="preserve"> </w:t>
      </w:r>
      <w:r>
        <w:t xml:space="preserve">(Version 1.5.0; Wickham, 2019)</w:t>
      </w:r>
      <w:r>
        <w:t xml:space="preserve">,</w:t>
      </w:r>
      <w:r>
        <w:t xml:space="preserve"> </w:t>
      </w:r>
      <w:r>
        <w:rPr>
          <w:iCs/>
          <w:i/>
        </w:rPr>
        <w:t xml:space="preserve">tibble</w:t>
      </w:r>
      <w:r>
        <w:t xml:space="preserve"> </w:t>
      </w:r>
      <w:r>
        <w:t xml:space="preserve">(Version 3.2.1; M&lt;U+00FC&gt;ller &amp; Wickham, 2021)</w:t>
      </w:r>
      <w:r>
        <w:t xml:space="preserve">,</w:t>
      </w:r>
      <w:r>
        <w:t xml:space="preserve"> </w:t>
      </w:r>
      <w:r>
        <w:rPr>
          <w:iCs/>
          <w:i/>
        </w:rPr>
        <w:t xml:space="preserve">tidyr</w:t>
      </w:r>
      <w:r>
        <w:t xml:space="preserve"> </w:t>
      </w:r>
      <w:r>
        <w:t xml:space="preserve">(Version 1.3.0; Wickham, 2021b)</w:t>
      </w:r>
      <w:r>
        <w:t xml:space="preserve">,</w:t>
      </w:r>
      <w:r>
        <w:t xml:space="preserve"> </w:t>
      </w:r>
      <w:r>
        <w:rPr>
          <w:iCs/>
          <w:i/>
        </w:rPr>
        <w:t xml:space="preserve">tidyverse</w:t>
      </w:r>
      <w:r>
        <w:t xml:space="preserve"> </w:t>
      </w:r>
      <w:r>
        <w:t xml:space="preserve">(Version 2.0.0;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2.2.0; Wickham, Bryan, &amp; Barrett, 2022)</w:t>
      </w:r>
      <w:r>
        <w:t xml:space="preserve"> </w:t>
      </w:r>
      <w:r>
        <w:t xml:space="preserve">for all our analyses.</w:t>
      </w:r>
    </w:p>
    <w:bookmarkEnd w:id="25"/>
    <w:bookmarkEnd w:id="26"/>
    <w:bookmarkStart w:id="30" w:name="results"/>
    <w:p>
      <w:pPr>
        <w:pStyle w:val="berschrift1"/>
      </w:pPr>
      <w:r>
        <w:t xml:space="preserve">Results</w:t>
      </w:r>
    </w:p>
    <w:p>
      <w:pPr>
        <w:pStyle w:val="FirstParagraph"/>
      </w:pPr>
      <w:r>
        <w:drawing>
          <wp:inline>
            <wp:extent cx="4587290" cy="3669832"/>
            <wp:effectExtent b="0" l="0" r="0" t="0"/>
            <wp:docPr descr="" title="" id="28" name="Picture"/>
            <a:graphic>
              <a:graphicData uri="http://schemas.openxmlformats.org/drawingml/2006/picture">
                <pic:pic>
                  <pic:nvPicPr>
                    <pic:cNvPr descr="experiment_2_files/figure-docx/Exp2_analyze_data-1.png" id="29"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VerbatimChar"/>
        </w:rPr>
        <w:t xml:space="preserve">## [1] 4732.69</w:t>
      </w:r>
    </w:p>
    <w:p>
      <w:pPr>
        <w:pStyle w:val="SourceCode"/>
      </w:pPr>
      <w:r>
        <w:rPr>
          <w:rStyle w:val="VerbatimChar"/>
        </w:rPr>
        <w:t xml:space="preserve">## [1] 7022.51</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mean_RT by condition</w:t>
      </w:r>
      <w:r>
        <w:br/>
      </w:r>
      <w:r>
        <w:rPr>
          <w:rStyle w:val="VerbatimChar"/>
        </w:rPr>
        <w:t xml:space="preserve">## t = 37.534, df = 174, p-value &lt; 2.2e-16</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2188.93     Inf</w:t>
      </w:r>
      <w:r>
        <w:br/>
      </w:r>
      <w:r>
        <w:rPr>
          <w:rStyle w:val="VerbatimChar"/>
        </w:rPr>
        <w:t xml:space="preserve">## sample estimates:</w:t>
      </w:r>
      <w:r>
        <w:br/>
      </w:r>
      <w:r>
        <w:rPr>
          <w:rStyle w:val="VerbatimChar"/>
        </w:rPr>
        <w:t xml:space="preserve">## mean of the differences </w:t>
      </w:r>
      <w:r>
        <w:br/>
      </w:r>
      <w:r>
        <w:rPr>
          <w:rStyle w:val="VerbatimChar"/>
        </w:rPr>
        <w:t xml:space="preserve">##                2289.813</w:t>
      </w:r>
    </w:p>
    <w:p>
      <w:pPr>
        <w:pStyle w:val="FirstParagraph"/>
      </w:pPr>
      <w:r>
        <w:rPr>
          <w:iCs/>
          <w:i/>
        </w:rPr>
        <w:t xml:space="preserve">Hypothesis 1 - Task validation</w:t>
      </w:r>
      <w:r>
        <w:br/>
      </w:r>
      <w:r>
        <w:t xml:space="preserve">To validate our paradigm and demonstrate that target-absent searches are more difficult, we tested for an effect of condition (target-absent vs. target-present) on mean search times, collapsed across both groups. Our results revealed the expected difference</w:t>
      </w:r>
      <w:r>
        <w:t xml:space="preserve"> </w:t>
      </w:r>
      <m:oMath>
        <m:sSub>
          <m:e>
            <m:r>
              <m:t>M</m:t>
            </m:r>
          </m:e>
          <m:sub>
            <m:r>
              <m:t>D</m:t>
            </m:r>
          </m:sub>
        </m:sSub>
        <m:r>
          <m:rPr>
            <m:sty m:val="p"/>
          </m:rPr>
          <m:t>=</m:t>
        </m:r>
        <m:r>
          <m:t>2</m:t>
        </m:r>
        <m:r>
          <m:rPr>
            <m:sty m:val="p"/>
          </m:rPr>
          <m:t>,</m:t>
        </m:r>
        <m:r>
          <m:t>289.81</m:t>
        </m:r>
      </m:oMath>
      <w:r>
        <w:t xml:space="preserve">, 95% CI</w:t>
      </w:r>
      <w:r>
        <w:t xml:space="preserve"> </w:t>
      </w:r>
      <m:oMath>
        <m:d>
          <m:dPr>
            <m:begChr m:val="["/>
            <m:endChr m:val="]"/>
            <m:sepChr m:val=""/>
            <m:grow/>
          </m:dPr>
          <m:e>
            <m:r>
              <m:t>2</m:t>
            </m:r>
            <m:r>
              <m:rPr>
                <m:sty m:val="p"/>
              </m:rPr>
              <m:t>,</m:t>
            </m:r>
            <m:r>
              <m:t>188.93</m:t>
            </m:r>
            <m:r>
              <m:rPr>
                <m:sty m:val="p"/>
              </m:rPr>
              <m:t>,</m:t>
            </m:r>
            <m:r>
              <m:rPr>
                <m:sty m:val="p"/>
              </m:rPr>
              <m:t>∞</m:t>
            </m:r>
          </m:e>
        </m:d>
      </m:oMath>
      <w:r>
        <w:t xml:space="preserve">,</w:t>
      </w:r>
      <w:r>
        <w:t xml:space="preserve"> </w:t>
      </w:r>
      <m:oMath>
        <m:r>
          <m:t>t</m:t>
        </m:r>
        <m:d>
          <m:dPr>
            <m:begChr m:val="("/>
            <m:endChr m:val=")"/>
            <m:sepChr m:val=""/>
            <m:grow/>
          </m:dPr>
          <m:e>
            <m:r>
              <m:t>174</m:t>
            </m:r>
          </m:e>
        </m:d>
        <m:r>
          <m:rPr>
            <m:sty m:val="p"/>
          </m:rPr>
          <m:t>=</m:t>
        </m:r>
        <m:r>
          <m:t>37.53</m:t>
        </m:r>
      </m:oMath>
      <w:r>
        <w:t xml:space="preserve">,</w:t>
      </w:r>
      <w:r>
        <w:t xml:space="preserve"> </w:t>
      </w:r>
      <m:oMath>
        <m:r>
          <m:t>p</m:t>
        </m:r>
        <m:r>
          <m:rPr>
            <m:sty m:val="p"/>
          </m:rPr>
          <m:t>&lt;</m:t>
        </m:r>
        <m:r>
          <m:t>.001</m:t>
        </m:r>
      </m:oMath>
      <w:r>
        <w:t xml:space="preserve">,</w:t>
      </w:r>
      <w:r>
        <w:t xml:space="preserve"> </w:t>
      </w:r>
      <m:oMath>
        <m:sSub>
          <m:e>
            <m:r>
              <m:t>M</m:t>
            </m:r>
          </m:e>
          <m:sub>
            <m:r>
              <m:t>D</m:t>
            </m:r>
          </m:sub>
        </m:sSub>
        <m:r>
          <m:rPr>
            <m:sty m:val="p"/>
          </m:rPr>
          <m:t>=</m:t>
        </m:r>
        <m:r>
          <m:t>2</m:t>
        </m:r>
        <m:r>
          <m:rPr>
            <m:sty m:val="p"/>
          </m:rPr>
          <m:t>,</m:t>
        </m:r>
        <m:r>
          <m:t>289.81</m:t>
        </m:r>
      </m:oMath>
      <w:r>
        <w:t xml:space="preserve">, 95% CI</w:t>
      </w:r>
      <w:r>
        <w:t xml:space="preserve"> </w:t>
      </w:r>
      <m:oMath>
        <m:d>
          <m:dPr>
            <m:begChr m:val="["/>
            <m:endChr m:val="]"/>
            <m:sepChr m:val=""/>
            <m:grow/>
          </m:dPr>
          <m:e>
            <m:r>
              <m:t>2</m:t>
            </m:r>
            <m:r>
              <m:rPr>
                <m:sty m:val="p"/>
              </m:rPr>
              <m:t>,</m:t>
            </m:r>
            <m:r>
              <m:t>188.93</m:t>
            </m:r>
            <m:r>
              <m:rPr>
                <m:sty m:val="p"/>
              </m:rPr>
              <m:t>,</m:t>
            </m:r>
            <m:r>
              <m:rPr>
                <m:sty m:val="p"/>
              </m:rPr>
              <m:t>∞</m:t>
            </m:r>
          </m:e>
        </m:d>
      </m:oMath>
      <w:r>
        <w:t xml:space="preserve">,</w:t>
      </w:r>
      <w:r>
        <w:t xml:space="preserve"> </w:t>
      </w:r>
      <m:oMath>
        <m:r>
          <m:t>t</m:t>
        </m:r>
        <m:d>
          <m:dPr>
            <m:begChr m:val="("/>
            <m:endChr m:val=")"/>
            <m:sepChr m:val=""/>
            <m:grow/>
          </m:dPr>
          <m:e>
            <m:r>
              <m:t>174</m:t>
            </m:r>
          </m:e>
        </m:d>
        <m:r>
          <m:rPr>
            <m:sty m:val="p"/>
          </m:rPr>
          <m:t>=</m:t>
        </m:r>
        <m:r>
          <m:t>37.53</m:t>
        </m:r>
      </m:oMath>
      <w:r>
        <w:t xml:space="preserve">,</w:t>
      </w:r>
      <w:r>
        <w:t xml:space="preserve"> </w:t>
      </w:r>
      <m:oMath>
        <m:r>
          <m:t>p</m:t>
        </m:r>
        <m:r>
          <m:rPr>
            <m:sty m:val="p"/>
          </m:rPr>
          <m:t>&lt;</m:t>
        </m:r>
        <m:r>
          <m:t>.001</m:t>
        </m:r>
      </m:oMath>
      <w:r>
        <w:t xml:space="preserve">, list(estimate =</w:t>
      </w:r>
      <w:r>
        <w:t xml:space="preserve"> </w:t>
      </w:r>
      <w:r>
        <w:t xml:space="preserve">“</w:t>
      </w:r>
      <w:r>
        <w:t xml:space="preserve">2,289.81</w:t>
      </w:r>
      <w:r>
        <w:t xml:space="preserve">”</w:t>
      </w:r>
      <w:r>
        <w:t xml:space="preserve">, conf.int =</w:t>
      </w:r>
      <w:r>
        <w:t xml:space="preserve"> </w:t>
      </w:r>
      <w:r>
        <w:t xml:space="preserve">“</w:t>
      </w:r>
      <w:r>
        <w:t xml:space="preserve">[2,188.93,</w:t>
      </w:r>
      <w:r>
        <w:t xml:space="preserve"> </w:t>
      </w:r>
      <w:r>
        <w:t xml:space="preserve">$\\infty$</w:t>
      </w:r>
      <w:r>
        <w:t xml:space="preserve">]</w:t>
      </w:r>
      <w:r>
        <w:t xml:space="preserve">”</w:t>
      </w:r>
      <w:r>
        <w:t xml:space="preserve">, statistic =</w:t>
      </w:r>
      <w:r>
        <w:t xml:space="preserve"> </w:t>
      </w:r>
      <w:r>
        <w:t xml:space="preserve">“</w:t>
      </w:r>
      <w:r>
        <w:t xml:space="preserve">37.53</w:t>
      </w:r>
      <w:r>
        <w:t xml:space="preserve">”</w:t>
      </w:r>
      <w:r>
        <w:t xml:space="preserve">, df =</w:t>
      </w:r>
      <w:r>
        <w:t xml:space="preserve"> </w:t>
      </w:r>
      <w:r>
        <w:t xml:space="preserve">“</w:t>
      </w:r>
      <w:r>
        <w:t xml:space="preserve">174</w:t>
      </w:r>
      <w:r>
        <w:t xml:space="preserve">”</w:t>
      </w:r>
      <w:r>
        <w:t xml:space="preserve">, p.value =</w:t>
      </w:r>
      <w:r>
        <w:t xml:space="preserve"> </w:t>
      </w:r>
      <w:r>
        <w:t xml:space="preserve">“</w:t>
      </w:r>
      <w:r>
        <w:t xml:space="preserve">&lt; .001</w:t>
      </w:r>
      <w:r>
        <w:t xml:space="preserve">”</w:t>
      </w:r>
      <w:r>
        <w:t xml:space="preserve">) with 4,732.69 ms for target-present responses and 7,022.51 ms for target-absent responses.</w:t>
      </w:r>
    </w:p>
    <w:p>
      <w:pPr>
        <w:pStyle w:val="Textkrper"/>
      </w:pPr>
      <w:r>
        <w:rPr>
          <w:iCs/>
          <w:i/>
        </w:rPr>
        <w:t xml:space="preserve">Hypothesis 2 - Direct replication</w:t>
      </w:r>
      <w:r>
        <w:t xml:space="preserve"> </w:t>
      </w:r>
      <w:r>
        <w:t xml:space="preserve">The primary aim of experiment 2 was to examine the interaction between group (OC+ vs. OC-) and condition (target-absent vs. target-present). We conducted a one-tailed t-test using the difference in search times (mean RT absent - mean RT present) as the dependent variable and group (OC+ vs. OC-) as the independent variable, expecting a greater difference score for the OC+ group. The one-tailed t-test revealed no significant differences between the groups,</w:t>
      </w:r>
      <m:oMath>
        <m:r>
          <m:t>Δ</m:t>
        </m:r>
        <m:r>
          <m:t>M</m:t>
        </m:r>
        <m:r>
          <m:rPr>
            <m:sty m:val="p"/>
          </m:rPr>
          <m:t>=</m:t>
        </m:r>
        <m:r>
          <m:t>174.09</m:t>
        </m:r>
      </m:oMath>
      <w:r>
        <w:t xml:space="preserve">, 95% CI</w:t>
      </w:r>
      <w:r>
        <w:t xml:space="preserve"> </w:t>
      </w:r>
      <m:oMath>
        <m:d>
          <m:dPr>
            <m:begChr m:val="["/>
            <m:endChr m:val="]"/>
            <m:sepChr m:val=""/>
            <m:grow/>
          </m:dPr>
          <m:e>
            <m:r>
              <m:rPr>
                <m:sty m:val="p"/>
              </m:rPr>
              <m:t>−</m:t>
            </m:r>
            <m:r>
              <m:t>30.92</m:t>
            </m:r>
            <m:r>
              <m:rPr>
                <m:sty m:val="p"/>
              </m:rPr>
              <m:t>,</m:t>
            </m:r>
            <m:r>
              <m:rPr>
                <m:sty m:val="p"/>
              </m:rPr>
              <m:t>∞</m:t>
            </m:r>
          </m:e>
        </m:d>
      </m:oMath>
      <w:r>
        <w:t xml:space="preserve">,</w:t>
      </w:r>
      <w:r>
        <w:t xml:space="preserve"> </w:t>
      </w:r>
      <m:oMath>
        <m:r>
          <m:t>t</m:t>
        </m:r>
        <m:d>
          <m:dPr>
            <m:begChr m:val="("/>
            <m:endChr m:val=")"/>
            <m:sepChr m:val=""/>
            <m:grow/>
          </m:dPr>
          <m:e>
            <m:r>
              <m:t>144.88</m:t>
            </m:r>
          </m:e>
        </m:d>
        <m:r>
          <m:rPr>
            <m:sty m:val="p"/>
          </m:rPr>
          <m:t>=</m:t>
        </m:r>
        <m:r>
          <m:t>1.41</m:t>
        </m:r>
      </m:oMath>
      <w:r>
        <w:t xml:space="preserve">,</w:t>
      </w:r>
      <w:r>
        <w:t xml:space="preserve"> </w:t>
      </w:r>
      <m:oMath>
        <m:r>
          <m:t>p</m:t>
        </m:r>
        <m:r>
          <m:rPr>
            <m:sty m:val="p"/>
          </m:rPr>
          <m:t>=</m:t>
        </m:r>
        <m:r>
          <m:t>.081</m:t>
        </m:r>
      </m:oMath>
      <w:r>
        <w:t xml:space="preserve">,</w:t>
      </w:r>
      <w:r>
        <w:t xml:space="preserve"> </w:t>
      </w:r>
      <m:oMath>
        <m:r>
          <m:t>Δ</m:t>
        </m:r>
        <m:r>
          <m:t>M</m:t>
        </m:r>
        <m:r>
          <m:rPr>
            <m:sty m:val="p"/>
          </m:rPr>
          <m:t>=</m:t>
        </m:r>
        <m:r>
          <m:t>174.09</m:t>
        </m:r>
      </m:oMath>
      <w:r>
        <w:t xml:space="preserve">, 95% CI</w:t>
      </w:r>
      <w:r>
        <w:t xml:space="preserve"> </w:t>
      </w:r>
      <m:oMath>
        <m:d>
          <m:dPr>
            <m:begChr m:val="["/>
            <m:endChr m:val="]"/>
            <m:sepChr m:val=""/>
            <m:grow/>
          </m:dPr>
          <m:e>
            <m:r>
              <m:rPr>
                <m:sty m:val="p"/>
              </m:rPr>
              <m:t>−</m:t>
            </m:r>
            <m:r>
              <m:t>30.92</m:t>
            </m:r>
            <m:r>
              <m:rPr>
                <m:sty m:val="p"/>
              </m:rPr>
              <m:t>,</m:t>
            </m:r>
            <m:r>
              <m:rPr>
                <m:sty m:val="p"/>
              </m:rPr>
              <m:t>∞</m:t>
            </m:r>
          </m:e>
        </m:d>
      </m:oMath>
      <w:r>
        <w:t xml:space="preserve">,</w:t>
      </w:r>
      <w:r>
        <w:t xml:space="preserve"> </w:t>
      </w:r>
      <m:oMath>
        <m:r>
          <m:t>t</m:t>
        </m:r>
        <m:d>
          <m:dPr>
            <m:begChr m:val="("/>
            <m:endChr m:val=")"/>
            <m:sepChr m:val=""/>
            <m:grow/>
          </m:dPr>
          <m:e>
            <m:r>
              <m:t>144.88</m:t>
            </m:r>
          </m:e>
        </m:d>
        <m:r>
          <m:rPr>
            <m:sty m:val="p"/>
          </m:rPr>
          <m:t>=</m:t>
        </m:r>
        <m:r>
          <m:t>1.41</m:t>
        </m:r>
      </m:oMath>
      <w:r>
        <w:t xml:space="preserve">,</w:t>
      </w:r>
      <w:r>
        <w:t xml:space="preserve"> </w:t>
      </w:r>
      <m:oMath>
        <m:r>
          <m:t>p</m:t>
        </m:r>
        <m:r>
          <m:rPr>
            <m:sty m:val="p"/>
          </m:rPr>
          <m:t>=</m:t>
        </m:r>
        <m:r>
          <m:t>.081</m:t>
        </m:r>
      </m:oMath>
      <w:r>
        <w:t xml:space="preserve">, list(estimate =</w:t>
      </w:r>
      <w:r>
        <w:t xml:space="preserve"> </w:t>
      </w:r>
      <w:r>
        <w:t xml:space="preserve">“</w:t>
      </w:r>
      <w:r>
        <w:t xml:space="preserve">174.09</w:t>
      </w:r>
      <w:r>
        <w:t xml:space="preserve">”</w:t>
      </w:r>
      <w:r>
        <w:t xml:space="preserve">, conf.int =</w:t>
      </w:r>
      <w:r>
        <w:t xml:space="preserve"> </w:t>
      </w:r>
      <w:r>
        <w:t xml:space="preserve">“</w:t>
      </w:r>
      <w:r>
        <w:t xml:space="preserve">[-30.92,</w:t>
      </w:r>
      <w:r>
        <w:t xml:space="preserve"> </w:t>
      </w:r>
      <w:r>
        <w:t xml:space="preserve">$\\infty$</w:t>
      </w:r>
      <w:r>
        <w:t xml:space="preserve">]</w:t>
      </w:r>
      <w:r>
        <w:t xml:space="preserve">”</w:t>
      </w:r>
      <w:r>
        <w:t xml:space="preserve">, statistic =</w:t>
      </w:r>
      <w:r>
        <w:t xml:space="preserve"> </w:t>
      </w:r>
      <w:r>
        <w:t xml:space="preserve">“</w:t>
      </w:r>
      <w:r>
        <w:t xml:space="preserve">1.41</w:t>
      </w:r>
      <w:r>
        <w:t xml:space="preserve">”</w:t>
      </w:r>
      <w:r>
        <w:t xml:space="preserve">, df =</w:t>
      </w:r>
      <w:r>
        <w:t xml:space="preserve"> </w:t>
      </w:r>
      <w:r>
        <w:t xml:space="preserve">“</w:t>
      </w:r>
      <w:r>
        <w:t xml:space="preserve">144.88</w:t>
      </w:r>
      <w:r>
        <w:t xml:space="preserve">”</w:t>
      </w:r>
      <w:r>
        <w:t xml:space="preserve">, p.value =</w:t>
      </w:r>
      <w:r>
        <w:t xml:space="preserve"> </w:t>
      </w:r>
      <w:r>
        <w:t xml:space="preserve">“</w:t>
      </w:r>
      <w:r>
        <w:t xml:space="preserve">.081</w:t>
      </w:r>
      <w:r>
        <w:t xml:space="preserve">”</w:t>
      </w:r>
      <w:r>
        <w:t xml:space="preserve">), providing no evidence for the expected interaction.</w:t>
      </w:r>
    </w:p>
    <w:bookmarkEnd w:id="30"/>
    <w:bookmarkStart w:id="31" w:name="discussion"/>
    <w:p>
      <w:pPr>
        <w:pStyle w:val="berschrift1"/>
      </w:pPr>
      <w:r>
        <w:t xml:space="preserve">Discussion</w:t>
      </w:r>
    </w:p>
    <w:p>
      <w:r>
        <w:br w:type="page"/>
      </w:r>
    </w:p>
    <w:bookmarkEnd w:id="31"/>
    <w:bookmarkStart w:id="90" w:name="references"/>
    <w:p>
      <w:pPr>
        <w:pStyle w:val="berschrift1"/>
      </w:pPr>
      <w:r>
        <w:t xml:space="preserve">References</w:t>
      </w:r>
    </w:p>
    <w:bookmarkStart w:id="89" w:name="refs"/>
    <w:bookmarkStart w:id="33"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32">
        <w:r>
          <w:rPr>
            <w:rStyle w:val="Hyperlink"/>
          </w:rPr>
          <w:t xml:space="preserve">https://github.com/crsh/citr</w:t>
        </w:r>
      </w:hyperlink>
    </w:p>
    <w:bookmarkEnd w:id="33"/>
    <w:bookmarkStart w:id="35"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4">
        <w:r>
          <w:rPr>
            <w:rStyle w:val="Hyperlink"/>
          </w:rPr>
          <w:t xml:space="preserve">https://github.com/crsh/papaja</w:t>
        </w:r>
      </w:hyperlink>
    </w:p>
    <w:bookmarkEnd w:id="35"/>
    <w:bookmarkStart w:id="37"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36">
        <w:r>
          <w:rPr>
            <w:rStyle w:val="Hyperlink"/>
          </w:rPr>
          <w:t xml:space="preserve">https://cran.r-project.org/package=tinylabels</w:t>
        </w:r>
      </w:hyperlink>
    </w:p>
    <w:bookmarkEnd w:id="37"/>
    <w:bookmarkStart w:id="39"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8">
        <w:r>
          <w:rPr>
            <w:rStyle w:val="Hyperlink"/>
          </w:rPr>
          <w:t xml:space="preserve">https://doi.org/10.18637/jss.v067.i01</w:t>
        </w:r>
      </w:hyperlink>
    </w:p>
    <w:bookmarkEnd w:id="39"/>
    <w:bookmarkStart w:id="41"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40">
        <w:r>
          <w:rPr>
            <w:rStyle w:val="Hyperlink"/>
          </w:rPr>
          <w:t xml:space="preserve">https://CRAN.R-project.org/package=Matrix</w:t>
        </w:r>
      </w:hyperlink>
    </w:p>
    <w:bookmarkEnd w:id="41"/>
    <w:bookmarkStart w:id="43"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42">
        <w:r>
          <w:rPr>
            <w:rStyle w:val="Hyperlink"/>
          </w:rPr>
          <w:t xml:space="preserve">https://CRAN.R-project.org/package=piggyback</w:t>
        </w:r>
      </w:hyperlink>
    </w:p>
    <w:bookmarkEnd w:id="43"/>
    <w:bookmarkStart w:id="45"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44">
        <w:r>
          <w:rPr>
            <w:rStyle w:val="Hyperlink"/>
          </w:rPr>
          <w:t xml:space="preserve">https://CRAN.R-project.org/package=shiny</w:t>
        </w:r>
      </w:hyperlink>
    </w:p>
    <w:bookmarkEnd w:id="45"/>
    <w:bookmarkStart w:id="47"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46">
        <w:r>
          <w:rPr>
            <w:rStyle w:val="Hyperlink"/>
          </w:rPr>
          <w:t xml:space="preserve">https://CRAN.R-project.org/package=purrr</w:t>
        </w:r>
      </w:hyperlink>
    </w:p>
    <w:bookmarkEnd w:id="47"/>
    <w:bookmarkStart w:id="49"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48">
        <w:r>
          <w:rPr>
            <w:rStyle w:val="Hyperlink"/>
          </w:rPr>
          <w:t xml:space="preserve">https://CRAN.R-project.org/package=ggpubr</w:t>
        </w:r>
      </w:hyperlink>
    </w:p>
    <w:bookmarkEnd w:id="49"/>
    <w:bookmarkStart w:id="51"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50">
        <w:r>
          <w:rPr>
            <w:rStyle w:val="Hyperlink"/>
          </w:rPr>
          <w:t xml:space="preserve">https://CRAN.R-project.org/package=caret</w:t>
        </w:r>
      </w:hyperlink>
    </w:p>
    <w:bookmarkEnd w:id="51"/>
    <w:bookmarkStart w:id="53"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52">
        <w:r>
          <w:rPr>
            <w:rStyle w:val="Hyperlink"/>
          </w:rPr>
          <w:t xml:space="preserve">https://doi.org/10.18637/jss.v082.i13</w:t>
        </w:r>
      </w:hyperlink>
    </w:p>
    <w:bookmarkEnd w:id="53"/>
    <w:bookmarkStart w:id="5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54"/>
    <w:bookmarkStart w:id="56"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55">
        <w:r>
          <w:rPr>
            <w:rStyle w:val="Hyperlink"/>
          </w:rPr>
          <w:t xml:space="preserve">https://CRAN.R-project.org/package=tibble</w:t>
        </w:r>
      </w:hyperlink>
    </w:p>
    <w:bookmarkEnd w:id="56"/>
    <w:bookmarkStart w:id="58"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57">
        <w:r>
          <w:rPr>
            <w:rStyle w:val="Hyperlink"/>
          </w:rPr>
          <w:t xml:space="preserve">https://doi.org/10.1007/b98882</w:t>
        </w:r>
      </w:hyperlink>
    </w:p>
    <w:bookmarkEnd w:id="58"/>
    <w:bookmarkStart w:id="6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9">
        <w:r>
          <w:rPr>
            <w:rStyle w:val="Hyperlink"/>
          </w:rPr>
          <w:t xml:space="preserve">https://www.R-project.org/</w:t>
        </w:r>
      </w:hyperlink>
    </w:p>
    <w:bookmarkEnd w:id="60"/>
    <w:bookmarkStart w:id="61"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61"/>
    <w:bookmarkStart w:id="63"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62">
        <w:r>
          <w:rPr>
            <w:rStyle w:val="Hyperlink"/>
          </w:rPr>
          <w:t xml:space="preserve">http://lmdvr.r-forge.r-project.org</w:t>
        </w:r>
      </w:hyperlink>
    </w:p>
    <w:bookmarkEnd w:id="63"/>
    <w:bookmarkStart w:id="65"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64">
        <w:r>
          <w:rPr>
            <w:rStyle w:val="Hyperlink"/>
          </w:rPr>
          <w:t xml:space="preserve">https://CRAN.R-project.org/package=GGally</w:t>
        </w:r>
      </w:hyperlink>
    </w:p>
    <w:bookmarkEnd w:id="65"/>
    <w:bookmarkStart w:id="66" w:name="ref-toffolo2014uncertainty"/>
    <w:p>
      <w:pPr>
        <w:pStyle w:val="Literaturverzeichnis"/>
      </w:pPr>
      <w:r>
        <w:t xml:space="preserve">Toffolo, M. B., Hout, M. A. van den, Engelhard, I. M., Hooge, I. T., &amp; Cath, D. C. (2014). Uncertainty, checking, and intolerance of uncertainty in subclinical obsessive compulsive disorder: An 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66"/>
    <w:bookmarkStart w:id="67"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67"/>
    <w:bookmarkStart w:id="68" w:name="ref-toffolo2016patients"/>
    <w:p>
      <w:pPr>
        <w:pStyle w:val="Literaturverzeichnis"/>
      </w:pPr>
      <w:r>
        <w:t xml:space="preserve">Toffolo, M. B., Van Den Hout, M. A., Engelhard, I. M., Hooge, I. T., &amp; Cath, D. C. (2016). Patients with obsessive-compulsive disorder check excessively in response to mild uncertainty.</w:t>
      </w:r>
      <w:r>
        <w:t xml:space="preserve"> </w:t>
      </w:r>
      <w:r>
        <w:rPr>
          <w:iCs/>
          <w:i/>
        </w:rPr>
        <w:t xml:space="preserve">Behavior Therapy</w:t>
      </w:r>
      <w:r>
        <w:t xml:space="preserve">,</w:t>
      </w:r>
      <w:r>
        <w:t xml:space="preserve"> </w:t>
      </w:r>
      <w:r>
        <w:rPr>
          <w:iCs/>
          <w:i/>
        </w:rPr>
        <w:t xml:space="preserve">47</w:t>
      </w:r>
      <w:r>
        <w:t xml:space="preserve">(4), 550–559.</w:t>
      </w:r>
    </w:p>
    <w:bookmarkEnd w:id="68"/>
    <w:bookmarkStart w:id="70"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69">
        <w:r>
          <w:rPr>
            <w:rStyle w:val="Hyperlink"/>
          </w:rPr>
          <w:t xml:space="preserve">https://ggplot2.tidyverse.org</w:t>
        </w:r>
      </w:hyperlink>
    </w:p>
    <w:bookmarkEnd w:id="70"/>
    <w:bookmarkStart w:id="72"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71">
        <w:r>
          <w:rPr>
            <w:rStyle w:val="Hyperlink"/>
          </w:rPr>
          <w:t xml:space="preserve">https://CRAN.R-project.org/package=stringr</w:t>
        </w:r>
      </w:hyperlink>
    </w:p>
    <w:bookmarkEnd w:id="72"/>
    <w:bookmarkStart w:id="74"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73">
        <w:r>
          <w:rPr>
            <w:rStyle w:val="Hyperlink"/>
          </w:rPr>
          <w:t xml:space="preserve">https://CRAN.R-project.org/package=forcats</w:t>
        </w:r>
      </w:hyperlink>
    </w:p>
    <w:bookmarkEnd w:id="74"/>
    <w:bookmarkStart w:id="76"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75">
        <w:r>
          <w:rPr>
            <w:rStyle w:val="Hyperlink"/>
          </w:rPr>
          <w:t xml:space="preserve">https://CRAN.R-project.org/package=tidyr</w:t>
        </w:r>
      </w:hyperlink>
    </w:p>
    <w:bookmarkEnd w:id="76"/>
    <w:bookmarkStart w:id="78"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7">
        <w:r>
          <w:rPr>
            <w:rStyle w:val="Hyperlink"/>
          </w:rPr>
          <w:t xml:space="preserve">https://doi.org/10.21105/joss.01686</w:t>
        </w:r>
      </w:hyperlink>
    </w:p>
    <w:bookmarkEnd w:id="78"/>
    <w:bookmarkStart w:id="80"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79">
        <w:r>
          <w:rPr>
            <w:rStyle w:val="Hyperlink"/>
          </w:rPr>
          <w:t xml:space="preserve">https://CRAN.R-project.org/package=usethis</w:t>
        </w:r>
      </w:hyperlink>
    </w:p>
    <w:bookmarkEnd w:id="80"/>
    <w:bookmarkStart w:id="82"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81">
        <w:r>
          <w:rPr>
            <w:rStyle w:val="Hyperlink"/>
          </w:rPr>
          <w:t xml:space="preserve">https://CRAN.R-project.org/package=dplyr</w:t>
        </w:r>
      </w:hyperlink>
    </w:p>
    <w:bookmarkEnd w:id="82"/>
    <w:bookmarkStart w:id="84"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83">
        <w:r>
          <w:rPr>
            <w:rStyle w:val="Hyperlink"/>
          </w:rPr>
          <w:t xml:space="preserve">https://CRAN.R-project.org/package=readr</w:t>
        </w:r>
      </w:hyperlink>
    </w:p>
    <w:bookmarkEnd w:id="84"/>
    <w:bookmarkStart w:id="86"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85">
        <w:r>
          <w:rPr>
            <w:rStyle w:val="Hyperlink"/>
          </w:rPr>
          <w:t xml:space="preserve">https://CRAN.R-project.org/package=devtools</w:t>
        </w:r>
      </w:hyperlink>
    </w:p>
    <w:bookmarkEnd w:id="86"/>
    <w:bookmarkStart w:id="88"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87">
        <w:r>
          <w:rPr>
            <w:rStyle w:val="Hyperlink"/>
          </w:rPr>
          <w:t xml:space="preserve">https://CRAN.R-project.org/package=cowplot</w:t>
        </w:r>
      </w:hyperlink>
    </w:p>
    <w:bookmarkEnd w:id="88"/>
    <w:bookmarkEnd w:id="89"/>
    <w:bookmarkEnd w:id="9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SUBCLINICAL OCD VISUAL SEARCH </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SUBCLINICAL OCD VISUAL SEARCH </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7" Target="media/rId27.png" /><Relationship Type="http://schemas.openxmlformats.org/officeDocument/2006/relationships/hyperlink" Id="rId62" Target="http://lmdvr.r-forge.r-project.org" TargetMode="External" /><Relationship Type="http://schemas.openxmlformats.org/officeDocument/2006/relationships/hyperlink" Id="rId64" Target="https://CRAN.R-project.org/package=GGally" TargetMode="External" /><Relationship Type="http://schemas.openxmlformats.org/officeDocument/2006/relationships/hyperlink" Id="rId40" Target="https://CRAN.R-project.org/package=Matrix" TargetMode="External" /><Relationship Type="http://schemas.openxmlformats.org/officeDocument/2006/relationships/hyperlink" Id="rId50" Target="https://CRAN.R-project.org/package=caret" TargetMode="External" /><Relationship Type="http://schemas.openxmlformats.org/officeDocument/2006/relationships/hyperlink" Id="rId87" Target="https://CRAN.R-project.org/package=cowplot" TargetMode="External" /><Relationship Type="http://schemas.openxmlformats.org/officeDocument/2006/relationships/hyperlink" Id="rId85" Target="https://CRAN.R-project.org/package=devtools" TargetMode="External" /><Relationship Type="http://schemas.openxmlformats.org/officeDocument/2006/relationships/hyperlink" Id="rId81" Target="https://CRAN.R-project.org/package=dplyr" TargetMode="External" /><Relationship Type="http://schemas.openxmlformats.org/officeDocument/2006/relationships/hyperlink" Id="rId73" Target="https://CRAN.R-project.org/package=forcats" TargetMode="External" /><Relationship Type="http://schemas.openxmlformats.org/officeDocument/2006/relationships/hyperlink" Id="rId48" Target="https://CRAN.R-project.org/package=ggpubr" TargetMode="External" /><Relationship Type="http://schemas.openxmlformats.org/officeDocument/2006/relationships/hyperlink" Id="rId42" Target="https://CRAN.R-project.org/package=piggyback" TargetMode="External" /><Relationship Type="http://schemas.openxmlformats.org/officeDocument/2006/relationships/hyperlink" Id="rId46" Target="https://CRAN.R-project.org/package=purrr" TargetMode="External" /><Relationship Type="http://schemas.openxmlformats.org/officeDocument/2006/relationships/hyperlink" Id="rId83" Target="https://CRAN.R-project.org/package=readr" TargetMode="External" /><Relationship Type="http://schemas.openxmlformats.org/officeDocument/2006/relationships/hyperlink" Id="rId44" Target="https://CRAN.R-project.org/package=shiny" TargetMode="External" /><Relationship Type="http://schemas.openxmlformats.org/officeDocument/2006/relationships/hyperlink" Id="rId71" Target="https://CRAN.R-project.org/package=stringr" TargetMode="External" /><Relationship Type="http://schemas.openxmlformats.org/officeDocument/2006/relationships/hyperlink" Id="rId55" Target="https://CRAN.R-project.org/package=tibble" TargetMode="External" /><Relationship Type="http://schemas.openxmlformats.org/officeDocument/2006/relationships/hyperlink" Id="rId75" Target="https://CRAN.R-project.org/package=tidyr" TargetMode="External" /><Relationship Type="http://schemas.openxmlformats.org/officeDocument/2006/relationships/hyperlink" Id="rId79" Target="https://CRAN.R-project.org/package=usethis" TargetMode="External" /><Relationship Type="http://schemas.openxmlformats.org/officeDocument/2006/relationships/hyperlink" Id="rId36" Target="https://cran.r-project.org/package=tinylabels" TargetMode="External" /><Relationship Type="http://schemas.openxmlformats.org/officeDocument/2006/relationships/hyperlink" Id="rId57" Target="https://doi.org/10.1007/b98882" TargetMode="External" /><Relationship Type="http://schemas.openxmlformats.org/officeDocument/2006/relationships/hyperlink" Id="rId38" Target="https://doi.org/10.18637/jss.v067.i01" TargetMode="External" /><Relationship Type="http://schemas.openxmlformats.org/officeDocument/2006/relationships/hyperlink" Id="rId52" Target="https://doi.org/10.18637/jss.v082.i13" TargetMode="External" /><Relationship Type="http://schemas.openxmlformats.org/officeDocument/2006/relationships/hyperlink" Id="rId77" Target="https://doi.org/10.21105/joss.01686" TargetMode="External" /><Relationship Type="http://schemas.openxmlformats.org/officeDocument/2006/relationships/hyperlink" Id="rId69"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34" Target="https://github.com/crsh/papaja" TargetMode="External" /><Relationship Type="http://schemas.openxmlformats.org/officeDocument/2006/relationships/hyperlink" Id="rId23" Target="https://osf.io/8a5mr" TargetMode="External" /><Relationship Type="http://schemas.openxmlformats.org/officeDocument/2006/relationships/hyperlink" Id="rId59"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62" Target="http://lmdvr.r-forge.r-project.org" TargetMode="External" /><Relationship Type="http://schemas.openxmlformats.org/officeDocument/2006/relationships/hyperlink" Id="rId64" Target="https://CRAN.R-project.org/package=GGally" TargetMode="External" /><Relationship Type="http://schemas.openxmlformats.org/officeDocument/2006/relationships/hyperlink" Id="rId40" Target="https://CRAN.R-project.org/package=Matrix" TargetMode="External" /><Relationship Type="http://schemas.openxmlformats.org/officeDocument/2006/relationships/hyperlink" Id="rId50" Target="https://CRAN.R-project.org/package=caret" TargetMode="External" /><Relationship Type="http://schemas.openxmlformats.org/officeDocument/2006/relationships/hyperlink" Id="rId87" Target="https://CRAN.R-project.org/package=cowplot" TargetMode="External" /><Relationship Type="http://schemas.openxmlformats.org/officeDocument/2006/relationships/hyperlink" Id="rId85" Target="https://CRAN.R-project.org/package=devtools" TargetMode="External" /><Relationship Type="http://schemas.openxmlformats.org/officeDocument/2006/relationships/hyperlink" Id="rId81" Target="https://CRAN.R-project.org/package=dplyr" TargetMode="External" /><Relationship Type="http://schemas.openxmlformats.org/officeDocument/2006/relationships/hyperlink" Id="rId73" Target="https://CRAN.R-project.org/package=forcats" TargetMode="External" /><Relationship Type="http://schemas.openxmlformats.org/officeDocument/2006/relationships/hyperlink" Id="rId48" Target="https://CRAN.R-project.org/package=ggpubr" TargetMode="External" /><Relationship Type="http://schemas.openxmlformats.org/officeDocument/2006/relationships/hyperlink" Id="rId42" Target="https://CRAN.R-project.org/package=piggyback" TargetMode="External" /><Relationship Type="http://schemas.openxmlformats.org/officeDocument/2006/relationships/hyperlink" Id="rId46" Target="https://CRAN.R-project.org/package=purrr" TargetMode="External" /><Relationship Type="http://schemas.openxmlformats.org/officeDocument/2006/relationships/hyperlink" Id="rId83" Target="https://CRAN.R-project.org/package=readr" TargetMode="External" /><Relationship Type="http://schemas.openxmlformats.org/officeDocument/2006/relationships/hyperlink" Id="rId44" Target="https://CRAN.R-project.org/package=shiny" TargetMode="External" /><Relationship Type="http://schemas.openxmlformats.org/officeDocument/2006/relationships/hyperlink" Id="rId71" Target="https://CRAN.R-project.org/package=stringr" TargetMode="External" /><Relationship Type="http://schemas.openxmlformats.org/officeDocument/2006/relationships/hyperlink" Id="rId55" Target="https://CRAN.R-project.org/package=tibble" TargetMode="External" /><Relationship Type="http://schemas.openxmlformats.org/officeDocument/2006/relationships/hyperlink" Id="rId75" Target="https://CRAN.R-project.org/package=tidyr" TargetMode="External" /><Relationship Type="http://schemas.openxmlformats.org/officeDocument/2006/relationships/hyperlink" Id="rId79" Target="https://CRAN.R-project.org/package=usethis" TargetMode="External" /><Relationship Type="http://schemas.openxmlformats.org/officeDocument/2006/relationships/hyperlink" Id="rId36" Target="https://cran.r-project.org/package=tinylabels" TargetMode="External" /><Relationship Type="http://schemas.openxmlformats.org/officeDocument/2006/relationships/hyperlink" Id="rId57" Target="https://doi.org/10.1007/b98882" TargetMode="External" /><Relationship Type="http://schemas.openxmlformats.org/officeDocument/2006/relationships/hyperlink" Id="rId38" Target="https://doi.org/10.18637/jss.v067.i01" TargetMode="External" /><Relationship Type="http://schemas.openxmlformats.org/officeDocument/2006/relationships/hyperlink" Id="rId52" Target="https://doi.org/10.18637/jss.v082.i13" TargetMode="External" /><Relationship Type="http://schemas.openxmlformats.org/officeDocument/2006/relationships/hyperlink" Id="rId77" Target="https://doi.org/10.21105/joss.01686" TargetMode="External" /><Relationship Type="http://schemas.openxmlformats.org/officeDocument/2006/relationships/hyperlink" Id="rId69"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34" Target="https://github.com/crsh/papaja" TargetMode="External" /><Relationship Type="http://schemas.openxmlformats.org/officeDocument/2006/relationships/hyperlink" Id="rId23" Target="https://osf.io/8a5mr" TargetMode="External" /><Relationship Type="http://schemas.openxmlformats.org/officeDocument/2006/relationships/hyperlink" Id="rId59"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Subclinical OCD and inference about absence in visual search</dc:title>
  <dc:creator/>
  <cp:keywords/>
  <dcterms:created xsi:type="dcterms:W3CDTF">2023-07-10T11:10:10Z</dcterms:created>
  <dcterms:modified xsi:type="dcterms:W3CDTF">2023-07-10T11:10:10Z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C:\Users\User\Documents\R\win-library\4.1\papaja\rmd\apa6.csl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Subclinical OCD visual search</vt:lpwstr>
  </property>
  <property fmtid="{D5CDD505-2E9C-101B-9397-08002B2CF9AE}" pid="14" name="tablelist">
    <vt:lpwstr>False</vt:lpwstr>
  </property>
</Properties>
</file>