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836" w:rsidRDefault="002B6CE9">
      <w:pPr>
        <w:pStyle w:val="Title"/>
      </w:pPr>
      <w:r>
        <w:t>Zero-shot search termination reveals a dissociation between implicit and explicit metacognitive knowledge</w:t>
      </w:r>
    </w:p>
    <w:p w:rsidR="00AE4836" w:rsidRDefault="002B6CE9">
      <w:pPr>
        <w:pStyle w:val="Author"/>
      </w:pPr>
      <w:r>
        <w:t>Matan Mazor</w:t>
      </w:r>
      <w:r>
        <w:rPr>
          <w:vertAlign w:val="superscript"/>
        </w:rPr>
        <w:t>1</w:t>
      </w:r>
      <w:r>
        <w:t> &amp; Stephen M. Fleming</w:t>
      </w:r>
      <w:r>
        <w:rPr>
          <w:vertAlign w:val="superscript"/>
        </w:rPr>
        <w:t>1,2,3</w:t>
      </w:r>
    </w:p>
    <w:p w:rsidR="00AE4836" w:rsidRDefault="002B6CE9">
      <w:pPr>
        <w:pStyle w:val="Author"/>
      </w:pPr>
      <w:r>
        <w:rPr>
          <w:vertAlign w:val="superscript"/>
        </w:rPr>
        <w:t>1</w:t>
      </w:r>
      <w:r>
        <w:t xml:space="preserve"> Wellcome Centre for Human Neuroimaging, UCL</w:t>
      </w:r>
    </w:p>
    <w:p w:rsidR="00AE4836" w:rsidRDefault="002B6CE9">
      <w:pPr>
        <w:pStyle w:val="Author"/>
      </w:pPr>
      <w:r>
        <w:rPr>
          <w:vertAlign w:val="superscript"/>
        </w:rPr>
        <w:t>2</w:t>
      </w:r>
      <w:r>
        <w:t xml:space="preserve"> </w:t>
      </w:r>
      <w:r>
        <w:t>Max Planck UCL Centre for Computational Psychiatry and Ageing Research</w:t>
      </w:r>
    </w:p>
    <w:p w:rsidR="00AE4836" w:rsidRDefault="002B6CE9">
      <w:pPr>
        <w:pStyle w:val="Author"/>
      </w:pPr>
      <w:r>
        <w:rPr>
          <w:vertAlign w:val="superscript"/>
        </w:rPr>
        <w:t>3</w:t>
      </w:r>
      <w:r>
        <w:t xml:space="preserve"> Department of Experimental Psychology, UCL</w:t>
      </w:r>
    </w:p>
    <w:p w:rsidR="00AE4836" w:rsidRDefault="002B6CE9">
      <w:pPr>
        <w:pStyle w:val="Compact"/>
      </w:pPr>
      <w:r>
        <w:t>                                                                                                                                            </w:t>
      </w:r>
      <w:r>
        <w:t>        </w:t>
      </w:r>
    </w:p>
    <w:p w:rsidR="00AE4836" w:rsidRDefault="002B6CE9">
      <w:pPr>
        <w:pStyle w:val="BodyText"/>
      </w:pPr>
      <w:r>
        <w:t> </w:t>
      </w:r>
    </w:p>
    <w:p w:rsidR="00AE4836" w:rsidRDefault="002B6CE9">
      <w:pPr>
        <w:pStyle w:val="BodyText"/>
      </w:pPr>
      <w:r>
        <w:t> </w:t>
      </w:r>
    </w:p>
    <w:p w:rsidR="00AE4836" w:rsidRDefault="002B6CE9" w:rsidP="0006533A">
      <w:pPr>
        <w:pStyle w:val="BodyText"/>
      </w:pPr>
      <w:r>
        <w:t> </w:t>
      </w:r>
    </w:p>
    <w:p w:rsidR="00AE4836" w:rsidRDefault="002B6CE9">
      <w:pPr>
        <w:pStyle w:val="BodyText"/>
      </w:pPr>
      <w:r>
        <w:t> </w:t>
      </w:r>
    </w:p>
    <w:p w:rsidR="00AE4836" w:rsidRDefault="002B6CE9">
      <w:pPr>
        <w:pStyle w:val="BodyText"/>
      </w:pPr>
      <w:r>
        <w:t> </w:t>
      </w:r>
    </w:p>
    <w:p w:rsidR="00AE4836" w:rsidRDefault="002B6CE9">
      <w:pPr>
        <w:pStyle w:val="Author"/>
      </w:pPr>
      <w:r>
        <w:t>Author note</w:t>
      </w:r>
    </w:p>
    <w:p w:rsidR="00AE4836" w:rsidRDefault="002B6CE9">
      <w:pPr>
        <w:pStyle w:val="BodyText"/>
      </w:pPr>
      <w:r>
        <w:t xml:space="preserve">Correspondence concerning this article should be addressed to Matan Mazor, 12 Queen Square, London WC1N 3BG. E-mail: </w:t>
      </w:r>
      <w:hyperlink r:id="rId7">
        <w:r>
          <w:rPr>
            <w:rStyle w:val="Hyperlink"/>
          </w:rPr>
          <w:t>mtnmzor@gmail.com</w:t>
        </w:r>
      </w:hyperlink>
    </w:p>
    <w:p w:rsidR="00AE4836" w:rsidRDefault="002B6CE9">
      <w:pPr>
        <w:pStyle w:val="Title"/>
      </w:pPr>
      <w:r>
        <w:lastRenderedPageBreak/>
        <w:t>Abstract</w:t>
      </w:r>
    </w:p>
    <w:p w:rsidR="00AE4836" w:rsidRDefault="002B6CE9">
      <w:pPr>
        <w:pStyle w:val="BodyText"/>
      </w:pPr>
      <w:r>
        <w:t>In order to infer that a target ite</w:t>
      </w:r>
      <w:r>
        <w:t>m is missing from a display, subjects must know that they would have detected it if it was present. This form of counterfactual reasoning critically relies on metacognitive knowledge about spatial attention and visual search behaviour. Previous work on vis</w:t>
      </w:r>
      <w:r>
        <w:t>ual search established that this knowledge is constructed and expanded based on task experience. Here we show that some metacognitive knowledge is also available to participants in the first few trials of the task, and that this knowledge can be used to gu</w:t>
      </w:r>
      <w:r>
        <w:t>ide decisions about search termination even if it is not available for explicit report.</w:t>
      </w:r>
    </w:p>
    <w:p w:rsidR="0006533A" w:rsidRDefault="0006533A">
      <w:pPr>
        <w:spacing w:before="0" w:after="200" w:line="240" w:lineRule="auto"/>
        <w:rPr>
          <w:rFonts w:eastAsiaTheme="majorEastAsia" w:cstheme="majorBidi"/>
          <w:bCs/>
          <w:szCs w:val="36"/>
        </w:rPr>
      </w:pPr>
      <w:r>
        <w:br w:type="page"/>
      </w:r>
    </w:p>
    <w:p w:rsidR="00AE4836" w:rsidRDefault="002B6CE9">
      <w:pPr>
        <w:pStyle w:val="Title"/>
      </w:pPr>
      <w:r>
        <w:lastRenderedPageBreak/>
        <w:t>Zero-shot search termination reveals a dissociation between implicit and explicit metacognitive knowledge</w:t>
      </w:r>
    </w:p>
    <w:p w:rsidR="00AE4836" w:rsidRDefault="002B6CE9">
      <w:pPr>
        <w:pStyle w:val="Heading1"/>
      </w:pPr>
      <w:bookmarkStart w:id="0" w:name="introduction"/>
      <w:r>
        <w:t>1</w:t>
      </w:r>
      <w:r>
        <w:tab/>
        <w:t>Introduction</w:t>
      </w:r>
      <w:bookmarkEnd w:id="0"/>
    </w:p>
    <w:p w:rsidR="00AE4836" w:rsidRDefault="002B6CE9">
      <w:pPr>
        <w:pStyle w:val="FirstParagraph"/>
      </w:pPr>
      <w:r>
        <w:t xml:space="preserve">Searching for the only blue letter in an array </w:t>
      </w:r>
      <w:r>
        <w:t>of yellow letters is easy, but searching for the only blue X among an array of yellow Xs and blue Ts is much harder (Treisman &amp; Gelade, 1980). This difference manifests in the time taken to find the target letter, but also in the time taken to conclude tha</w:t>
      </w:r>
      <w:r>
        <w:t>t the target letter is missing. In other words, easier searches not only make it easier to detect the presence of a target, but also to infer its absence. Differences in the speed of detecting the presence of a target have been attributed to pre-attentiona</w:t>
      </w:r>
      <w:r>
        <w:t>l mechanisms (Treisman &amp; Gelade, 1980) and guiding signals (Wolfe, 2021; Wolfe &amp; Gray, 2007), that can sometimes make the target item ‘pop out’ immediately, without any attentional effort. In target-absent trials, however, there is nothing in the display t</w:t>
      </w:r>
      <w:r>
        <w:t>o pop-out. This reasis a fundamental question: what makes some decisions about target absence easier than others?</w:t>
      </w:r>
    </w:p>
    <w:p w:rsidR="00AE4836" w:rsidRDefault="002B6CE9">
      <w:pPr>
        <w:pStyle w:val="BodyText"/>
      </w:pPr>
      <w:r>
        <w:t xml:space="preserve">Models of search termination explain the </w:t>
      </w:r>
      <w:r>
        <w:rPr>
          <w:i/>
        </w:rPr>
        <w:t>pop-out</w:t>
      </w:r>
      <w:r>
        <w:t xml:space="preserve"> effect for target absence (the immediate recognition that a target is missing) by postulating</w:t>
      </w:r>
      <w:r>
        <w:t xml:space="preserve"> implicit or explicit implementations of counterfactual beliefs about finding a hypothetical target. For example, in some versions of the Guided Search model, search termination was the result of an exhaustive search on those items that surpassed a learned</w:t>
      </w:r>
      <w:r>
        <w:t xml:space="preserve"> </w:t>
      </w:r>
      <w:r>
        <w:rPr>
          <w:i/>
        </w:rPr>
        <w:t>activation threshold</w:t>
      </w:r>
      <w:r>
        <w:t>: an internal variable that is flexibly adapted to maximize accuracy and response time (Chun &amp; Wolfe, 1996; Wolfe, 1994). Setting the activation threshold high reflects the belief that a target item would be highly salient, allowing pa</w:t>
      </w:r>
      <w:r>
        <w:t xml:space="preserve">rticipants to ignore non-salient distractors. In another variant of the Guided Search model, search termination was proposed to be the result of probabilistically selecting a </w:t>
      </w:r>
      <w:r>
        <w:rPr>
          <w:i/>
        </w:rPr>
        <w:t>quit unit</w:t>
      </w:r>
      <w:r>
        <w:t xml:space="preserve"> (Moran, </w:t>
      </w:r>
      <w:r>
        <w:lastRenderedPageBreak/>
        <w:t>Zehetleitner, Müller, &amp; Usher, 2013). The probability of select</w:t>
      </w:r>
      <w:r>
        <w:t xml:space="preserve">ing the quit unit in this model was a function of a several factors, including a free parameter that indexes counterfactual beliefs about finding a target, had it been present. In Guided Search 6.0 (Wolfe, 2021), search termination is triggered by a noisy </w:t>
      </w:r>
      <w:r>
        <w:rPr>
          <w:i/>
        </w:rPr>
        <w:t>quitting signal</w:t>
      </w:r>
      <w:r>
        <w:t xml:space="preserve"> accumulator reaching a </w:t>
      </w:r>
      <w:r>
        <w:rPr>
          <w:i/>
        </w:rPr>
        <w:t>quitting threshold</w:t>
      </w:r>
      <w:r>
        <w:t>, which again can be adapted to maximize long-time search efficiency. Finally, in a fixation-based model of visual search, the number of items that are concurrently scanned within a single fixation (</w:t>
      </w:r>
      <w:r>
        <w:t xml:space="preserve">the </w:t>
      </w:r>
      <w:r>
        <w:rPr>
          <w:i/>
        </w:rPr>
        <w:t>functional visual field</w:t>
      </w:r>
      <w:r>
        <w:t>) was dependent on search difficulty: with more items for easy searches and less items for more difficult ones (Hulleman &amp; Olivers, 2017). In all four models, metacognitive beliefs about search efficiency are crucial for adapting</w:t>
      </w:r>
      <w:r>
        <w:t xml:space="preserve"> the search termination strategy to different environments and world states, implemented as an activation or a quitting threshold, a quitting parameter, or the size of a functional visual field.</w:t>
      </w:r>
    </w:p>
    <w:p w:rsidR="00AE4836" w:rsidRDefault="002B6CE9">
      <w:pPr>
        <w:pStyle w:val="BodyText"/>
      </w:pPr>
      <w:r>
        <w:t>Metacognitive beliefs about the expected time taken to detect</w:t>
      </w:r>
      <w:r>
        <w:t xml:space="preserve"> a target can draw on previous experience in the task. Indeed, search time in target-absent trials decreases following successful target-present trials, and sharply increases following target misses (Chun &amp; Wolfe, 1996). This simple heuristic provided an e</w:t>
      </w:r>
      <w:r>
        <w:t>xcellent fit to data from a visual search task with hundreds of trials. However, in everyday life visual searches rarely come in a blocks of hundreds of similar trials, such that relying on previous repetitions of the same search to guide search terminatio</w:t>
      </w:r>
      <w:r>
        <w:t xml:space="preserve">n is impossible (Wolfe, 2021). Only the first trials of a visual search experiment, where participants meet the stimuli for the first time, are a good model of this </w:t>
      </w:r>
      <w:r>
        <w:rPr>
          <w:i/>
        </w:rPr>
        <w:t>zero-shot search termination</w:t>
      </w:r>
      <w:r>
        <w:t xml:space="preserve"> behaviour. In these trials, search time should rely solely on </w:t>
      </w:r>
      <w:r>
        <w:t>metacognitive beliefs about search efficiency that are available to subjects prior to engaging with the task. This fact makes search time in the first few trials of a task a critical window into participants’ metacognitive knowledge about attention and vis</w:t>
      </w:r>
      <w:r>
        <w:t xml:space="preserve">ual search. Furthermore, participants’ ability to learn from positive examples (target-present trials), and their ability to generalize their </w:t>
      </w:r>
      <w:r>
        <w:lastRenderedPageBreak/>
        <w:t>knowledge across stimulus types and displays, offers an opportunity to study the structure of this simplified meta</w:t>
      </w:r>
      <w:r>
        <w:t>cognitive knowledge, its building blocks, and the inductive biases that guide its acquisition. In this study, we use target-absent trials in visual search to ask what participants know about their spatial attention before engaging with the visual search ta</w:t>
      </w:r>
      <w:r>
        <w:t>sk, and how this knowledge is built and expanded based on experience.</w:t>
      </w:r>
    </w:p>
    <w:p w:rsidR="00AE4836" w:rsidRDefault="002B6CE9">
      <w:pPr>
        <w:pStyle w:val="BodyText"/>
      </w:pPr>
      <w:r>
        <w:t>In two pre-registered experiments here we focus on feature search for colour and shape. Focusing on the first four trials in a visual search task, we ask whether prior experience with th</w:t>
      </w:r>
      <w:r>
        <w:t>e task and stimuli is necessary for efficient search termination in feature searches. Unlike typical visual search experiments that comprise hundreds or thousands of trials, here we collect only a handful of trials from a large pool of online participants.</w:t>
      </w:r>
      <w:r>
        <w:t xml:space="preserve"> This unusual design allows us to reliably identify search time patterns in the first trials of the experiment. Furthermore, by making sure that the first displays do not include the target stimulus, we are able for the first time to ask what knowledge is </w:t>
      </w:r>
      <w:r>
        <w:t>available to participants about their expected search efficiency prior to engaging with the task.</w:t>
      </w:r>
    </w:p>
    <w:p w:rsidR="00AE4836" w:rsidRDefault="002B6CE9">
      <w:pPr>
        <w:pStyle w:val="BodyText"/>
      </w:pPr>
      <w:r>
        <w:t xml:space="preserve">We dub this approach </w:t>
      </w:r>
      <w:r>
        <w:rPr>
          <w:i/>
        </w:rPr>
        <w:t>zero-shot search termination</w:t>
      </w:r>
      <w:r>
        <w:t xml:space="preserve"> in a tribute to the study of ‘zero-shot learning’ in machine learning: the ability to classify unseen catego</w:t>
      </w:r>
      <w:r>
        <w:t>ries of stimuli, based on generalizable knowledge from other categories (Xian, Schiele, &amp; Akata, 2017). Efficient (i.e., fast and accurate) quitting in target-absent trials prior to any target-present trials would indicate that knowledge about the salience</w:t>
      </w:r>
      <w:r>
        <w:t xml:space="preserve"> of a divergent color or shape is available at some form in the cognitive system, and that this knowledge can flexibly be put to use for counterfactual reasoning in the process of inference about absence. Conversely, inefficient search in these first trial</w:t>
      </w:r>
      <w:r>
        <w:t>s would mean that positive experience is necessary for this knowledge to be acquired, or to be expressed.</w:t>
      </w:r>
    </w:p>
    <w:p w:rsidR="00AE4836" w:rsidRDefault="002B6CE9">
      <w:pPr>
        <w:pStyle w:val="Heading1"/>
      </w:pPr>
      <w:bookmarkStart w:id="1" w:name="experiment-1"/>
      <w:r>
        <w:lastRenderedPageBreak/>
        <w:t>2</w:t>
      </w:r>
      <w:r>
        <w:tab/>
        <w:t>Experiment 1</w:t>
      </w:r>
      <w:bookmarkEnd w:id="1"/>
    </w:p>
    <w:p w:rsidR="00AE4836" w:rsidRDefault="002B6CE9">
      <w:pPr>
        <w:pStyle w:val="FirstParagraph"/>
      </w:pPr>
      <w:r>
        <w:t>In Experiment 1, we examined search termination in the case of colour search. When searching for a deviant colour, the number of distra</w:t>
      </w:r>
      <w:r>
        <w:t>ctors has virtually no effect on search time (</w:t>
      </w:r>
      <w:r>
        <w:rPr>
          <w:i/>
        </w:rPr>
        <w:t>colour pop-out</w:t>
      </w:r>
      <w:r>
        <w:t>; e.g., D’Zmura, 1991), for both ‘target present’ and ‘target absent’ responses. Here we asked whether efficient quitting in colour search is dependent on task experience. A detailed pre-registrat</w:t>
      </w:r>
      <w:r>
        <w:t xml:space="preserve">ion document for Experiment 1 can be accessed via the following link: </w:t>
      </w:r>
      <w:hyperlink r:id="rId8">
        <w:r>
          <w:rPr>
            <w:rStyle w:val="Hyperlink"/>
          </w:rPr>
          <w:t>https://osf.io/yh82v/</w:t>
        </w:r>
      </w:hyperlink>
      <w:r>
        <w:t>.</w:t>
      </w:r>
    </w:p>
    <w:p w:rsidR="00AE4836" w:rsidRDefault="002B6CE9">
      <w:pPr>
        <w:pStyle w:val="Heading2"/>
      </w:pPr>
      <w:bookmarkStart w:id="2" w:name="participants"/>
      <w:r>
        <w:t>2.1</w:t>
      </w:r>
      <w:r>
        <w:tab/>
        <w:t>Participants</w:t>
      </w:r>
      <w:bookmarkEnd w:id="2"/>
    </w:p>
    <w:p w:rsidR="00AE4836" w:rsidRDefault="002B6CE9">
      <w:pPr>
        <w:pStyle w:val="FirstParagraph"/>
      </w:pPr>
      <w:r>
        <w:t>The research complied with all relevant ethical regulations, and was approved by the Research Ethics Comm</w:t>
      </w:r>
      <w:r>
        <w:t>ittee of University College London (study ID number 1260/003). 1187 Participants were recruited via Prolific, and gave their informed consent prior to their participation. They were selected based on their acceptance rate (&gt;95%) and for being native Englis</w:t>
      </w:r>
      <w:r>
        <w:t>h speakers. Following our pre-registration, we collected data until we reached 320 included participants for each of our pre-registered hypotheses (after applying our pre-registered exclusion criteria). The entire experiment took around 3 minutes to comple</w:t>
      </w:r>
      <w:r>
        <w:t>te (median completion time: 3.19 minutes). Participants were paid £0.38 for their participation, equivalent to an hourly wage of £ 7.14.</w:t>
      </w:r>
    </w:p>
    <w:p w:rsidR="00AE4836" w:rsidRDefault="002B6CE9">
      <w:pPr>
        <w:pStyle w:val="Heading2"/>
      </w:pPr>
      <w:bookmarkStart w:id="3" w:name="procedure"/>
      <w:r>
        <w:t>2.2</w:t>
      </w:r>
      <w:r>
        <w:tab/>
        <w:t>Procedure</w:t>
      </w:r>
      <w:bookmarkEnd w:id="3"/>
    </w:p>
    <w:p w:rsidR="0006533A" w:rsidRDefault="002B6CE9">
      <w:pPr>
        <w:pStyle w:val="FirstParagraph"/>
      </w:pPr>
      <w:r>
        <w:t xml:space="preserve">A static version of Experiment 1 can be accessed on </w:t>
      </w:r>
      <w:hyperlink r:id="rId9">
        <w:r>
          <w:rPr>
            <w:rStyle w:val="Hyperlink"/>
          </w:rPr>
          <w:t>matanmazor.github.io/termination/experiments/demos/exp1/</w:t>
        </w:r>
      </w:hyperlink>
      <w:r>
        <w:t>. Participants were first instructed about the visual search task. Specifically, that their task is to report, as accurately a</w:t>
      </w:r>
      <w:r>
        <w:t xml:space="preserve">nd quickly as possible, whether a target stimulus was present (press ‘J’) or absent (press ‘F’). Then, practice </w:t>
      </w:r>
      <w:r>
        <w:lastRenderedPageBreak/>
        <w:t xml:space="preserve">trials were delivered, in which the target stimulus was a rotated </w:t>
      </w:r>
      <w:r>
        <w:rPr>
          <w:i/>
        </w:rPr>
        <w:t>T</w:t>
      </w:r>
      <w:r>
        <w:t xml:space="preserve">, and distractors are rotated </w:t>
      </w:r>
      <w:r>
        <w:rPr>
          <w:i/>
        </w:rPr>
        <w:t>L</w:t>
      </w:r>
      <w:r>
        <w:t>s. The purpose of the practice trials was to familiarize participants with the structure of the task. For these practice trials the number of items was always 3. Practice trials were delivered in small blocks of 6 trials each, and the main part of the expe</w:t>
      </w:r>
      <w:r>
        <w:t>riment started only once participants responded correctly on at least five trials in a block (see Figure 1).</w:t>
      </w:r>
    </w:p>
    <w:p w:rsidR="0006533A" w:rsidRDefault="0006533A" w:rsidP="0006533A">
      <w:pPr>
        <w:pStyle w:val="BodyText"/>
      </w:pPr>
      <w:r>
        <w:t>In the main part of the experiment, participants searched for a red dot among blue dots or a mixed array of blue dots and red squares. Set size was set to 4 or 8, resulting in a 2-by-2 design (search type: color or color</w:t>
      </w:r>
      <m:oMath>
        <m:r>
          <w:rPr>
            <w:rFonts w:ascii="Cambria Math" w:hAnsi="Cambria Math"/>
          </w:rPr>
          <m:t>×</m:t>
        </m:r>
      </m:oMath>
      <w:r>
        <w:t xml:space="preserve">shape, by set size: 4 or 8). Critically, and unbeknown to subjects, the first four trials were always target-absent trials (one of each set-size </w:t>
      </w:r>
      <m:oMath>
        <m:r>
          <w:rPr>
            <w:rFonts w:ascii="Cambria Math" w:hAnsi="Cambria Math"/>
          </w:rPr>
          <m:t>×</m:t>
        </m:r>
      </m:oMath>
      <w:r>
        <w:t xml:space="preserve"> search-type combination), presented in randomized order. These trials were followed by the four corresponding target-present trials, presented in randomized order. The final four trials were again target-absent trials, presented in randomized order.</w:t>
      </w:r>
    </w:p>
    <w:p w:rsidR="0006533A" w:rsidRPr="0006533A" w:rsidRDefault="0006533A" w:rsidP="0006533A">
      <w:pPr>
        <w:pStyle w:val="BodyText"/>
      </w:pPr>
    </w:p>
    <w:p w:rsidR="0006533A" w:rsidRDefault="0006533A" w:rsidP="0006533A">
      <w:pPr>
        <w:pStyle w:val="BodyText"/>
      </w:pPr>
      <w:r>
        <w:br w:type="page"/>
      </w:r>
    </w:p>
    <w:p w:rsidR="00AE4836" w:rsidRDefault="00AE4836">
      <w:pPr>
        <w:pStyle w:val="FirstParagraph"/>
      </w:pPr>
    </w:p>
    <w:p w:rsidR="00AE4836" w:rsidRDefault="002B6CE9" w:rsidP="0006533A">
      <w:pPr>
        <w:pStyle w:val="CaptionedFigure"/>
        <w:jc w:val="center"/>
      </w:pPr>
      <w:r>
        <w:rPr>
          <w:noProof/>
          <w:lang w:bidi="he-IL"/>
        </w:rPr>
        <w:drawing>
          <wp:inline distT="0" distB="0" distL="0" distR="0">
            <wp:extent cx="4616138" cy="5261302"/>
            <wp:effectExtent l="0" t="0" r="0" b="0"/>
            <wp:docPr id="1" name="Picture" descr="Figure 1:.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0.83 correct or higher (at most one error per block of 6 trials). Bottom panel: the main part of the experiment comprised 12 trials only, in which the target was a red dot. Unbeknown the subjects, only trials 5-8 (Block 2) were target-present trials, and the remaining trials were target-absent trials. Each 4-trial block followed a 2 by 2 design, with factors being set size (4 or 8) and distractor type (color or conjunction; blue dots only or blue dots and red squares, respectively)."/>
            <wp:cNvGraphicFramePr/>
            <a:graphic xmlns:a="http://schemas.openxmlformats.org/drawingml/2006/main">
              <a:graphicData uri="http://schemas.openxmlformats.org/drawingml/2006/picture">
                <pic:pic xmlns:pic="http://schemas.openxmlformats.org/drawingml/2006/picture">
                  <pic:nvPicPr>
                    <pic:cNvPr id="0" name="Picture" descr="figures/designExp1.png"/>
                    <pic:cNvPicPr>
                      <a:picLocks noChangeAspect="1" noChangeArrowheads="1"/>
                    </pic:cNvPicPr>
                  </pic:nvPicPr>
                  <pic:blipFill>
                    <a:blip r:embed="rId10"/>
                    <a:stretch>
                      <a:fillRect/>
                    </a:stretch>
                  </pic:blipFill>
                  <pic:spPr bwMode="auto">
                    <a:xfrm>
                      <a:off x="0" y="0"/>
                      <a:ext cx="4618092" cy="5263529"/>
                    </a:xfrm>
                    <a:prstGeom prst="rect">
                      <a:avLst/>
                    </a:prstGeom>
                    <a:noFill/>
                    <a:ln w="9525">
                      <a:noFill/>
                      <a:headEnd/>
                      <a:tailEnd/>
                    </a:ln>
                  </pic:spPr>
                </pic:pic>
              </a:graphicData>
            </a:graphic>
          </wp:inline>
        </w:drawing>
      </w:r>
    </w:p>
    <w:p w:rsidR="0006533A" w:rsidRDefault="002B6CE9" w:rsidP="0006533A">
      <w:pPr>
        <w:pStyle w:val="ImageCaption"/>
        <w:spacing w:line="240" w:lineRule="auto"/>
        <w:rPr>
          <w:rFonts w:asciiTheme="majorHAnsi" w:hAnsiTheme="majorHAnsi" w:cstheme="majorHAnsi"/>
          <w:sz w:val="22"/>
          <w:szCs w:val="22"/>
        </w:rPr>
      </w:pPr>
      <w:r w:rsidRPr="0006533A">
        <w:rPr>
          <w:rFonts w:asciiTheme="majorHAnsi" w:hAnsiTheme="majorHAnsi" w:cstheme="majorHAnsi"/>
          <w:i/>
          <w:sz w:val="22"/>
          <w:szCs w:val="22"/>
        </w:rPr>
        <w:t>Figure</w:t>
      </w:r>
      <w:r w:rsidRPr="0006533A">
        <w:rPr>
          <w:rFonts w:asciiTheme="majorHAnsi" w:hAnsiTheme="majorHAnsi" w:cstheme="majorHAnsi"/>
          <w:sz w:val="22"/>
          <w:szCs w:val="22"/>
        </w:rPr>
        <w:t xml:space="preserve"> </w:t>
      </w:r>
      <w:r w:rsidRPr="0006533A">
        <w:rPr>
          <w:rFonts w:asciiTheme="majorHAnsi" w:hAnsiTheme="majorHAnsi" w:cstheme="majorHAnsi"/>
          <w:i/>
          <w:sz w:val="22"/>
          <w:szCs w:val="22"/>
        </w:rPr>
        <w:t>1:</w:t>
      </w:r>
      <w:r w:rsidRPr="0006533A">
        <w:rPr>
          <w:rFonts w:asciiTheme="majorHAnsi" w:hAnsiTheme="majorHAnsi" w:cstheme="majorHAnsi"/>
          <w:sz w:val="22"/>
          <w:szCs w:val="22"/>
        </w:rPr>
        <w:t xml:space="preserve">  Experimental design. Top panel: each visual search trial started with a screen indicating the target stimulus. The search display rem</w:t>
      </w:r>
      <w:r w:rsidRPr="0006533A">
        <w:rPr>
          <w:rFonts w:asciiTheme="majorHAnsi" w:hAnsiTheme="majorHAnsi" w:cstheme="majorHAnsi"/>
          <w:sz w:val="22"/>
          <w:szCs w:val="22"/>
        </w:rPr>
        <w:t>ained visible until a response is recorded. To motivate accurate responses, the feedback screen remained visible for one second following correct responses and for four seconds following errors. Middle panel: after reading the instructions, participants pr</w:t>
      </w:r>
      <w:r w:rsidRPr="0006533A">
        <w:rPr>
          <w:rFonts w:asciiTheme="majorHAnsi" w:hAnsiTheme="majorHAnsi" w:cstheme="majorHAnsi"/>
          <w:sz w:val="22"/>
          <w:szCs w:val="22"/>
        </w:rPr>
        <w:t xml:space="preserve">acticed the visual search task in blocks of 6 trials, until they had reached an accuracy level of 0.83 correct or higher (at most one error per block of 6 trials). Bottom panel: the main part of the experiment comprised 12 trials only, in which the target </w:t>
      </w:r>
      <w:r w:rsidRPr="0006533A">
        <w:rPr>
          <w:rFonts w:asciiTheme="majorHAnsi" w:hAnsiTheme="majorHAnsi" w:cstheme="majorHAnsi"/>
          <w:sz w:val="22"/>
          <w:szCs w:val="22"/>
        </w:rPr>
        <w:t>was a red dot. Unbeknown the subjects, only trials 5-8 (Block 2) were target-present trials, and the remaining trials were target-absent trials. Each 4-trial block followed a 2 by 2 design, with factors being set size (4 or 8) and distractor type (color or</w:t>
      </w:r>
      <w:r w:rsidRPr="0006533A">
        <w:rPr>
          <w:rFonts w:asciiTheme="majorHAnsi" w:hAnsiTheme="majorHAnsi" w:cstheme="majorHAnsi"/>
          <w:sz w:val="22"/>
          <w:szCs w:val="22"/>
        </w:rPr>
        <w:t xml:space="preserve"> conjunction; blue dots only or blue dots and red squares, respectively).</w:t>
      </w:r>
    </w:p>
    <w:p w:rsidR="0006533A" w:rsidRDefault="0006533A" w:rsidP="0006533A">
      <w:pPr>
        <w:pStyle w:val="BodyText"/>
      </w:pPr>
      <w:r>
        <w:br w:type="page"/>
      </w:r>
    </w:p>
    <w:p w:rsidR="00AE4836" w:rsidRPr="0006533A" w:rsidRDefault="00AE4836" w:rsidP="0006533A">
      <w:pPr>
        <w:pStyle w:val="ImageCaption"/>
        <w:spacing w:line="240" w:lineRule="auto"/>
        <w:rPr>
          <w:rFonts w:asciiTheme="majorHAnsi" w:hAnsiTheme="majorHAnsi" w:cstheme="majorHAnsi"/>
          <w:sz w:val="22"/>
          <w:szCs w:val="22"/>
        </w:rPr>
      </w:pPr>
    </w:p>
    <w:p w:rsidR="00AE4836" w:rsidRDefault="002B6CE9">
      <w:pPr>
        <w:pStyle w:val="Heading3"/>
        <w:framePr w:wrap="around"/>
      </w:pPr>
      <w:bookmarkStart w:id="4" w:name="randomization"/>
      <w:r>
        <w:t>2.2.1</w:t>
      </w:r>
      <w:r>
        <w:tab/>
        <w:t>Randomization.</w:t>
      </w:r>
      <w:bookmarkEnd w:id="4"/>
    </w:p>
    <w:p w:rsidR="00AE4836" w:rsidRDefault="002B6CE9">
      <w:pPr>
        <w:pStyle w:val="FirstParagraph"/>
      </w:pPr>
      <w:r>
        <w:t>The order and timing of experimental events was determi</w:t>
      </w:r>
      <w:r>
        <w:t>ned pseudo-randomly by the Mersenne Twister pseudorandom number generator, initialized in a way that ensures registration time-locking (Mazor, Mazor, &amp; Mukamel, 2019).</w:t>
      </w:r>
    </w:p>
    <w:p w:rsidR="00AE4836" w:rsidRDefault="002B6CE9">
      <w:pPr>
        <w:pStyle w:val="Heading2"/>
      </w:pPr>
      <w:bookmarkStart w:id="5" w:name="data-analysis"/>
      <w:r>
        <w:t>2.3</w:t>
      </w:r>
      <w:r>
        <w:tab/>
        <w:t>Data analysis</w:t>
      </w:r>
      <w:bookmarkEnd w:id="5"/>
    </w:p>
    <w:p w:rsidR="00AE4836" w:rsidRDefault="002B6CE9">
      <w:pPr>
        <w:pStyle w:val="Heading3"/>
        <w:framePr w:wrap="around"/>
      </w:pPr>
      <w:bookmarkStart w:id="6" w:name="rejection-criteria"/>
      <w:r>
        <w:t>2.3.1</w:t>
      </w:r>
      <w:r>
        <w:tab/>
        <w:t>Rejection criteria.</w:t>
      </w:r>
      <w:bookmarkEnd w:id="6"/>
    </w:p>
    <w:p w:rsidR="00AE4836" w:rsidRDefault="002B6CE9">
      <w:pPr>
        <w:pStyle w:val="FirstParagraph"/>
      </w:pPr>
      <w:r>
        <w:t>Participants were excluded for making more t</w:t>
      </w:r>
      <w:r>
        <w:t>han one error in the main part of the experiment, or for having extremely fast or slow reaction times in one or more of the tasks (below 250 milliseconds or above 5 seconds in more than 25% of the trials).</w:t>
      </w:r>
    </w:p>
    <w:p w:rsidR="00AE4836" w:rsidRDefault="002B6CE9">
      <w:pPr>
        <w:pStyle w:val="BodyText"/>
      </w:pPr>
      <w:r>
        <w:t>Error trials, and trials with response times below</w:t>
      </w:r>
      <w:r>
        <w:t xml:space="preserve"> 250 milliseconds or above 1 second were excluded from the response-time analysis.</w:t>
      </w:r>
    </w:p>
    <w:p w:rsidR="00AE4836" w:rsidRDefault="002B6CE9">
      <w:pPr>
        <w:pStyle w:val="Heading3"/>
        <w:framePr w:wrap="around"/>
      </w:pPr>
      <w:bookmarkStart w:id="7" w:name="data-preprocessing"/>
      <w:r>
        <w:t>2.3.2</w:t>
      </w:r>
      <w:r>
        <w:tab/>
        <w:t>Data preprocessing.</w:t>
      </w:r>
      <w:bookmarkEnd w:id="7"/>
    </w:p>
    <w:p w:rsidR="00AE4836" w:rsidRDefault="002B6CE9">
      <w:pPr>
        <w:pStyle w:val="FirstParagraph"/>
      </w:pPr>
      <w:r>
        <w:t>To control for within-block trial order effects, a separate linear regression model was fitted to the data of each block, predicting search time as</w:t>
      </w:r>
      <w:r>
        <w:t xml:space="preserve"> a function of trial serial order (</w:t>
      </w:r>
      <m:oMath>
        <m:r>
          <w:rPr>
            <w:rFonts w:ascii="Cambria Math" w:hAnsi="Cambria Math"/>
          </w:rPr>
          <m:t>RT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i</m:t>
        </m:r>
      </m:oMath>
      <w:r>
        <w:t xml:space="preserve">, with </w:t>
      </w:r>
      <m:oMath>
        <m:r>
          <w:rPr>
            <w:rFonts w:ascii="Cambria Math" w:hAnsi="Cambria Math"/>
          </w:rPr>
          <m:t>i</m:t>
        </m:r>
      </m:oMath>
      <w:r>
        <w:t xml:space="preserve"> denoting the mean-centered serial position within a block). Search times were corrected by subtracting the product of the slope and the mean-centered serial position, in a block-wise manner.</w:t>
      </w:r>
    </w:p>
    <w:p w:rsidR="00AE4836" w:rsidRDefault="002B6CE9">
      <w:pPr>
        <w:pStyle w:val="BodyText"/>
      </w:pPr>
      <w:r>
        <w:t>Subjec</w:t>
      </w:r>
      <w:r>
        <w:t>t-wise search slopes were then extracted for each combination of search type (color or conjunction) and block number by fitting a linear regression model to the reaction time data with one intercept and one set-size term.</w:t>
      </w:r>
    </w:p>
    <w:p w:rsidR="00AE4836" w:rsidRDefault="002B6CE9">
      <w:pPr>
        <w:pStyle w:val="Heading3"/>
        <w:framePr w:wrap="around"/>
      </w:pPr>
      <w:bookmarkStart w:id="8" w:name="hypotheses-and-analysis-plan"/>
      <w:r>
        <w:t>2.3.3</w:t>
      </w:r>
      <w:r>
        <w:tab/>
        <w:t>Hypotheses and analysis plan</w:t>
      </w:r>
      <w:r>
        <w:t>.</w:t>
      </w:r>
      <w:bookmarkEnd w:id="8"/>
    </w:p>
    <w:p w:rsidR="00AE4836" w:rsidRDefault="002B6CE9">
      <w:pPr>
        <w:pStyle w:val="FirstParagraph"/>
      </w:pPr>
      <w:r>
        <w:t xml:space="preserve">Experiment 1 was designed to test several hypotheses about the contribution of metacognitive knowledge to search termination, the state of this knowledge prior to engaging with the task, and the effect of experience trials on this </w:t>
      </w:r>
      <w:r>
        <w:lastRenderedPageBreak/>
        <w:t>metacognitive knowledge</w:t>
      </w:r>
      <w:r>
        <w:t xml:space="preserve">. The specifics of our pre-registered analysis can be accessed in the following link: </w:t>
      </w:r>
      <w:hyperlink r:id="rId11">
        <w:r>
          <w:rPr>
            <w:rStyle w:val="Hyperlink"/>
          </w:rPr>
          <w:t>https://osf.io/ea385</w:t>
        </w:r>
      </w:hyperlink>
      <w:r>
        <w:t>. We outline some possible search time patterns and their pre-registered interpretation in Fig. 2.</w:t>
      </w:r>
    </w:p>
    <w:p w:rsidR="00AE4836" w:rsidRDefault="002B6CE9">
      <w:pPr>
        <w:pStyle w:val="CaptionedFigure"/>
      </w:pPr>
      <w:r>
        <w:rPr>
          <w:noProof/>
          <w:lang w:bidi="he-IL"/>
        </w:rPr>
        <w:drawing>
          <wp:inline distT="0" distB="0" distL="0" distR="0">
            <wp:extent cx="5969000" cy="3917341"/>
            <wp:effectExtent l="0" t="0" r="0" b="0"/>
            <wp:docPr id="2" name="Picture" descr="Figure 2:.  Visualization of Hypotheses. Top left: typical search time results in visual search experiments with many trials (where TP = Target Present responses; TA = Target Absent responses). Set size (x axis) affects search time in conjunction search, but much less so in color search. However, it is unclear whether this pattern of target-absent search also holds in the first trials in an experiment. Different models make different predictions about target-absent serach times in the first block of the experiment. Top right: one possible pattern is that the same qualitative pattern will be observed in our design, with an overall decrease in response time as a function of trial number. This would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ould suggest that for inference about absence to be efficient, participants had to first experience some target-present trials. Bottom right: alternatively, some degree of metacognitive knowledge may be available prior to engaging with the task, with some being acquired by subsequent exposure to target-present trials. This would manifest as different slopes for conjunction and color searches in blocks 1 and a learning effect for color search between blocks 1 and 3."/>
            <wp:cNvGraphicFramePr/>
            <a:graphic xmlns:a="http://schemas.openxmlformats.org/drawingml/2006/main">
              <a:graphicData uri="http://schemas.openxmlformats.org/drawingml/2006/picture">
                <pic:pic xmlns:pic="http://schemas.openxmlformats.org/drawingml/2006/picture">
                  <pic:nvPicPr>
                    <pic:cNvPr id="0" name="Picture" descr="figures/models.png"/>
                    <pic:cNvPicPr>
                      <a:picLocks noChangeAspect="1" noChangeArrowheads="1"/>
                    </pic:cNvPicPr>
                  </pic:nvPicPr>
                  <pic:blipFill>
                    <a:blip r:embed="rId12"/>
                    <a:stretch>
                      <a:fillRect/>
                    </a:stretch>
                  </pic:blipFill>
                  <pic:spPr bwMode="auto">
                    <a:xfrm>
                      <a:off x="0" y="0"/>
                      <a:ext cx="5969000" cy="3917341"/>
                    </a:xfrm>
                    <a:prstGeom prst="rect">
                      <a:avLst/>
                    </a:prstGeom>
                    <a:noFill/>
                    <a:ln w="9525">
                      <a:noFill/>
                      <a:headEnd/>
                      <a:tailEnd/>
                    </a:ln>
                  </pic:spPr>
                </pic:pic>
              </a:graphicData>
            </a:graphic>
          </wp:inline>
        </w:drawing>
      </w:r>
    </w:p>
    <w:p w:rsidR="00AE4836" w:rsidRPr="0006533A" w:rsidRDefault="002B6CE9" w:rsidP="0006533A">
      <w:pPr>
        <w:pStyle w:val="ImageCaption"/>
        <w:spacing w:line="240" w:lineRule="auto"/>
        <w:rPr>
          <w:rFonts w:asciiTheme="majorHAnsi" w:hAnsiTheme="majorHAnsi" w:cstheme="majorHAnsi"/>
          <w:iCs/>
          <w:sz w:val="22"/>
          <w:szCs w:val="22"/>
        </w:rPr>
      </w:pPr>
      <w:r w:rsidRPr="0006533A">
        <w:rPr>
          <w:rFonts w:asciiTheme="majorHAnsi" w:hAnsiTheme="majorHAnsi" w:cstheme="majorHAnsi"/>
          <w:i/>
          <w:sz w:val="22"/>
          <w:szCs w:val="22"/>
        </w:rPr>
        <w:t>Figure</w:t>
      </w:r>
      <w:r w:rsidRPr="0006533A">
        <w:rPr>
          <w:rFonts w:asciiTheme="majorHAnsi" w:hAnsiTheme="majorHAnsi" w:cstheme="majorHAnsi"/>
          <w:i/>
          <w:sz w:val="22"/>
          <w:szCs w:val="22"/>
        </w:rPr>
        <w:t xml:space="preserve"> </w:t>
      </w:r>
      <w:r w:rsidRPr="0006533A">
        <w:rPr>
          <w:rFonts w:asciiTheme="majorHAnsi" w:hAnsiTheme="majorHAnsi" w:cstheme="majorHAnsi"/>
          <w:i/>
          <w:sz w:val="22"/>
          <w:szCs w:val="22"/>
        </w:rPr>
        <w:t>2:</w:t>
      </w:r>
      <w:r w:rsidRPr="0006533A">
        <w:rPr>
          <w:rFonts w:asciiTheme="majorHAnsi" w:hAnsiTheme="majorHAnsi" w:cstheme="majorHAnsi"/>
          <w:i/>
          <w:sz w:val="22"/>
          <w:szCs w:val="22"/>
        </w:rPr>
        <w:t xml:space="preserve"> </w:t>
      </w:r>
      <w:r w:rsidRPr="0006533A">
        <w:rPr>
          <w:rFonts w:asciiTheme="majorHAnsi" w:hAnsiTheme="majorHAnsi" w:cstheme="majorHAnsi"/>
          <w:iCs/>
          <w:sz w:val="22"/>
          <w:szCs w:val="22"/>
        </w:rPr>
        <w:t>Visualization of Hypotheses. Top left: typical search time results in visual search experiments with many trials (where TP = Target Present responses; TA = Target Absent responses). Set size (x axis) affects search time in conjunction search, but much l</w:t>
      </w:r>
      <w:r w:rsidRPr="0006533A">
        <w:rPr>
          <w:rFonts w:asciiTheme="majorHAnsi" w:hAnsiTheme="majorHAnsi" w:cstheme="majorHAnsi"/>
          <w:iCs/>
          <w:sz w:val="22"/>
          <w:szCs w:val="22"/>
        </w:rPr>
        <w:t xml:space="preserve">ess so in color search. However, it is unclear whether this pattern of target-absent search also holds in the first trials in an experiment. Different models make different predictions about target-absent serach times in the first block of the experiment. </w:t>
      </w:r>
      <w:r w:rsidRPr="0006533A">
        <w:rPr>
          <w:rFonts w:asciiTheme="majorHAnsi" w:hAnsiTheme="majorHAnsi" w:cstheme="majorHAnsi"/>
          <w:iCs/>
          <w:sz w:val="22"/>
          <w:szCs w:val="22"/>
        </w:rPr>
        <w:t>Top right: one possible pattern is that the same qualitative pattern will be observed in our design, with an overall decrease in response time as a function of trial number. This would suggest that the metacognitive knowledge necessary to support efficient</w:t>
      </w:r>
      <w:r w:rsidRPr="0006533A">
        <w:rPr>
          <w:rFonts w:asciiTheme="majorHAnsi" w:hAnsiTheme="majorHAnsi" w:cstheme="majorHAnsi"/>
          <w:iCs/>
          <w:sz w:val="22"/>
          <w:szCs w:val="22"/>
        </w:rPr>
        <w:t xml:space="preserve"> inference about absence was already in place before engaging with the task. Bottom left: an alternative pattern is that the same qualitative pattern will be observed for blocks 2 and 3, but not in block 1. This would suggest that for inference about absen</w:t>
      </w:r>
      <w:r w:rsidRPr="0006533A">
        <w:rPr>
          <w:rFonts w:asciiTheme="majorHAnsi" w:hAnsiTheme="majorHAnsi" w:cstheme="majorHAnsi"/>
          <w:iCs/>
          <w:sz w:val="22"/>
          <w:szCs w:val="22"/>
        </w:rPr>
        <w:t>ce to be efficient, participants had to first experience some target-present trials. Bottom right: alternatively, some degree of metacognitive knowledge may be available prior to engaging with the task, with some being acquired by subsequent exposure to ta</w:t>
      </w:r>
      <w:r w:rsidRPr="0006533A">
        <w:rPr>
          <w:rFonts w:asciiTheme="majorHAnsi" w:hAnsiTheme="majorHAnsi" w:cstheme="majorHAnsi"/>
          <w:iCs/>
          <w:sz w:val="22"/>
          <w:szCs w:val="22"/>
        </w:rPr>
        <w:t>rget-present trials. This would manifest as different slopes for conjunction and color searches in blocks 1 and a learning effect for color search between blocks 1 and 3.</w:t>
      </w:r>
    </w:p>
    <w:p w:rsidR="00AE4836" w:rsidRDefault="002B6CE9">
      <w:pPr>
        <w:pStyle w:val="BodyText"/>
      </w:pPr>
      <w:r>
        <w:lastRenderedPageBreak/>
        <w:t>Analysis comprised a positive control based on target-present trials, a test of the p</w:t>
      </w:r>
      <w:r>
        <w:t>resence of a pop-out effect for target-absent color search in block 1, and a test for the change in slope for target-absent color search between blocks 1 and 3. All hypotheses were tested using a within-subject t-test, with a significance level of 0.05. Gi</w:t>
      </w:r>
      <w:r>
        <w:t xml:space="preserve">ven the fact that we only have one trial per cell, one excluded trial is sufficient to make some hypotheses impossible to test on a given participant. For this reason, for each hypothesis separately, participants were included only if all necessary trials </w:t>
      </w:r>
      <w:r>
        <w:t>met our inclusion criteria. This meant that some hypotheses were tested on different subsets of participants.</w:t>
      </w:r>
    </w:p>
    <w:p w:rsidR="00AE4836" w:rsidRDefault="002B6CE9">
      <w:pPr>
        <w:pStyle w:val="BodyText"/>
      </w:pPr>
      <w:r>
        <w:t xml:space="preserve">We used R (Version 3.6.0; R Core Team, 2019) and the R-packages </w:t>
      </w:r>
      <w:r>
        <w:rPr>
          <w:i/>
        </w:rPr>
        <w:t>BayesFactor</w:t>
      </w:r>
      <w:r>
        <w:t xml:space="preserve"> (Version 0.9.12.4.2; Morey &amp; Rouder, 2018), </w:t>
      </w:r>
      <w:r>
        <w:rPr>
          <w:i/>
        </w:rPr>
        <w:t>cowplot</w:t>
      </w:r>
      <w:r>
        <w:t xml:space="preserve"> (Version 1.0.0; Wi</w:t>
      </w:r>
      <w:r>
        <w:t xml:space="preserve">lke, 2019), </w:t>
      </w:r>
      <w:r>
        <w:rPr>
          <w:i/>
        </w:rPr>
        <w:t>dplyr</w:t>
      </w:r>
      <w:r>
        <w:t xml:space="preserve"> (Version 1.0.4; Wickham et al., 2020), </w:t>
      </w:r>
      <w:r>
        <w:rPr>
          <w:i/>
        </w:rPr>
        <w:t>ggplot2</w:t>
      </w:r>
      <w:r>
        <w:t xml:space="preserve"> (Version 3.3.1; Wickham, 2016), </w:t>
      </w:r>
      <w:r>
        <w:rPr>
          <w:i/>
        </w:rPr>
        <w:t>jsonlite</w:t>
      </w:r>
      <w:r>
        <w:t xml:space="preserve"> (Version 1.7.1; Ooms, 2014), </w:t>
      </w:r>
      <w:r>
        <w:rPr>
          <w:i/>
        </w:rPr>
        <w:t>lsr</w:t>
      </w:r>
      <w:r>
        <w:t xml:space="preserve"> (Version 0.5; Navarro, 2015), </w:t>
      </w:r>
      <w:r>
        <w:rPr>
          <w:i/>
        </w:rPr>
        <w:t>MESS</w:t>
      </w:r>
      <w:r>
        <w:t xml:space="preserve"> (Version 0.5.6; Ekstrøm, 2019), </w:t>
      </w:r>
      <w:r>
        <w:rPr>
          <w:i/>
        </w:rPr>
        <w:t>papaja</w:t>
      </w:r>
      <w:r>
        <w:t xml:space="preserve"> (Version 0.1.0.9942; Aust &amp; Barth, 2020, 20</w:t>
      </w:r>
      <w:r>
        <w:t xml:space="preserve">20, 2020), </w:t>
      </w:r>
      <w:r>
        <w:rPr>
          <w:i/>
        </w:rPr>
        <w:t>pwr</w:t>
      </w:r>
      <w:r>
        <w:t xml:space="preserve"> (Version 1.3.0; Champely, 2020), and </w:t>
      </w:r>
      <w:r>
        <w:rPr>
          <w:i/>
        </w:rPr>
        <w:t>tidyr</w:t>
      </w:r>
      <w:r>
        <w:t xml:space="preserve"> (Version 1.1.0; Wickham &amp; Henry, 2020) for all our analyses.</w:t>
      </w:r>
    </w:p>
    <w:p w:rsidR="00AE4836" w:rsidRDefault="002B6CE9">
      <w:pPr>
        <w:pStyle w:val="Heading2"/>
      </w:pPr>
      <w:bookmarkStart w:id="9" w:name="results"/>
      <w:r>
        <w:t>2.4</w:t>
      </w:r>
      <w:r>
        <w:tab/>
        <w:t>Results</w:t>
      </w:r>
      <w:bookmarkEnd w:id="9"/>
    </w:p>
    <w:p w:rsidR="00AE4836" w:rsidRDefault="002B6CE9">
      <w:pPr>
        <w:pStyle w:val="FirstParagraph"/>
      </w:pPr>
      <w:r>
        <w:t>Overall mean accuracy was 0.95 (standard deviation =0.06). Median reaction time was 623.98 ms (median absolute deviation = 12</w:t>
      </w:r>
      <w:r>
        <w:t>7.37). In all further analyses, only correct trials with response times between 250 and 1000 ms are included.</w:t>
      </w:r>
    </w:p>
    <w:p w:rsidR="00AE4836" w:rsidRDefault="002B6CE9">
      <w:pPr>
        <w:pStyle w:val="BodyText"/>
      </w:pPr>
      <w:r>
        <w:rPr>
          <w:i/>
        </w:rPr>
        <w:t>Hypothesis 1 (positive control)</w:t>
      </w:r>
      <w:r>
        <w:t>: Search times in block 2 (target-present) followed the expected pattern, with a steep slope for conjunction search</w:t>
      </w:r>
      <w:r>
        <w:t xml:space="preserve"> (</w:t>
      </w:r>
      <m:oMath>
        <m:r>
          <w:rPr>
            <w:rFonts w:ascii="Cambria Math" w:hAnsi="Cambria Math"/>
          </w:rPr>
          <m:t>M</m:t>
        </m:r>
        <m:r>
          <w:rPr>
            <w:rFonts w:ascii="Cambria Math" w:hAnsi="Cambria Math"/>
          </w:rPr>
          <m:t>=12.52</m:t>
        </m:r>
      </m:oMath>
      <w:r>
        <w:t xml:space="preserve">, 95% CI </w:t>
      </w:r>
      <m:oMath>
        <m:r>
          <w:rPr>
            <w:rFonts w:ascii="Cambria Math" w:hAnsi="Cambria Math"/>
          </w:rPr>
          <m:t>[10.08</m:t>
        </m:r>
      </m:oMath>
      <w:r>
        <w:t xml:space="preserve">, </w:t>
      </w:r>
      <m:oMath>
        <m:r>
          <w:rPr>
            <w:rFonts w:ascii="Cambria Math" w:hAnsi="Cambria Math"/>
          </w:rPr>
          <m:t>14.95]</m:t>
        </m:r>
      </m:oMath>
      <w:r>
        <w:t>) and a shallow slope for conjunction search (</w:t>
      </w:r>
      <m:oMath>
        <m:r>
          <w:rPr>
            <w:rFonts w:ascii="Cambria Math" w:hAnsi="Cambria Math"/>
          </w:rPr>
          <m:t>M</m:t>
        </m:r>
        <m:r>
          <w:rPr>
            <w:rFonts w:ascii="Cambria Math" w:hAnsi="Cambria Math"/>
          </w:rPr>
          <m:t>=3.91</m:t>
        </m:r>
      </m:oMath>
      <w:r>
        <w:t xml:space="preserve">, 95% CI </w:t>
      </w:r>
      <m:oMath>
        <m:r>
          <w:rPr>
            <w:rFonts w:ascii="Cambria Math" w:hAnsi="Cambria Math"/>
          </w:rPr>
          <m:t>[2.13</m:t>
        </m:r>
      </m:oMath>
      <w:r>
        <w:t xml:space="preserve">, </w:t>
      </w:r>
      <m:oMath>
        <m:r>
          <w:rPr>
            <w:rFonts w:ascii="Cambria Math" w:hAnsi="Cambria Math"/>
          </w:rPr>
          <m:t>5.70]</m:t>
        </m:r>
      </m:oMath>
      <w:r>
        <w:t xml:space="preserve">; see middle panel in Fig. 3). The slope for color search was significantly lower than 10 ms/item and thus met our </w:t>
      </w:r>
      <w:r>
        <w:lastRenderedPageBreak/>
        <w:t>criterion for being considered ‘</w:t>
      </w:r>
      <w:r>
        <w:t>pop-out’ (</w:t>
      </w:r>
      <m:oMath>
        <m:r>
          <w:rPr>
            <w:rFonts w:ascii="Cambria Math" w:hAnsi="Cambria Math"/>
          </w:rPr>
          <m:t>t</m:t>
        </m:r>
        <m:r>
          <w:rPr>
            <w:rFonts w:ascii="Cambria Math" w:hAnsi="Cambria Math"/>
          </w:rPr>
          <m:t>(961)=-6.69</m:t>
        </m:r>
      </m:oMath>
      <w:r>
        <w:t xml:space="preserve">, </w:t>
      </w:r>
      <m:oMath>
        <m:r>
          <w:rPr>
            <w:rFonts w:ascii="Cambria Math" w:hAnsi="Cambria Math"/>
          </w:rPr>
          <m:t>p</m:t>
        </m:r>
        <m:r>
          <w:rPr>
            <w:rFonts w:ascii="Cambria Math" w:hAnsi="Cambria Math"/>
          </w:rPr>
          <m:t>&lt;.001</m:t>
        </m:r>
      </m:oMath>
      <w:r>
        <w:t>). Furthermore, the difference between the slopes was significant (</w:t>
      </w:r>
      <m:oMath>
        <m:r>
          <w:rPr>
            <w:rFonts w:ascii="Cambria Math" w:hAnsi="Cambria Math"/>
          </w:rPr>
          <m:t>t</m:t>
        </m:r>
        <m:r>
          <w:rPr>
            <w:rFonts w:ascii="Cambria Math" w:hAnsi="Cambria Math"/>
          </w:rPr>
          <m:t>(749)=6.50</m:t>
        </m:r>
      </m:oMath>
      <w:r>
        <w:t xml:space="preserve">, </w:t>
      </w:r>
      <m:oMath>
        <m:r>
          <w:rPr>
            <w:rFonts w:ascii="Cambria Math" w:hAnsi="Cambria Math"/>
          </w:rPr>
          <m:t>p</m:t>
        </m:r>
        <m:r>
          <w:rPr>
            <w:rFonts w:ascii="Cambria Math" w:hAnsi="Cambria Math"/>
          </w:rPr>
          <m:t>&lt;.001</m:t>
        </m:r>
      </m:oMath>
      <w:r>
        <w:t xml:space="preserve">). This positive control served to validate our method of using two trials per participant for obtaining reliable group-level estimates </w:t>
      </w:r>
      <w:r>
        <w:t>of search slopes.</w:t>
      </w:r>
    </w:p>
    <w:p w:rsidR="00AE4836" w:rsidRDefault="002B6CE9">
      <w:pPr>
        <w:pStyle w:val="BodyText"/>
      </w:pPr>
      <w:r>
        <w:rPr>
          <w:i/>
        </w:rPr>
        <w:t>Hypothesis 2</w:t>
      </w:r>
      <w:r>
        <w:t>: Our central focus was on results from block 1 (target-absent). Here participants didn’t yet have experience with searching for the red dot. Similar to the second block, the slope for the conjunction search was steep (</w:t>
      </w:r>
      <m:oMath>
        <m:r>
          <w:rPr>
            <w:rFonts w:ascii="Cambria Math" w:hAnsi="Cambria Math"/>
          </w:rPr>
          <m:t>M</m:t>
        </m:r>
        <m:r>
          <w:rPr>
            <w:rFonts w:ascii="Cambria Math" w:hAnsi="Cambria Math"/>
          </w:rPr>
          <m:t>=18.4</m:t>
        </m:r>
        <m:r>
          <w:rPr>
            <w:rFonts w:ascii="Cambria Math" w:hAnsi="Cambria Math"/>
          </w:rPr>
          <m:t>1</m:t>
        </m:r>
      </m:oMath>
      <w:r>
        <w:t xml:space="preserve">, 95% CI </w:t>
      </w:r>
      <m:oMath>
        <m:r>
          <w:rPr>
            <w:rFonts w:ascii="Cambria Math" w:hAnsi="Cambria Math"/>
          </w:rPr>
          <m:t>[14.95</m:t>
        </m:r>
      </m:oMath>
      <w:r>
        <w:t xml:space="preserve">, </w:t>
      </w:r>
      <m:oMath>
        <m:r>
          <w:rPr>
            <w:rFonts w:ascii="Cambria Math" w:hAnsi="Cambria Math"/>
          </w:rPr>
          <m:t>21.87]</m:t>
        </m:r>
      </m:oMath>
      <w:r>
        <w:t>). A clear ‘pop-out’ effect for color search was also evident (</w:t>
      </w:r>
      <m:oMath>
        <m:r>
          <w:rPr>
            <w:rFonts w:ascii="Cambria Math" w:hAnsi="Cambria Math"/>
          </w:rPr>
          <m:t>M</m:t>
        </m:r>
        <m:r>
          <w:rPr>
            <w:rFonts w:ascii="Cambria Math" w:hAnsi="Cambria Math"/>
          </w:rPr>
          <m:t>=0.15</m:t>
        </m:r>
      </m:oMath>
      <w:r>
        <w:t xml:space="preserve">, 95% CI </w:t>
      </w:r>
      <m:oMath>
        <m:r>
          <w:rPr>
            <w:rFonts w:ascii="Cambria Math" w:hAnsi="Cambria Math"/>
          </w:rPr>
          <m:t>[-∞</m:t>
        </m:r>
      </m:oMath>
      <w:r>
        <w:t xml:space="preserve">, </w:t>
      </w:r>
      <m:oMath>
        <m:r>
          <w:rPr>
            <w:rFonts w:ascii="Cambria Math" w:hAnsi="Cambria Math"/>
          </w:rPr>
          <m:t>2.31]</m:t>
        </m:r>
      </m:oMath>
      <w:r>
        <w:t xml:space="preserve">, </w:t>
      </w:r>
      <m:oMath>
        <m:r>
          <w:rPr>
            <w:rFonts w:ascii="Cambria Math" w:hAnsi="Cambria Math"/>
          </w:rPr>
          <m:t>t</m:t>
        </m:r>
        <m:r>
          <w:rPr>
            <w:rFonts w:ascii="Cambria Math" w:hAnsi="Cambria Math"/>
          </w:rPr>
          <m:t>(886)=-7.51</m:t>
        </m:r>
      </m:oMath>
      <w:r>
        <w:t xml:space="preserve">, </w:t>
      </w:r>
      <m:oMath>
        <m:r>
          <w:rPr>
            <w:rFonts w:ascii="Cambria Math" w:hAnsi="Cambria Math"/>
          </w:rPr>
          <m:t>p</m:t>
        </m:r>
        <m:r>
          <w:rPr>
            <w:rFonts w:ascii="Cambria Math" w:hAnsi="Cambria Math"/>
          </w:rPr>
          <m:t>&lt;.001</m:t>
        </m:r>
      </m:oMath>
      <w:r>
        <w:t xml:space="preserve">). Furthermore, the average search slope for color search in this first block was significantly different from that of </w:t>
      </w:r>
      <w:r>
        <w:t>the conjunction search (</w:t>
      </w:r>
      <m:oMath>
        <m:r>
          <w:rPr>
            <w:rFonts w:ascii="Cambria Math" w:hAnsi="Cambria Math"/>
          </w:rPr>
          <m:t>t</m:t>
        </m:r>
        <m:r>
          <w:rPr>
            <w:rFonts w:ascii="Cambria Math" w:hAnsi="Cambria Math"/>
          </w:rPr>
          <m:t>(413)=6.55</m:t>
        </m:r>
      </m:oMath>
      <w:r>
        <w:t xml:space="preserve">, </w:t>
      </w:r>
      <m:oMath>
        <m:r>
          <w:rPr>
            <w:rFonts w:ascii="Cambria Math" w:hAnsi="Cambria Math"/>
          </w:rPr>
          <m:t>p</m:t>
        </m:r>
        <m:r>
          <w:rPr>
            <w:rFonts w:ascii="Cambria Math" w:hAnsi="Cambria Math"/>
          </w:rPr>
          <m:t>&lt;.001</m:t>
        </m:r>
      </m:oMath>
      <w:r>
        <w:t xml:space="preserve">; see leftmost panel in Fig. 3), indicating that a color-absence pop-out is already in place prior to direct task experience. This result is in line with the </w:t>
      </w:r>
      <w:r>
        <w:rPr>
          <w:i/>
        </w:rPr>
        <w:t>prior-knowledge only</w:t>
      </w:r>
      <w:r>
        <w:t xml:space="preserve"> model (see Fig. 2), in which par</w:t>
      </w:r>
      <w:r>
        <w:t>ticipants have valid expectations for efficient color search, prior to engaging with a task.</w:t>
      </w:r>
    </w:p>
    <w:p w:rsidR="00AE4836" w:rsidRDefault="002B6CE9">
      <w:pPr>
        <w:pStyle w:val="BodyText"/>
      </w:pPr>
      <w:r>
        <w:t>Pre-registered hypotheses 3-5 were designed to test for a learning effect between blocks 1 and 3, before and after experience with observing a red target among blu</w:t>
      </w:r>
      <w:r>
        <w:t>e distractors. Given the overwhelming pop-out effect for target-absent trials in block 1, not much room for additional learning remained. Indeed, results from these tests support a prior-knowledge only model.</w:t>
      </w:r>
    </w:p>
    <w:p w:rsidR="00AE4836" w:rsidRDefault="002B6CE9">
      <w:pPr>
        <w:pStyle w:val="BodyText"/>
      </w:pPr>
      <w:r>
        <w:rPr>
          <w:i/>
        </w:rPr>
        <w:t>Hypothesis 3</w:t>
      </w:r>
      <w:r>
        <w:t>: Like in the first block, in the t</w:t>
      </w:r>
      <w:r>
        <w:t>hird block color search complied with our criterion for ‘pop-out’ (</w:t>
      </w:r>
      <m:oMath>
        <m:r>
          <w:rPr>
            <w:rFonts w:ascii="Cambria Math" w:hAnsi="Cambria Math"/>
          </w:rPr>
          <m:t>M</m:t>
        </m:r>
        <m:r>
          <w:rPr>
            <w:rFonts w:ascii="Cambria Math" w:hAnsi="Cambria Math"/>
          </w:rPr>
          <m:t>=2.27</m:t>
        </m:r>
      </m:oMath>
      <w:r>
        <w:t xml:space="preserve">, 95% CI </w:t>
      </w:r>
      <m:oMath>
        <m:r>
          <w:rPr>
            <w:rFonts w:ascii="Cambria Math" w:hAnsi="Cambria Math"/>
          </w:rPr>
          <m:t>[-∞</m:t>
        </m:r>
      </m:oMath>
      <w:r>
        <w:t xml:space="preserve">, </w:t>
      </w:r>
      <m:oMath>
        <m:r>
          <w:rPr>
            <w:rFonts w:ascii="Cambria Math" w:hAnsi="Cambria Math"/>
          </w:rPr>
          <m:t>3.86]</m:t>
        </m:r>
      </m:oMath>
      <w:r>
        <w:t xml:space="preserve">, </w:t>
      </w:r>
      <m:oMath>
        <m:r>
          <w:rPr>
            <w:rFonts w:ascii="Cambria Math" w:hAnsi="Cambria Math"/>
          </w:rPr>
          <m:t>t</m:t>
        </m:r>
        <m:r>
          <w:rPr>
            <w:rFonts w:ascii="Cambria Math" w:hAnsi="Cambria Math"/>
          </w:rPr>
          <m:t>(979)=-7.98</m:t>
        </m:r>
      </m:oMath>
      <w:r>
        <w:t xml:space="preserve">, </w:t>
      </w:r>
      <m:oMath>
        <m:r>
          <w:rPr>
            <w:rFonts w:ascii="Cambria Math" w:hAnsi="Cambria Math"/>
          </w:rPr>
          <m:t>p</m:t>
        </m:r>
        <m:r>
          <w:rPr>
            <w:rFonts w:ascii="Cambria Math" w:hAnsi="Cambria Math"/>
          </w:rPr>
          <m:t>&lt;.001</m:t>
        </m:r>
      </m:oMath>
      <w:r>
        <w:t>), and was significantly different from the conjunction search slope (</w:t>
      </w:r>
      <m:oMath>
        <m:r>
          <w:rPr>
            <w:rFonts w:ascii="Cambria Math" w:hAnsi="Cambria Math"/>
          </w:rPr>
          <m:t>t</m:t>
        </m:r>
        <m:r>
          <w:rPr>
            <w:rFonts w:ascii="Cambria Math" w:hAnsi="Cambria Math"/>
          </w:rPr>
          <m:t>(745)=11.16</m:t>
        </m:r>
      </m:oMath>
      <w:r>
        <w:t xml:space="preserve">, </w:t>
      </w:r>
      <m:oMath>
        <m:r>
          <w:rPr>
            <w:rFonts w:ascii="Cambria Math" w:hAnsi="Cambria Math"/>
          </w:rPr>
          <m:t>p</m:t>
        </m:r>
        <m:r>
          <w:rPr>
            <w:rFonts w:ascii="Cambria Math" w:hAnsi="Cambria Math"/>
          </w:rPr>
          <m:t>&lt;.001</m:t>
        </m:r>
      </m:oMath>
      <w:r>
        <w:t>; see rightmost panel in Fig. 3). This result i</w:t>
      </w:r>
      <w:r>
        <w:t>s not surprising, given that a pop-out effect was already observed in block 1.</w:t>
      </w:r>
    </w:p>
    <w:p w:rsidR="00AE4836" w:rsidRDefault="002B6CE9">
      <w:pPr>
        <w:pStyle w:val="BodyText"/>
      </w:pPr>
      <w:r>
        <w:rPr>
          <w:i/>
        </w:rPr>
        <w:lastRenderedPageBreak/>
        <w:t>Hypothesis 4</w:t>
      </w:r>
      <w:r>
        <w:t>: To quantify the learning effect for color search, we directly contrasted the search slope for color search in blocks 1 and 3. We find no evidence for a learning ef</w:t>
      </w:r>
      <w:r>
        <w:t>fect (</w:t>
      </w:r>
      <m:oMath>
        <m:r>
          <w:rPr>
            <w:rFonts w:ascii="Cambria Math" w:hAnsi="Cambria Math"/>
          </w:rPr>
          <m:t>t</m:t>
        </m:r>
        <m:r>
          <w:rPr>
            <w:rFonts w:ascii="Cambria Math" w:hAnsi="Cambria Math"/>
          </w:rPr>
          <m:t>(799)=-1.15</m:t>
        </m:r>
      </m:oMath>
      <w:r>
        <w:t xml:space="preserve">, </w:t>
      </w:r>
      <m:oMath>
        <m:r>
          <w:rPr>
            <w:rFonts w:ascii="Cambria Math" w:hAnsi="Cambria Math"/>
          </w:rPr>
          <m:t>p</m:t>
        </m:r>
        <m:r>
          <w:rPr>
            <w:rFonts w:ascii="Cambria Math" w:hAnsi="Cambria Math"/>
          </w:rPr>
          <m:t>=.250</m:t>
        </m:r>
      </m:oMath>
      <w:r>
        <w:t>). Furthermore, a Bayesian t-test with a scaled Cauchy prior for effect sizes (r=0.707) provided strong evidence in favour of the absence of a learning effect (</w:t>
      </w:r>
      <m:oMath>
        <m:sSub>
          <m:sSubPr>
            <m:ctrlPr>
              <w:rPr>
                <w:rFonts w:ascii="Cambria Math" w:hAnsi="Cambria Math"/>
              </w:rPr>
            </m:ctrlPr>
          </m:sSubPr>
          <m:e>
            <m:r>
              <m:rPr>
                <m:sty m:val="p"/>
              </m:rPr>
              <w:rPr>
                <w:rFonts w:ascii="Cambria Math" w:hAnsi="Cambria Math"/>
              </w:rPr>
              <m:t>BF</m:t>
            </m:r>
          </m:e>
          <m:sub>
            <m:r>
              <m:rPr>
                <m:nor/>
              </m:rPr>
              <m:t>01</m:t>
            </m:r>
          </m:sub>
        </m:sSub>
        <m:r>
          <w:rPr>
            <w:rFonts w:ascii="Cambria Math" w:hAnsi="Cambria Math"/>
          </w:rPr>
          <m:t>=12.98</m:t>
        </m:r>
      </m:oMath>
      <w:r>
        <w:t>).</w:t>
      </w:r>
    </w:p>
    <w:p w:rsidR="00AC4224" w:rsidRDefault="002B6CE9">
      <w:pPr>
        <w:pStyle w:val="BodyText"/>
      </w:pPr>
      <w:r>
        <w:rPr>
          <w:i/>
        </w:rPr>
        <w:t>Hypothesis 5</w:t>
      </w:r>
      <w:r>
        <w:t xml:space="preserve">: In case of a learning effect for pop-out </w:t>
      </w:r>
      <w:r>
        <w:t>search, Hypothesis 5 was designed to test the specificity of this effect to color pop-out by computing an interaction between block number and search type. Given that no learning effect was observed, this test makes little sense. For completeness, we repor</w:t>
      </w:r>
      <w:r>
        <w:t>t that the change in slope between blocks 1 and 3 was similar for color and conjunction search (</w:t>
      </w:r>
      <m:oMath>
        <m:r>
          <w:rPr>
            <w:rFonts w:ascii="Cambria Math" w:hAnsi="Cambria Math"/>
          </w:rPr>
          <m:t>M</m:t>
        </m:r>
        <m:r>
          <w:rPr>
            <w:rFonts w:ascii="Cambria Math" w:hAnsi="Cambria Math"/>
          </w:rPr>
          <m:t>=-3.58</m:t>
        </m:r>
      </m:oMath>
      <w:r>
        <w:t xml:space="preserve">, 95% CI </w:t>
      </w:r>
      <m:oMath>
        <m:r>
          <w:rPr>
            <w:rFonts w:ascii="Cambria Math" w:hAnsi="Cambria Math"/>
          </w:rPr>
          <m:t>[-10.52</m:t>
        </m:r>
      </m:oMath>
      <w:r>
        <w:t xml:space="preserve">, </w:t>
      </w:r>
      <m:oMath>
        <m:r>
          <w:rPr>
            <w:rFonts w:ascii="Cambria Math" w:hAnsi="Cambria Math"/>
          </w:rPr>
          <m:t>3.36]</m:t>
        </m:r>
      </m:oMath>
      <w:r>
        <w:t xml:space="preserve">, </w:t>
      </w:r>
      <m:oMath>
        <m:r>
          <w:rPr>
            <w:rFonts w:ascii="Cambria Math" w:hAnsi="Cambria Math"/>
          </w:rPr>
          <m:t>t</m:t>
        </m:r>
        <m:r>
          <w:rPr>
            <w:rFonts w:ascii="Cambria Math" w:hAnsi="Cambria Math"/>
          </w:rPr>
          <m:t>(320)=-1.01</m:t>
        </m:r>
      </m:oMath>
      <w:r>
        <w:t xml:space="preserve">, </w:t>
      </w:r>
      <m:oMath>
        <m:r>
          <w:rPr>
            <w:rFonts w:ascii="Cambria Math" w:hAnsi="Cambria Math"/>
          </w:rPr>
          <m:t>p</m:t>
        </m:r>
        <m:r>
          <w:rPr>
            <w:rFonts w:ascii="Cambria Math" w:hAnsi="Cambria Math"/>
          </w:rPr>
          <m:t>=.311</m:t>
        </m:r>
      </m:oMath>
      <w:r>
        <w:t>).</w:t>
      </w:r>
    </w:p>
    <w:p w:rsidR="00AE4836" w:rsidRDefault="00AC4224" w:rsidP="00AC4224">
      <w:pPr>
        <w:pStyle w:val="BodyText"/>
      </w:pPr>
      <w:r>
        <w:br w:type="page"/>
      </w:r>
    </w:p>
    <w:p w:rsidR="00AE4836" w:rsidRDefault="002B6CE9">
      <w:pPr>
        <w:pStyle w:val="CaptionedFigure"/>
      </w:pPr>
      <w:r>
        <w:rPr>
          <w:noProof/>
          <w:lang w:bidi="he-IL"/>
        </w:rPr>
        <w:lastRenderedPageBreak/>
        <w:drawing>
          <wp:inline distT="0" distB="0" distL="0" distR="0">
            <wp:extent cx="4587290" cy="3669832"/>
            <wp:effectExtent l="0" t="0" r="0" b="0"/>
            <wp:docPr id="3" name="Picture" descr="Figure 3:.  Upper panel: median search time by distractor set size for the two search tasks across the three blocks (12 trials per participant). Correct responses only. Lower panel: accuracy as a function of block, set size and search type. Error bars represent the standard error of the median."/>
            <wp:cNvGraphicFramePr/>
            <a:graphic xmlns:a="http://schemas.openxmlformats.org/drawingml/2006/main">
              <a:graphicData uri="http://schemas.openxmlformats.org/drawingml/2006/picture">
                <pic:pic xmlns:pic="http://schemas.openxmlformats.org/drawingml/2006/picture">
                  <pic:nvPicPr>
                    <pic:cNvPr id="0" name="Picture" descr="termination_files/figure-docx/exp1Plot-1.png"/>
                    <pic:cNvPicPr>
                      <a:picLocks noChangeAspect="1" noChangeArrowheads="1"/>
                    </pic:cNvPicPr>
                  </pic:nvPicPr>
                  <pic:blipFill>
                    <a:blip r:embed="rId13"/>
                    <a:stretch>
                      <a:fillRect/>
                    </a:stretch>
                  </pic:blipFill>
                  <pic:spPr bwMode="auto">
                    <a:xfrm>
                      <a:off x="0" y="0"/>
                      <a:ext cx="4587290" cy="3669832"/>
                    </a:xfrm>
                    <a:prstGeom prst="rect">
                      <a:avLst/>
                    </a:prstGeom>
                    <a:noFill/>
                    <a:ln w="9525">
                      <a:noFill/>
                      <a:headEnd/>
                      <a:tailEnd/>
                    </a:ln>
                  </pic:spPr>
                </pic:pic>
              </a:graphicData>
            </a:graphic>
          </wp:inline>
        </w:drawing>
      </w:r>
    </w:p>
    <w:p w:rsidR="00AE4836" w:rsidRPr="00AC4224" w:rsidRDefault="002B6CE9" w:rsidP="00AC4224">
      <w:pPr>
        <w:pStyle w:val="ImageCaption"/>
        <w:spacing w:line="240" w:lineRule="auto"/>
        <w:rPr>
          <w:rFonts w:asciiTheme="majorHAnsi" w:hAnsiTheme="majorHAnsi" w:cstheme="majorHAnsi"/>
          <w:i/>
          <w:sz w:val="22"/>
          <w:szCs w:val="22"/>
        </w:rPr>
      </w:pPr>
      <w:r w:rsidRPr="0006533A">
        <w:rPr>
          <w:rFonts w:asciiTheme="majorHAnsi" w:hAnsiTheme="majorHAnsi" w:cstheme="majorHAnsi"/>
          <w:i/>
          <w:sz w:val="22"/>
          <w:szCs w:val="22"/>
        </w:rPr>
        <w:t>Figure</w:t>
      </w:r>
      <w:r w:rsidRPr="0006533A">
        <w:rPr>
          <w:rFonts w:asciiTheme="majorHAnsi" w:hAnsiTheme="majorHAnsi" w:cstheme="majorHAnsi"/>
          <w:i/>
          <w:sz w:val="22"/>
          <w:szCs w:val="22"/>
        </w:rPr>
        <w:t xml:space="preserve"> </w:t>
      </w:r>
      <w:r w:rsidRPr="0006533A">
        <w:rPr>
          <w:rFonts w:asciiTheme="majorHAnsi" w:hAnsiTheme="majorHAnsi" w:cstheme="majorHAnsi"/>
          <w:i/>
          <w:sz w:val="22"/>
          <w:szCs w:val="22"/>
        </w:rPr>
        <w:t>3</w:t>
      </w:r>
      <w:r w:rsidRPr="00AC4224">
        <w:rPr>
          <w:rFonts w:asciiTheme="majorHAnsi" w:hAnsiTheme="majorHAnsi" w:cstheme="majorHAnsi"/>
          <w:i/>
          <w:sz w:val="22"/>
          <w:szCs w:val="22"/>
        </w:rPr>
        <w:t>:</w:t>
      </w:r>
      <w:r w:rsidRPr="00AC4224">
        <w:rPr>
          <w:rFonts w:asciiTheme="majorHAnsi" w:hAnsiTheme="majorHAnsi" w:cstheme="majorHAnsi"/>
          <w:i/>
          <w:sz w:val="22"/>
          <w:szCs w:val="22"/>
        </w:rPr>
        <w:t xml:space="preserve">  </w:t>
      </w:r>
      <w:r w:rsidR="0006533A" w:rsidRPr="00AC4224">
        <w:rPr>
          <w:rFonts w:asciiTheme="majorHAnsi" w:hAnsiTheme="majorHAnsi" w:cstheme="majorHAnsi"/>
          <w:i/>
          <w:sz w:val="22"/>
          <w:szCs w:val="22"/>
        </w:rPr>
        <w:t xml:space="preserve">Results from Experiment 1. </w:t>
      </w:r>
      <w:r w:rsidRPr="00AC4224">
        <w:rPr>
          <w:rFonts w:asciiTheme="majorHAnsi" w:hAnsiTheme="majorHAnsi" w:cstheme="majorHAnsi"/>
          <w:i/>
          <w:sz w:val="22"/>
          <w:szCs w:val="22"/>
        </w:rPr>
        <w:t>Upper panel: median search time by distractor set size for the two search tasks across the three blocks (12 trials per participant). Correct responses only. Lower panel: accuracy as a function of block, set size and search type. Error bars represent the</w:t>
      </w:r>
      <w:r w:rsidRPr="00AC4224">
        <w:rPr>
          <w:rFonts w:asciiTheme="majorHAnsi" w:hAnsiTheme="majorHAnsi" w:cstheme="majorHAnsi"/>
          <w:i/>
          <w:sz w:val="22"/>
          <w:szCs w:val="22"/>
        </w:rPr>
        <w:t xml:space="preserve"> standard error of the median.</w:t>
      </w:r>
    </w:p>
    <w:p w:rsidR="00B570CD" w:rsidRDefault="00B570CD">
      <w:pPr>
        <w:pStyle w:val="Heading2"/>
      </w:pPr>
      <w:bookmarkStart w:id="10" w:name="additional-analyses"/>
    </w:p>
    <w:p w:rsidR="00AE4836" w:rsidRDefault="002B6CE9">
      <w:pPr>
        <w:pStyle w:val="Heading2"/>
      </w:pPr>
      <w:r>
        <w:t>2.5</w:t>
      </w:r>
      <w:r>
        <w:tab/>
        <w:t>Additional analyses</w:t>
      </w:r>
      <w:bookmarkEnd w:id="10"/>
    </w:p>
    <w:p w:rsidR="00AE4836" w:rsidRDefault="002B6CE9">
      <w:pPr>
        <w:pStyle w:val="FirstParagraph"/>
      </w:pPr>
      <w:r>
        <w:t>In Experiment 1, we found a clear pop-out effect for color absence in the first trials of the experiment, before participants experienced color pop-out in target-present trials. As per our analysis, th</w:t>
      </w:r>
      <w:r>
        <w:t>is reflects prior metacognitive knowledge about the expected efficiency of color search. In order to terminate the search immediately, participants must have known, implicitly or explicitly, that a red item would have popped out immediately. In the setting</w:t>
      </w:r>
      <w:r>
        <w:t xml:space="preserve"> of this experiment, this knowledge could not be acquired in previous trials. However, an alternative account is that participants noticed the pop-out of the red distractors in the conjunction trials of block 1, and based their expectation for color pop ou</w:t>
      </w:r>
      <w:r>
        <w:t xml:space="preserve">t on those trials. This account can be directly tested by </w:t>
      </w:r>
      <w:r>
        <w:lastRenderedPageBreak/>
        <w:t>zeroing in on the subset of participants who performed the two color trials before the two conjunction trials in block 1 (the order of trials within each block was determined pseudorandomly, such th</w:t>
      </w:r>
      <w:r>
        <w:t>at half of the participants had color-search for the first trial, and of those a third had color-search for the second trial as well). This subset of participants showed a clear pop-out effect (</w:t>
      </w:r>
      <m:oMath>
        <m:r>
          <w:rPr>
            <w:rFonts w:ascii="Cambria Math" w:hAnsi="Cambria Math"/>
          </w:rPr>
          <m:t>M</m:t>
        </m:r>
        <m:r>
          <w:rPr>
            <w:rFonts w:ascii="Cambria Math" w:hAnsi="Cambria Math"/>
          </w:rPr>
          <m:t>=-5.07</m:t>
        </m:r>
      </m:oMath>
      <w:r>
        <w:t xml:space="preserve">, 95% CI </w:t>
      </w:r>
      <m:oMath>
        <m:r>
          <w:rPr>
            <w:rFonts w:ascii="Cambria Math" w:hAnsi="Cambria Math"/>
          </w:rPr>
          <m:t>[-∞</m:t>
        </m:r>
      </m:oMath>
      <w:r>
        <w:t xml:space="preserve">, </w:t>
      </w:r>
      <m:oMath>
        <m:r>
          <w:rPr>
            <w:rFonts w:ascii="Cambria Math" w:hAnsi="Cambria Math"/>
          </w:rPr>
          <m:t>2.25]</m:t>
        </m:r>
      </m:oMath>
      <w:r>
        <w:t xml:space="preserve">, </w:t>
      </w:r>
      <m:oMath>
        <m:r>
          <w:rPr>
            <w:rFonts w:ascii="Cambria Math" w:hAnsi="Cambria Math"/>
          </w:rPr>
          <m:t>t</m:t>
        </m:r>
        <m:r>
          <w:rPr>
            <w:rFonts w:ascii="Cambria Math" w:hAnsi="Cambria Math"/>
          </w:rPr>
          <m:t>(138)=-3.41</m:t>
        </m:r>
      </m:oMath>
      <w:r>
        <w:t xml:space="preserve">, </w:t>
      </w:r>
      <m:oMath>
        <m:r>
          <w:rPr>
            <w:rFonts w:ascii="Cambria Math" w:hAnsi="Cambria Math"/>
          </w:rPr>
          <m:t>p</m:t>
        </m:r>
        <m:r>
          <w:rPr>
            <w:rFonts w:ascii="Cambria Math" w:hAnsi="Cambria Math"/>
          </w:rPr>
          <m:t>&lt;.001</m:t>
        </m:r>
      </m:oMath>
      <w:r>
        <w:t>), indicati</w:t>
      </w:r>
      <w:r>
        <w:t>ng that the highly efficient search termination in these first trials was not based on prior experience with red distractors.</w:t>
      </w:r>
    </w:p>
    <w:p w:rsidR="00AE4836" w:rsidRDefault="002B6CE9">
      <w:pPr>
        <w:pStyle w:val="Heading1"/>
      </w:pPr>
      <w:bookmarkStart w:id="11" w:name="experiment-2"/>
      <w:r>
        <w:t>3</w:t>
      </w:r>
      <w:r>
        <w:tab/>
        <w:t>Experiment 2</w:t>
      </w:r>
      <w:bookmarkEnd w:id="11"/>
    </w:p>
    <w:p w:rsidR="00AE4836" w:rsidRDefault="002B6CE9">
      <w:pPr>
        <w:pStyle w:val="FirstParagraph"/>
      </w:pPr>
      <w:r>
        <w:t>Experiment 1 provided unequivocal evidence that color-absence pop-out occurs prior to experiencing color pop-out in</w:t>
      </w:r>
      <w:r>
        <w:t xml:space="preserve"> the context of the same task. We interpret this as indicating that task-naive adults had valid implicit or explicit metacognitive expectations about color pop-out. This metacognitive knowledge may be innate (acquired in the course of evolution, for exampl</w:t>
      </w:r>
      <w:r>
        <w:t>e driven by the utility of color search for foraging), learned from previous visual experience (for example, first-person experience of attention being immediately drawn to distinct colors), or culturally acquired (for example, through language). Experimen</w:t>
      </w:r>
      <w:r>
        <w:t>t 2 was designed to extend these findings to another stimulus feature that is found to also efficiently guide attention: shape. The time cost of additional distractors in shape search was under 10 ms in our pilot data, rendering it another case of parallel</w:t>
      </w:r>
      <w:r>
        <w:t>, efficient search. It is possible however that unlike in the case of color, the metacognitive knowledge that gives rise to the pop-out effect for shape-absence is acquired through experience with the task. Unlike the colour space, that spans three dimensi</w:t>
      </w:r>
      <w:r>
        <w:t>ons only, the space of possible shapes is relatively unconstrained such that having prior knowledge of the expected effect of different shapes on attention requires a richer mental model of attentional processes. Furthrmore, colour is agreed to be a ‘guidi</w:t>
      </w:r>
      <w:r>
        <w:t xml:space="preserve">ng attribute of attention’, while it is unclear </w:t>
      </w:r>
      <w:r>
        <w:lastRenderedPageBreak/>
        <w:t>which shape features guide attention (Wolfe &amp; Horowitz, 2017). In this experiment we also include an additional control for prior experience with visual search tasks, and ask whether the implicit metacognitiv</w:t>
      </w:r>
      <w:r>
        <w:t>e knowledge about pop-out is available for explicit report.</w:t>
      </w:r>
    </w:p>
    <w:p w:rsidR="00AE4836" w:rsidRDefault="002B6CE9">
      <w:pPr>
        <w:pStyle w:val="Heading2"/>
      </w:pPr>
      <w:bookmarkStart w:id="12" w:name="participants-1"/>
      <w:r>
        <w:t>3.1</w:t>
      </w:r>
      <w:r>
        <w:tab/>
        <w:t>Participants</w:t>
      </w:r>
      <w:bookmarkEnd w:id="12"/>
    </w:p>
    <w:p w:rsidR="00AE4836" w:rsidRDefault="002B6CE9">
      <w:pPr>
        <w:pStyle w:val="FirstParagraph"/>
      </w:pPr>
      <w:r>
        <w:t>The research complied with all relevant ethical regulations, and was approved by the Research Ethics Committee of University College London (study ID number 1260/003). 887 Partici</w:t>
      </w:r>
      <w:r>
        <w:t>pants were recruited via Prolific, and gave their informed consent prior to their participation. They were selected based on their acceptance rate (&gt;95%) and for being native English speakers. We collected data until we reached 320 included participants fo</w:t>
      </w:r>
      <w:r>
        <w:t>r hypotheses 1-4 (after applying our pre-registered exclusion criteria). The entire experiment took around 4 minutes to complete (median completion time in our pilot data: 3.93 minutes). Participants were paid £0.51 for their participation, equivalent to a</w:t>
      </w:r>
      <w:r>
        <w:t>n hourly wage of £7.78.</w:t>
      </w:r>
    </w:p>
    <w:p w:rsidR="00AE4836" w:rsidRDefault="002B6CE9">
      <w:pPr>
        <w:pStyle w:val="Heading2"/>
      </w:pPr>
      <w:bookmarkStart w:id="13" w:name="procedure-1"/>
      <w:r>
        <w:t>3.2</w:t>
      </w:r>
      <w:r>
        <w:tab/>
        <w:t>Procedure</w:t>
      </w:r>
      <w:bookmarkEnd w:id="13"/>
    </w:p>
    <w:p w:rsidR="00AE4836" w:rsidRDefault="002B6CE9">
      <w:pPr>
        <w:pStyle w:val="FirstParagraph"/>
      </w:pPr>
      <w:r>
        <w:t xml:space="preserve">A static version of Experiment 2 can be accessed on </w:t>
      </w:r>
      <w:hyperlink r:id="rId14">
        <w:r>
          <w:rPr>
            <w:rStyle w:val="Hyperlink"/>
          </w:rPr>
          <w:t>matanmazor.github.io/termination/experiments/demos/exp2/</w:t>
        </w:r>
      </w:hyperlink>
      <w:r>
        <w:t>. Experiment 2 was identical to Ex</w:t>
      </w:r>
      <w:r>
        <w:t>periment 1 with the following exceptions. First, instead of color search trials, we included shape search trials, where the red dot target is present or absent in an array of red squares. Second, to minimize the similarity between conjunction and shape sea</w:t>
      </w:r>
      <w:r>
        <w:t>rches, conjunction trials included blue dots and red triangles as distractors. Third, to test participants’ explicit metacognition about their visual search behaviour, upon completing the main part of the task participants were presented with the four targ</w:t>
      </w:r>
      <w:r>
        <w:t xml:space="preserve">et-absent displays (shape and conjunction displays with 4 or 8 items), and were asked to sort them from fastest to slowest. Finally, participants reported whether they had participated in a similar experiment before, where they were asked to </w:t>
      </w:r>
      <w:r>
        <w:lastRenderedPageBreak/>
        <w:t>search for sha</w:t>
      </w:r>
      <w:r>
        <w:t>pes on the screen. Participants who responded ‘yes’ were asked to tell us more about this previous experiment. This question was included in order to examine whether efficient target-absent search in trial 1 reflects prior experience with similar visual se</w:t>
      </w:r>
      <w:r>
        <w:t>arch experiments.</w:t>
      </w:r>
    </w:p>
    <w:p w:rsidR="00AE4836" w:rsidRDefault="002B6CE9">
      <w:pPr>
        <w:pStyle w:val="BodyText"/>
      </w:pPr>
      <w:r>
        <w:t xml:space="preserve">Our pre-registered analysis plan for Experiment 2, including rejection criteria and data preprocessing, was identical to our analysis plan for Experiment 1, and can be accessed in the following link: </w:t>
      </w:r>
      <w:hyperlink r:id="rId15">
        <w:r>
          <w:rPr>
            <w:rStyle w:val="Hyperlink"/>
          </w:rPr>
          <w:t>https://osf.io/v6mnb</w:t>
        </w:r>
      </w:hyperlink>
      <w:r>
        <w:t>.</w:t>
      </w:r>
    </w:p>
    <w:p w:rsidR="00AE4836" w:rsidRDefault="002B6CE9">
      <w:pPr>
        <w:pStyle w:val="Heading2"/>
      </w:pPr>
      <w:bookmarkStart w:id="14" w:name="results-1"/>
      <w:r>
        <w:t>3.3</w:t>
      </w:r>
      <w:r>
        <w:tab/>
        <w:t>Results</w:t>
      </w:r>
      <w:bookmarkEnd w:id="14"/>
    </w:p>
    <w:p w:rsidR="00AE4836" w:rsidRDefault="002B6CE9">
      <w:pPr>
        <w:pStyle w:val="FirstParagraph"/>
      </w:pPr>
      <w:r>
        <w:t>Overall mean accuracy was 0.96 (standard deviation =0.06). Median reaction time was 644.60 ms (median absolute deviation = 123.89). In all further analyses, only correct trials with response times between 250 and 1000 ms</w:t>
      </w:r>
      <w:r>
        <w:t xml:space="preserve"> are included.</w:t>
      </w:r>
    </w:p>
    <w:p w:rsidR="00AE4836" w:rsidRDefault="002B6CE9">
      <w:pPr>
        <w:pStyle w:val="BodyText"/>
      </w:pPr>
      <w:r>
        <w:rPr>
          <w:i/>
        </w:rPr>
        <w:t>Hypothesis 1 (positive control)</w:t>
      </w:r>
      <w:r>
        <w:t>: Search times in block 2 (target-present) followed the expected pattern, with a steep slope for conjunction search (</w:t>
      </w:r>
      <m:oMath>
        <m:r>
          <w:rPr>
            <w:rFonts w:ascii="Cambria Math" w:hAnsi="Cambria Math"/>
          </w:rPr>
          <m:t>M</m:t>
        </m:r>
        <m:r>
          <w:rPr>
            <w:rFonts w:ascii="Cambria Math" w:hAnsi="Cambria Math"/>
          </w:rPr>
          <m:t>=15.08</m:t>
        </m:r>
      </m:oMath>
      <w:r>
        <w:t xml:space="preserve">, 95% CI </w:t>
      </w:r>
      <m:oMath>
        <m:r>
          <w:rPr>
            <w:rFonts w:ascii="Cambria Math" w:hAnsi="Cambria Math"/>
          </w:rPr>
          <m:t>[12.34</m:t>
        </m:r>
      </m:oMath>
      <w:r>
        <w:t xml:space="preserve">, </w:t>
      </w:r>
      <m:oMath>
        <m:r>
          <w:rPr>
            <w:rFonts w:ascii="Cambria Math" w:hAnsi="Cambria Math"/>
          </w:rPr>
          <m:t>17.83]</m:t>
        </m:r>
      </m:oMath>
      <w:r>
        <w:t>) and a shallow slope for shape search (</w:t>
      </w:r>
      <m:oMath>
        <m:r>
          <w:rPr>
            <w:rFonts w:ascii="Cambria Math" w:hAnsi="Cambria Math"/>
          </w:rPr>
          <m:t>M</m:t>
        </m:r>
        <m:r>
          <w:rPr>
            <w:rFonts w:ascii="Cambria Math" w:hAnsi="Cambria Math"/>
          </w:rPr>
          <m:t>=5.84</m:t>
        </m:r>
      </m:oMath>
      <w:r>
        <w:t xml:space="preserve">, 95% CI </w:t>
      </w:r>
      <m:oMath>
        <m:r>
          <w:rPr>
            <w:rFonts w:ascii="Cambria Math" w:hAnsi="Cambria Math"/>
          </w:rPr>
          <m:t>[3.90</m:t>
        </m:r>
      </m:oMath>
      <w:r>
        <w:t>,</w:t>
      </w:r>
      <w:r>
        <w:t xml:space="preserve"> </w:t>
      </w:r>
      <m:oMath>
        <m:r>
          <w:rPr>
            <w:rFonts w:ascii="Cambria Math" w:hAnsi="Cambria Math"/>
          </w:rPr>
          <m:t>7.78]</m:t>
        </m:r>
      </m:oMath>
      <w:r>
        <w:t>; see middle panel of Fig. 4). The slope for shape search was significantly lower than 10 ms/item and thus met our criterion for being considered ‘pop-out’ (</w:t>
      </w:r>
      <m:oMath>
        <m:r>
          <w:rPr>
            <w:rFonts w:ascii="Cambria Math" w:hAnsi="Cambria Math"/>
          </w:rPr>
          <m:t>t</m:t>
        </m:r>
        <m:r>
          <w:rPr>
            <w:rFonts w:ascii="Cambria Math" w:hAnsi="Cambria Math"/>
          </w:rPr>
          <m:t>(754)=-4.21</m:t>
        </m:r>
      </m:oMath>
      <w:r>
        <w:t xml:space="preserve">, </w:t>
      </w:r>
      <m:oMath>
        <m:r>
          <w:rPr>
            <w:rFonts w:ascii="Cambria Math" w:hAnsi="Cambria Math"/>
          </w:rPr>
          <m:t>p</m:t>
        </m:r>
        <m:r>
          <w:rPr>
            <w:rFonts w:ascii="Cambria Math" w:hAnsi="Cambria Math"/>
          </w:rPr>
          <m:t>&lt;.001</m:t>
        </m:r>
      </m:oMath>
      <w:r>
        <w:t>). Furthermore, the difference between the slopes was significant (</w:t>
      </w:r>
      <m:oMath>
        <m:r>
          <w:rPr>
            <w:rFonts w:ascii="Cambria Math" w:hAnsi="Cambria Math"/>
          </w:rPr>
          <m:t>t</m:t>
        </m:r>
        <m:r>
          <w:rPr>
            <w:rFonts w:ascii="Cambria Math" w:hAnsi="Cambria Math"/>
          </w:rPr>
          <m:t>(5</m:t>
        </m:r>
        <m:r>
          <w:rPr>
            <w:rFonts w:ascii="Cambria Math" w:hAnsi="Cambria Math"/>
          </w:rPr>
          <m:t>84)=4.98</m:t>
        </m:r>
      </m:oMath>
      <w:r>
        <w:t xml:space="preserve">, </w:t>
      </w:r>
      <m:oMath>
        <m:r>
          <w:rPr>
            <w:rFonts w:ascii="Cambria Math" w:hAnsi="Cambria Math"/>
          </w:rPr>
          <m:t>p</m:t>
        </m:r>
        <m:r>
          <w:rPr>
            <w:rFonts w:ascii="Cambria Math" w:hAnsi="Cambria Math"/>
          </w:rPr>
          <m:t>&lt;.001</m:t>
        </m:r>
      </m:oMath>
      <w:r>
        <w:t>).</w:t>
      </w:r>
    </w:p>
    <w:p w:rsidR="00AE4836" w:rsidRDefault="002B6CE9">
      <w:pPr>
        <w:pStyle w:val="BodyText"/>
      </w:pPr>
      <w:r>
        <w:rPr>
          <w:i/>
        </w:rPr>
        <w:t>Hypothesis 2</w:t>
      </w:r>
      <w:r>
        <w:t>: Our central focus was on results from block 1 (target-absent). Here participants didn’t yet have experience with finding the red dot. Similar to the second block, the slope for the conjunction search was steep (</w:t>
      </w:r>
      <m:oMath>
        <m:r>
          <w:rPr>
            <w:rFonts w:ascii="Cambria Math" w:hAnsi="Cambria Math"/>
          </w:rPr>
          <m:t>M</m:t>
        </m:r>
        <m:r>
          <w:rPr>
            <w:rFonts w:ascii="Cambria Math" w:hAnsi="Cambria Math"/>
          </w:rPr>
          <m:t>=19.53</m:t>
        </m:r>
      </m:oMath>
      <w:r>
        <w:t>, 9</w:t>
      </w:r>
      <w:r>
        <w:t xml:space="preserve">5% CI </w:t>
      </w:r>
      <m:oMath>
        <m:r>
          <w:rPr>
            <w:rFonts w:ascii="Cambria Math" w:hAnsi="Cambria Math"/>
          </w:rPr>
          <m:t>[16.03</m:t>
        </m:r>
      </m:oMath>
      <w:r>
        <w:t xml:space="preserve">, </w:t>
      </w:r>
      <m:oMath>
        <m:r>
          <w:rPr>
            <w:rFonts w:ascii="Cambria Math" w:hAnsi="Cambria Math"/>
          </w:rPr>
          <m:t>23.04]</m:t>
        </m:r>
      </m:oMath>
      <w:r>
        <w:t>). The slope for shape search was numerically lower than 10 ms/item, but not significantly so (</w:t>
      </w:r>
      <m:oMath>
        <m:r>
          <w:rPr>
            <w:rFonts w:ascii="Cambria Math" w:hAnsi="Cambria Math"/>
          </w:rPr>
          <m:t>M</m:t>
        </m:r>
        <m:r>
          <w:rPr>
            <w:rFonts w:ascii="Cambria Math" w:hAnsi="Cambria Math"/>
          </w:rPr>
          <m:t>=8.03</m:t>
        </m:r>
      </m:oMath>
      <w:r>
        <w:t xml:space="preserve">, 95% CI </w:t>
      </w:r>
      <m:oMath>
        <m:r>
          <w:rPr>
            <w:rFonts w:ascii="Cambria Math" w:hAnsi="Cambria Math"/>
          </w:rPr>
          <m:t>[-∞</m:t>
        </m:r>
      </m:oMath>
      <w:r>
        <w:t xml:space="preserve">, </w:t>
      </w:r>
      <m:oMath>
        <m:r>
          <w:rPr>
            <w:rFonts w:ascii="Cambria Math" w:hAnsi="Cambria Math"/>
          </w:rPr>
          <m:t>10.50]</m:t>
        </m:r>
      </m:oMath>
      <w:r>
        <w:t xml:space="preserve">, </w:t>
      </w:r>
      <m:oMath>
        <m:r>
          <w:rPr>
            <w:rFonts w:ascii="Cambria Math" w:hAnsi="Cambria Math"/>
          </w:rPr>
          <m:t>t</m:t>
        </m:r>
        <m:r>
          <w:rPr>
            <w:rFonts w:ascii="Cambria Math" w:hAnsi="Cambria Math"/>
          </w:rPr>
          <m:t>(608)=-1.31</m:t>
        </m:r>
      </m:oMath>
      <w:r>
        <w:t xml:space="preserve">, </w:t>
      </w:r>
      <m:oMath>
        <m:r>
          <w:rPr>
            <w:rFonts w:ascii="Cambria Math" w:hAnsi="Cambria Math"/>
          </w:rPr>
          <m:t>p</m:t>
        </m:r>
        <m:r>
          <w:rPr>
            <w:rFonts w:ascii="Cambria Math" w:hAnsi="Cambria Math"/>
          </w:rPr>
          <m:t>=.095</m:t>
        </m:r>
      </m:oMath>
      <w:r>
        <w:t>). Still, the average search slope for shape search in this first block was significantly different from that of the conjunction search (</w:t>
      </w:r>
      <m:oMath>
        <m:r>
          <w:rPr>
            <w:rFonts w:ascii="Cambria Math" w:hAnsi="Cambria Math"/>
          </w:rPr>
          <m:t>t</m:t>
        </m:r>
        <m:r>
          <w:rPr>
            <w:rFonts w:ascii="Cambria Math" w:hAnsi="Cambria Math"/>
          </w:rPr>
          <m:t>(326)=2.77</m:t>
        </m:r>
      </m:oMath>
      <w:r>
        <w:t xml:space="preserve">, </w:t>
      </w:r>
      <m:oMath>
        <m:r>
          <w:rPr>
            <w:rFonts w:ascii="Cambria Math" w:hAnsi="Cambria Math"/>
          </w:rPr>
          <m:t>p</m:t>
        </m:r>
        <m:r>
          <w:rPr>
            <w:rFonts w:ascii="Cambria Math" w:hAnsi="Cambria Math"/>
          </w:rPr>
          <m:t>=</m:t>
        </m:r>
        <m:r>
          <w:rPr>
            <w:rFonts w:ascii="Cambria Math" w:hAnsi="Cambria Math"/>
          </w:rPr>
          <w:lastRenderedPageBreak/>
          <m:t>.006</m:t>
        </m:r>
      </m:oMath>
      <w:r>
        <w:t>; see leftmost panel of Fig. 4), indicating that a processing advantage for the detecting the abse</w:t>
      </w:r>
      <w:r>
        <w:t>nce of a shape compared to the absence of shape-color conjunction was already in place before experience with target presence.</w:t>
      </w:r>
    </w:p>
    <w:p w:rsidR="00AE4836" w:rsidRDefault="002B6CE9">
      <w:pPr>
        <w:pStyle w:val="BodyText"/>
      </w:pPr>
      <w:r>
        <w:rPr>
          <w:i/>
        </w:rPr>
        <w:t>Hypothesis 3</w:t>
      </w:r>
      <w:r>
        <w:t>: As in the first block, in the third block the slope for shape search was numerically lower than 10 ms/item, but not</w:t>
      </w:r>
      <w:r>
        <w:t xml:space="preserve"> significantly so (</w:t>
      </w:r>
      <m:oMath>
        <m:r>
          <w:rPr>
            <w:rFonts w:ascii="Cambria Math" w:hAnsi="Cambria Math"/>
          </w:rPr>
          <m:t>M</m:t>
        </m:r>
        <m:r>
          <w:rPr>
            <w:rFonts w:ascii="Cambria Math" w:hAnsi="Cambria Math"/>
          </w:rPr>
          <m:t>=8.85</m:t>
        </m:r>
      </m:oMath>
      <w:r>
        <w:t xml:space="preserve">, 95% CI </w:t>
      </w:r>
      <m:oMath>
        <m:r>
          <w:rPr>
            <w:rFonts w:ascii="Cambria Math" w:hAnsi="Cambria Math"/>
          </w:rPr>
          <m:t>[-∞</m:t>
        </m:r>
      </m:oMath>
      <w:r>
        <w:t xml:space="preserve">, </w:t>
      </w:r>
      <m:oMath>
        <m:r>
          <w:rPr>
            <w:rFonts w:ascii="Cambria Math" w:hAnsi="Cambria Math"/>
          </w:rPr>
          <m:t>10.68]</m:t>
        </m:r>
      </m:oMath>
      <w:r>
        <w:t xml:space="preserve">, </w:t>
      </w:r>
      <m:oMath>
        <m:r>
          <w:rPr>
            <w:rFonts w:ascii="Cambria Math" w:hAnsi="Cambria Math"/>
          </w:rPr>
          <m:t>t</m:t>
        </m:r>
        <m:r>
          <w:rPr>
            <w:rFonts w:ascii="Cambria Math" w:hAnsi="Cambria Math"/>
          </w:rPr>
          <m:t>(723)=-1.03</m:t>
        </m:r>
      </m:oMath>
      <w:r>
        <w:t xml:space="preserve">, </w:t>
      </w:r>
      <m:oMath>
        <m:r>
          <w:rPr>
            <w:rFonts w:ascii="Cambria Math" w:hAnsi="Cambria Math"/>
          </w:rPr>
          <m:t>p</m:t>
        </m:r>
        <m:r>
          <w:rPr>
            <w:rFonts w:ascii="Cambria Math" w:hAnsi="Cambria Math"/>
          </w:rPr>
          <m:t>=.151</m:t>
        </m:r>
      </m:oMath>
      <w:r>
        <w:t>). Importantly, the slope for shape search in block 3 was significantly different from the the slope for conjunction search (</w:t>
      </w:r>
      <m:oMath>
        <m:r>
          <w:rPr>
            <w:rFonts w:ascii="Cambria Math" w:hAnsi="Cambria Math"/>
          </w:rPr>
          <m:t>t</m:t>
        </m:r>
        <m:r>
          <w:rPr>
            <w:rFonts w:ascii="Cambria Math" w:hAnsi="Cambria Math"/>
          </w:rPr>
          <m:t>(565)=6.02</m:t>
        </m:r>
      </m:oMath>
      <w:r>
        <w:t xml:space="preserve">, </w:t>
      </w:r>
      <m:oMath>
        <m:r>
          <w:rPr>
            <w:rFonts w:ascii="Cambria Math" w:hAnsi="Cambria Math"/>
          </w:rPr>
          <m:t>p</m:t>
        </m:r>
        <m:r>
          <w:rPr>
            <w:rFonts w:ascii="Cambria Math" w:hAnsi="Cambria Math"/>
          </w:rPr>
          <m:t>&lt;.001</m:t>
        </m:r>
      </m:oMath>
      <w:r>
        <w:t>; see rightmost panel of Fig. 4).</w:t>
      </w:r>
    </w:p>
    <w:p w:rsidR="00AE4836" w:rsidRDefault="002B6CE9">
      <w:pPr>
        <w:pStyle w:val="BodyText"/>
      </w:pPr>
      <w:r>
        <w:rPr>
          <w:i/>
        </w:rPr>
        <w:t>Hypoth</w:t>
      </w:r>
      <w:r>
        <w:rPr>
          <w:i/>
        </w:rPr>
        <w:t>esis 4</w:t>
      </w:r>
      <w:r>
        <w:t>: To quantify a potential learning effect for shape search between blocks 1 and 3, we directly contrasted the search slope for shape search in these two ‘target-absent’ blocks. We find no evidence for a learning effect (</w:t>
      </w:r>
      <m:oMath>
        <m:r>
          <w:rPr>
            <w:rFonts w:ascii="Cambria Math" w:hAnsi="Cambria Math"/>
          </w:rPr>
          <m:t>t</m:t>
        </m:r>
        <m:r>
          <w:rPr>
            <w:rFonts w:ascii="Cambria Math" w:hAnsi="Cambria Math"/>
          </w:rPr>
          <m:t>(542)=-0.03</m:t>
        </m:r>
      </m:oMath>
      <w:r>
        <w:t xml:space="preserve">, </w:t>
      </w:r>
      <m:oMath>
        <m:r>
          <w:rPr>
            <w:rFonts w:ascii="Cambria Math" w:hAnsi="Cambria Math"/>
          </w:rPr>
          <m:t>p</m:t>
        </m:r>
        <m:r>
          <w:rPr>
            <w:rFonts w:ascii="Cambria Math" w:hAnsi="Cambria Math"/>
          </w:rPr>
          <m:t>=.974</m:t>
        </m:r>
      </m:oMath>
      <w:r>
        <w:t>). Furth</w:t>
      </w:r>
      <w:r>
        <w:t>ermore, a Bayesian t-test with a scaled Cauchy prior for effect sizes (r=0.707) provided strong evidence against a learning effect (</w:t>
      </w:r>
      <m:oMath>
        <m:sSub>
          <m:sSubPr>
            <m:ctrlPr>
              <w:rPr>
                <w:rFonts w:ascii="Cambria Math" w:hAnsi="Cambria Math"/>
              </w:rPr>
            </m:ctrlPr>
          </m:sSubPr>
          <m:e>
            <m:r>
              <m:rPr>
                <m:sty m:val="p"/>
              </m:rPr>
              <w:rPr>
                <w:rFonts w:ascii="Cambria Math" w:hAnsi="Cambria Math"/>
              </w:rPr>
              <m:t>BF</m:t>
            </m:r>
          </m:e>
          <m:sub>
            <m:r>
              <m:rPr>
                <m:nor/>
              </m:rPr>
              <m:t>01</m:t>
            </m:r>
          </m:sub>
        </m:sSub>
        <m:r>
          <w:rPr>
            <w:rFonts w:ascii="Cambria Math" w:hAnsi="Cambria Math"/>
          </w:rPr>
          <m:t>=20.72</m:t>
        </m:r>
      </m:oMath>
      <w:r>
        <w:t xml:space="preserve">). Like in Experiment 1, these results are most consistent with a </w:t>
      </w:r>
      <w:r>
        <w:rPr>
          <w:i/>
        </w:rPr>
        <w:t>prior-knowledge only</w:t>
      </w:r>
      <w:r>
        <w:t xml:space="preserve"> model (see Fig. 2), in whic</w:t>
      </w:r>
      <w:r>
        <w:t>h participants already know to expect that shape search should be easier than conjunction search, prior to having direct experience with target-present trials.</w:t>
      </w:r>
    </w:p>
    <w:p w:rsidR="00AE4836" w:rsidRDefault="002B6CE9">
      <w:pPr>
        <w:pStyle w:val="CaptionedFigure"/>
      </w:pPr>
      <w:r>
        <w:rPr>
          <w:noProof/>
          <w:lang w:bidi="he-IL"/>
        </w:rPr>
        <w:lastRenderedPageBreak/>
        <w:drawing>
          <wp:inline distT="0" distB="0" distL="0" distR="0">
            <wp:extent cx="4587290" cy="3669832"/>
            <wp:effectExtent l="0" t="0" r="0" b="0"/>
            <wp:docPr id="4" name="Picture" descr="Figure 4:.  Upper panel: median search time by distractor set size for the two search tasks across the three blocks. Correct responses only. Lower panel: accuracy as a function of block, set size and search type. Error bars represent the standard error of the median."/>
            <wp:cNvGraphicFramePr/>
            <a:graphic xmlns:a="http://schemas.openxmlformats.org/drawingml/2006/main">
              <a:graphicData uri="http://schemas.openxmlformats.org/drawingml/2006/picture">
                <pic:pic xmlns:pic="http://schemas.openxmlformats.org/drawingml/2006/picture">
                  <pic:nvPicPr>
                    <pic:cNvPr id="0" name="Picture" descr="termination_files/figure-docx/exp2Plot-1.png"/>
                    <pic:cNvPicPr>
                      <a:picLocks noChangeAspect="1" noChangeArrowheads="1"/>
                    </pic:cNvPicPr>
                  </pic:nvPicPr>
                  <pic:blipFill>
                    <a:blip r:embed="rId16"/>
                    <a:stretch>
                      <a:fillRect/>
                    </a:stretch>
                  </pic:blipFill>
                  <pic:spPr bwMode="auto">
                    <a:xfrm>
                      <a:off x="0" y="0"/>
                      <a:ext cx="4587290" cy="3669832"/>
                    </a:xfrm>
                    <a:prstGeom prst="rect">
                      <a:avLst/>
                    </a:prstGeom>
                    <a:noFill/>
                    <a:ln w="9525">
                      <a:noFill/>
                      <a:headEnd/>
                      <a:tailEnd/>
                    </a:ln>
                  </pic:spPr>
                </pic:pic>
              </a:graphicData>
            </a:graphic>
          </wp:inline>
        </w:drawing>
      </w:r>
    </w:p>
    <w:p w:rsidR="00AE4836" w:rsidRPr="00AC4224" w:rsidRDefault="002B6CE9" w:rsidP="00AC4224">
      <w:pPr>
        <w:pStyle w:val="ImageCaption"/>
        <w:spacing w:line="240" w:lineRule="auto"/>
        <w:rPr>
          <w:rFonts w:asciiTheme="majorHAnsi" w:hAnsiTheme="majorHAnsi" w:cstheme="majorHAnsi"/>
          <w:iCs/>
          <w:sz w:val="22"/>
          <w:szCs w:val="22"/>
        </w:rPr>
      </w:pPr>
      <w:r w:rsidRPr="00AC4224">
        <w:rPr>
          <w:rFonts w:asciiTheme="majorHAnsi" w:hAnsiTheme="majorHAnsi" w:cstheme="majorHAnsi"/>
          <w:i/>
          <w:sz w:val="22"/>
          <w:szCs w:val="22"/>
        </w:rPr>
        <w:t>Figure</w:t>
      </w:r>
      <w:r w:rsidRPr="00AC4224">
        <w:rPr>
          <w:rFonts w:asciiTheme="majorHAnsi" w:hAnsiTheme="majorHAnsi" w:cstheme="majorHAnsi"/>
          <w:i/>
          <w:sz w:val="22"/>
          <w:szCs w:val="22"/>
        </w:rPr>
        <w:t xml:space="preserve"> </w:t>
      </w:r>
      <w:r w:rsidRPr="00AC4224">
        <w:rPr>
          <w:rFonts w:asciiTheme="majorHAnsi" w:hAnsiTheme="majorHAnsi" w:cstheme="majorHAnsi"/>
          <w:i/>
          <w:sz w:val="22"/>
          <w:szCs w:val="22"/>
        </w:rPr>
        <w:t>4</w:t>
      </w:r>
      <w:r w:rsidRPr="00AC4224">
        <w:rPr>
          <w:rFonts w:asciiTheme="majorHAnsi" w:hAnsiTheme="majorHAnsi" w:cstheme="majorHAnsi"/>
          <w:i/>
          <w:sz w:val="22"/>
          <w:szCs w:val="22"/>
        </w:rPr>
        <w:t>:</w:t>
      </w:r>
      <w:r w:rsidRPr="00AC4224">
        <w:rPr>
          <w:rFonts w:asciiTheme="majorHAnsi" w:hAnsiTheme="majorHAnsi" w:cstheme="majorHAnsi"/>
          <w:i/>
          <w:sz w:val="22"/>
          <w:szCs w:val="22"/>
        </w:rPr>
        <w:t xml:space="preserve">  </w:t>
      </w:r>
      <w:r w:rsidRPr="00AC4224">
        <w:rPr>
          <w:rFonts w:asciiTheme="majorHAnsi" w:hAnsiTheme="majorHAnsi" w:cstheme="majorHAnsi"/>
          <w:iCs/>
          <w:sz w:val="22"/>
          <w:szCs w:val="22"/>
        </w:rPr>
        <w:t>Upper panel: median search time by distractor set size for the two search tasks ac</w:t>
      </w:r>
      <w:r w:rsidRPr="00AC4224">
        <w:rPr>
          <w:rFonts w:asciiTheme="majorHAnsi" w:hAnsiTheme="majorHAnsi" w:cstheme="majorHAnsi"/>
          <w:iCs/>
          <w:sz w:val="22"/>
          <w:szCs w:val="22"/>
        </w:rPr>
        <w:t>ross the three blocks. Correct responses only. Lower panel: accuracy as a function of block, set size and search type. Error bars represent the standard error of the median.</w:t>
      </w:r>
    </w:p>
    <w:p w:rsidR="00AC4224" w:rsidRDefault="00AC4224">
      <w:pPr>
        <w:pStyle w:val="Heading2"/>
      </w:pPr>
      <w:bookmarkStart w:id="15" w:name="additional-analyses-1"/>
    </w:p>
    <w:p w:rsidR="00AE4836" w:rsidRDefault="002B6CE9">
      <w:pPr>
        <w:pStyle w:val="Heading2"/>
      </w:pPr>
      <w:r>
        <w:t>3.4</w:t>
      </w:r>
      <w:r>
        <w:tab/>
        <w:t>Additional Analyses</w:t>
      </w:r>
      <w:bookmarkEnd w:id="15"/>
    </w:p>
    <w:p w:rsidR="00AE4836" w:rsidRDefault="002B6CE9">
      <w:pPr>
        <w:pStyle w:val="Heading2"/>
      </w:pPr>
      <w:bookmarkStart w:id="16" w:name="exploratory-analysis-task-experience"/>
      <w:r>
        <w:t>3.5</w:t>
      </w:r>
      <w:r>
        <w:tab/>
        <w:t>Exploratory analysis: task experience</w:t>
      </w:r>
      <w:bookmarkEnd w:id="16"/>
    </w:p>
    <w:p w:rsidR="00AE4836" w:rsidRDefault="002B6CE9">
      <w:pPr>
        <w:pStyle w:val="FirstParagraph"/>
      </w:pPr>
      <w:r>
        <w:t>At the end of th</w:t>
      </w:r>
      <w:r>
        <w:t>e experiment, participants were asked if they have ever participated in a similar experiment before, where they were asked to search for a target item. 796 participants answered ‘no’ to this question. For those participants, a highly efficient search for a</w:t>
      </w:r>
      <w:r>
        <w:t xml:space="preserve"> distinct shape in the first trials of the experiment, if found, cannot be due to prior experience performing a visual search task with similar stimuli. Participants that reported having no prior experience with a visual search task still showed efficient </w:t>
      </w:r>
      <w:r>
        <w:t>search termination for shape distractors (</w:t>
      </w:r>
      <m:oMath>
        <m:r>
          <w:rPr>
            <w:rFonts w:ascii="Cambria Math" w:hAnsi="Cambria Math"/>
          </w:rPr>
          <m:t>M</m:t>
        </m:r>
        <m:r>
          <w:rPr>
            <w:rFonts w:ascii="Cambria Math" w:hAnsi="Cambria Math"/>
          </w:rPr>
          <m:t>=7.32</m:t>
        </m:r>
      </m:oMath>
      <w:r>
        <w:t xml:space="preserve">, 95% CI </w:t>
      </w:r>
      <m:oMath>
        <m:r>
          <w:rPr>
            <w:rFonts w:ascii="Cambria Math" w:hAnsi="Cambria Math"/>
          </w:rPr>
          <m:t>[4.21</m:t>
        </m:r>
      </m:oMath>
      <w:r>
        <w:t xml:space="preserve">, </w:t>
      </w:r>
      <m:oMath>
        <m:r>
          <w:rPr>
            <w:rFonts w:ascii="Cambria Math" w:hAnsi="Cambria Math"/>
          </w:rPr>
          <m:t>10.43]</m:t>
        </m:r>
      </m:oMath>
      <w:r>
        <w:t xml:space="preserve">), and were significantly more efficient in terminating shape search than </w:t>
      </w:r>
      <w:r>
        <w:lastRenderedPageBreak/>
        <w:t>conjunction search in the first 4 target-absent trials (</w:t>
      </w:r>
      <m:oMath>
        <m:r>
          <w:rPr>
            <w:rFonts w:ascii="Cambria Math" w:hAnsi="Cambria Math"/>
          </w:rPr>
          <m:t>t</m:t>
        </m:r>
        <m:r>
          <w:rPr>
            <w:rFonts w:ascii="Cambria Math" w:hAnsi="Cambria Math"/>
          </w:rPr>
          <m:t>(296)=2.68</m:t>
        </m:r>
      </m:oMath>
      <w:r>
        <w:t xml:space="preserve">, </w:t>
      </w:r>
      <m:oMath>
        <m:r>
          <w:rPr>
            <w:rFonts w:ascii="Cambria Math" w:hAnsi="Cambria Math"/>
          </w:rPr>
          <m:t>p</m:t>
        </m:r>
        <m:r>
          <w:rPr>
            <w:rFonts w:ascii="Cambria Math" w:hAnsi="Cambria Math"/>
          </w:rPr>
          <m:t>=.008</m:t>
        </m:r>
      </m:oMath>
      <w:r>
        <w:t>). Efficient search termination fo</w:t>
      </w:r>
      <w:r>
        <w:t>r shape search is therefore not dependent on prior visual search trials, neither within the same experiment nor in previous ones.</w:t>
      </w:r>
    </w:p>
    <w:p w:rsidR="00AE4836" w:rsidRDefault="002B6CE9">
      <w:pPr>
        <w:pStyle w:val="Heading2"/>
      </w:pPr>
      <w:bookmarkStart w:id="17" w:name="Xd9a05675aa9c7cb8c24caf73454e1ee97d4e9b3"/>
      <w:r>
        <w:t>3.6</w:t>
      </w:r>
      <w:r>
        <w:tab/>
        <w:t>Exploratory analysis: search time estimates</w:t>
      </w:r>
      <w:bookmarkEnd w:id="17"/>
    </w:p>
    <w:p w:rsidR="00AE4836" w:rsidRDefault="002B6CE9">
      <w:pPr>
        <w:pStyle w:val="FirstParagraph"/>
      </w:pPr>
      <w:r>
        <w:t>Upon completing the main part of Experiment 2, participants placed the four se</w:t>
      </w:r>
      <w:r>
        <w:t xml:space="preserve">arch arrays (shape and conjunction searches with 4 or 8 distractors) on a perceived difficulty axis. We used these ratings to ask whether the advantage for detecting the absence of a distinct shape over the absence of a shape/color conjunction depended on </w:t>
      </w:r>
      <w:r>
        <w:t>explicit access to metacognitive knowledge about search difficulty. The decision to quit early in target-absent shape search trials may depend on an internal belief that the target shape would have drawn attention immediately, but this belief may inaccessi</w:t>
      </w:r>
      <w:r>
        <w:t>ble to introspection. If introspective access is not a necessary condition for efficient quitting in visual search, some participants may not be able to reliably introspect about the difficulty of different searches but still be able to quit efficiently in</w:t>
      </w:r>
      <w:r>
        <w:t xml:space="preserve"> shape search.</w:t>
      </w:r>
    </w:p>
    <w:p w:rsidR="00AE4836" w:rsidRDefault="002B6CE9">
      <w:pPr>
        <w:pStyle w:val="BodyText"/>
      </w:pPr>
      <w:r>
        <w:t>For this analysis, we only considered the ratings of participants who engaged with the array-sorting trial, and moved some of the arrays before continuing to the next trial (N=789). Searches with 8 distractors were rated as more difficult th</w:t>
      </w:r>
      <w:r>
        <w:t>an searches with 4 distractors, in line with the set-size effect (</w:t>
      </w:r>
      <m:oMath>
        <m:r>
          <w:rPr>
            <w:rFonts w:ascii="Cambria Math" w:hAnsi="Cambria Math"/>
          </w:rPr>
          <m:t>t</m:t>
        </m:r>
        <m:r>
          <w:rPr>
            <w:rFonts w:ascii="Cambria Math" w:hAnsi="Cambria Math"/>
          </w:rPr>
          <m:t>(788)=31.62</m:t>
        </m:r>
      </m:oMath>
      <w:r>
        <w:t xml:space="preserve">, </w:t>
      </w:r>
      <m:oMath>
        <m:r>
          <w:rPr>
            <w:rFonts w:ascii="Cambria Math" w:hAnsi="Cambria Math"/>
          </w:rPr>
          <m:t>p</m:t>
        </m:r>
        <m:r>
          <w:rPr>
            <w:rFonts w:ascii="Cambria Math" w:hAnsi="Cambria Math"/>
          </w:rPr>
          <m:t>&lt;.001</m:t>
        </m:r>
      </m:oMath>
      <w:r>
        <w:t>). Furthermore, conjunction searches were rates as more difficult than shape searches (</w:t>
      </w:r>
      <m:oMath>
        <m:r>
          <w:rPr>
            <w:rFonts w:ascii="Cambria Math" w:hAnsi="Cambria Math"/>
          </w:rPr>
          <m:t>t</m:t>
        </m:r>
        <m:r>
          <w:rPr>
            <w:rFonts w:ascii="Cambria Math" w:hAnsi="Cambria Math"/>
          </w:rPr>
          <m:t>(788)=5.11</m:t>
        </m:r>
      </m:oMath>
      <w:r>
        <w:t xml:space="preserve">, </w:t>
      </w:r>
      <m:oMath>
        <m:r>
          <w:rPr>
            <w:rFonts w:ascii="Cambria Math" w:hAnsi="Cambria Math"/>
          </w:rPr>
          <m:t>p</m:t>
        </m:r>
        <m:r>
          <w:rPr>
            <w:rFonts w:ascii="Cambria Math" w:hAnsi="Cambria Math"/>
          </w:rPr>
          <m:t>&lt;.001</m:t>
        </m:r>
      </m:oMath>
      <w:r>
        <w:t>). Finally, we fitted single-subject linear regression model</w:t>
      </w:r>
      <w:r>
        <w:t>s to the two search types, predicting search-time estimates as a function of set size. Similar to actual search slopes, these slopes derived from subjective estimates were also shallower for shape than for conjunction search, reflecting a belief that the e</w:t>
      </w:r>
      <w:r>
        <w:t>ffect of set size in shape search is not as strong as the effect of set size in conjunction search (</w:t>
      </w:r>
      <m:oMath>
        <m:r>
          <w:rPr>
            <w:rFonts w:ascii="Cambria Math" w:hAnsi="Cambria Math"/>
          </w:rPr>
          <m:t>M</m:t>
        </m:r>
        <m:r>
          <w:rPr>
            <w:rFonts w:ascii="Cambria Math" w:hAnsi="Cambria Math"/>
          </w:rPr>
          <m:t>=6.45</m:t>
        </m:r>
      </m:oMath>
      <w:r>
        <w:t xml:space="preserve">, 95% CI </w:t>
      </w:r>
      <m:oMath>
        <m:r>
          <w:rPr>
            <w:rFonts w:ascii="Cambria Math" w:hAnsi="Cambria Math"/>
          </w:rPr>
          <m:t>[2.81</m:t>
        </m:r>
      </m:oMath>
      <w:r>
        <w:t xml:space="preserve">, </w:t>
      </w:r>
      <m:oMath>
        <m:r>
          <w:rPr>
            <w:rFonts w:ascii="Cambria Math" w:hAnsi="Cambria Math"/>
          </w:rPr>
          <m:t>10.08]</m:t>
        </m:r>
      </m:oMath>
      <w:r>
        <w:t xml:space="preserve">, </w:t>
      </w:r>
      <m:oMath>
        <m:r>
          <w:rPr>
            <w:rFonts w:ascii="Cambria Math" w:hAnsi="Cambria Math"/>
          </w:rPr>
          <m:t>t</m:t>
        </m:r>
        <m:r>
          <w:rPr>
            <w:rFonts w:ascii="Cambria Math" w:hAnsi="Cambria Math"/>
          </w:rPr>
          <m:t>(788)=3.48</m:t>
        </m:r>
      </m:oMath>
      <w:r>
        <w:t xml:space="preserve">, </w:t>
      </w:r>
      <m:oMath>
        <m:r>
          <w:rPr>
            <w:rFonts w:ascii="Cambria Math" w:hAnsi="Cambria Math"/>
          </w:rPr>
          <m:t>p</m:t>
        </m:r>
        <m:r>
          <w:rPr>
            <w:rFonts w:ascii="Cambria Math" w:hAnsi="Cambria Math"/>
          </w:rPr>
          <m:t>=.001</m:t>
        </m:r>
      </m:oMath>
      <w:r>
        <w:t>).</w:t>
      </w:r>
    </w:p>
    <w:p w:rsidR="00AE4836" w:rsidRDefault="002B6CE9">
      <w:pPr>
        <w:pStyle w:val="BodyText"/>
      </w:pPr>
      <w:r>
        <w:lastRenderedPageBreak/>
        <w:t xml:space="preserve">Subjective search time estimates revealed that by the end of the experiment, the average participant </w:t>
      </w:r>
      <w:r>
        <w:t>considered the slope of shape search to be shallower than that of conjunction search. This suggests that at least some participants had introspective access to their visual search behaviour. But were those participants whose estimates reflected a shallow s</w:t>
      </w:r>
      <w:r>
        <w:t>lope for shape search the same ones that were more efficient in detecting the absence of a shape in the display? The slopes of retrospective estimates for shape search were not reliably correlated with actual search slopes for shape absence in block 1 (</w:t>
      </w:r>
      <m:oMath>
        <m:r>
          <w:rPr>
            <w:rFonts w:ascii="Cambria Math" w:hAnsi="Cambria Math"/>
          </w:rPr>
          <m:t>r</m:t>
        </m:r>
        <m:r>
          <w:rPr>
            <w:rFonts w:ascii="Cambria Math" w:hAnsi="Cambria Math"/>
          </w:rPr>
          <m:t>=</m:t>
        </m:r>
        <m:r>
          <w:rPr>
            <w:rFonts w:ascii="Cambria Math" w:hAnsi="Cambria Math"/>
          </w:rPr>
          <m:t>.08</m:t>
        </m:r>
      </m:oMath>
      <w:r>
        <w:t xml:space="preserve">, 95% CI </w:t>
      </w:r>
      <m:oMath>
        <m:r>
          <w:rPr>
            <w:rFonts w:ascii="Cambria Math" w:hAnsi="Cambria Math"/>
          </w:rPr>
          <m:t>[-.06</m:t>
        </m:r>
      </m:oMath>
      <w:r>
        <w:t xml:space="preserve">, </w:t>
      </w:r>
      <m:oMath>
        <m:r>
          <w:rPr>
            <w:rFonts w:ascii="Cambria Math" w:hAnsi="Cambria Math"/>
          </w:rPr>
          <m:t>.22]</m:t>
        </m:r>
      </m:oMath>
      <w:r>
        <w:t>) or 2 (</w:t>
      </w:r>
      <m:oMath>
        <m:r>
          <w:rPr>
            <w:rFonts w:ascii="Cambria Math" w:hAnsi="Cambria Math"/>
          </w:rPr>
          <m:t>r</m:t>
        </m:r>
        <m:r>
          <w:rPr>
            <w:rFonts w:ascii="Cambria Math" w:hAnsi="Cambria Math"/>
          </w:rPr>
          <m:t>=.02</m:t>
        </m:r>
      </m:oMath>
      <w:r>
        <w:t xml:space="preserve">, 95% CI </w:t>
      </w:r>
      <m:oMath>
        <m:r>
          <w:rPr>
            <w:rFonts w:ascii="Cambria Math" w:hAnsi="Cambria Math"/>
          </w:rPr>
          <m:t>[-.12</m:t>
        </m:r>
      </m:oMath>
      <w:r>
        <w:t xml:space="preserve">, </w:t>
      </w:r>
      <m:oMath>
        <m:r>
          <w:rPr>
            <w:rFonts w:ascii="Cambria Math" w:hAnsi="Cambria Math"/>
          </w:rPr>
          <m:t>.16]</m:t>
        </m:r>
      </m:oMath>
      <w:r>
        <w:t xml:space="preserve">). However, this result should be interpreted carefully in light of the low reliability of single subject estimated that are derived from one trial per cell. Indeed, search slopes for shape absence in blocks 1 and 3 were not reliably correlated themselves </w:t>
      </w:r>
      <w:r>
        <w:t>(</w:t>
      </w:r>
      <m:oMath>
        <m:r>
          <w:rPr>
            <w:rFonts w:ascii="Cambria Math" w:hAnsi="Cambria Math"/>
          </w:rPr>
          <m:t>r</m:t>
        </m:r>
        <m:r>
          <w:rPr>
            <w:rFonts w:ascii="Cambria Math" w:hAnsi="Cambria Math"/>
          </w:rPr>
          <m:t>=.05</m:t>
        </m:r>
      </m:oMath>
      <w:r>
        <w:t xml:space="preserve">, 95% CI </w:t>
      </w:r>
      <m:oMath>
        <m:r>
          <w:rPr>
            <w:rFonts w:ascii="Cambria Math" w:hAnsi="Cambria Math"/>
          </w:rPr>
          <m:t>[-.10</m:t>
        </m:r>
      </m:oMath>
      <w:r>
        <w:t xml:space="preserve">, </w:t>
      </w:r>
      <m:oMath>
        <m:r>
          <w:rPr>
            <w:rFonts w:ascii="Cambria Math" w:hAnsi="Cambria Math"/>
          </w:rPr>
          <m:t>.19]</m:t>
        </m:r>
      </m:oMath>
      <w:r>
        <w:t>).</w:t>
      </w:r>
    </w:p>
    <w:p w:rsidR="00AE4836" w:rsidRDefault="002B6CE9">
      <w:pPr>
        <w:pStyle w:val="BodyText"/>
      </w:pPr>
      <w:r>
        <w:t>To answer this question using a more severe test (Mayo, 2018), we focused on the subset of participants whose difficulty orderings reflected the erroneous belief that shape search was more difficult than conjunction search (</w:t>
      </w:r>
      <m:oMath>
        <m:r>
          <w:rPr>
            <w:rFonts w:ascii="Cambria Math" w:hAnsi="Cambria Math"/>
          </w:rPr>
          <m:t>N</m:t>
        </m:r>
        <m:r>
          <w:rPr>
            <w:rFonts w:ascii="Cambria Math" w:hAnsi="Cambria Math"/>
          </w:rPr>
          <m:t>=</m:t>
        </m:r>
      </m:oMath>
      <w:r>
        <w:t xml:space="preserve"> 83). If efficient search termination depends on accurate explicit metacognitive knowledge about search efficiency, search termination in this subset of participants is not expected to be more efficient in shape compared to conjunction search, and is even</w:t>
      </w:r>
      <w:r>
        <w:t xml:space="preserve"> expected to show the opposite pattern. In contrast with this prediction, and in support of a functional dissociation between explicit and implicit metacognitive knowledge, search slopes for shape-absence trials were shallower than for conjunction-absence </w:t>
      </w:r>
      <w:r>
        <w:t>trials (</w:t>
      </w:r>
      <m:oMath>
        <m:sSub>
          <m:sSubPr>
            <m:ctrlPr>
              <w:rPr>
                <w:rFonts w:ascii="Cambria Math" w:hAnsi="Cambria Math"/>
              </w:rPr>
            </m:ctrlPr>
          </m:sSubPr>
          <m:e>
            <m:r>
              <w:rPr>
                <w:rFonts w:ascii="Cambria Math" w:hAnsi="Cambria Math"/>
              </w:rPr>
              <m:t>M</m:t>
            </m:r>
          </m:e>
          <m:sub>
            <m:r>
              <w:rPr>
                <w:rFonts w:ascii="Cambria Math" w:hAnsi="Cambria Math"/>
              </w:rPr>
              <m:t>d</m:t>
            </m:r>
          </m:sub>
        </m:sSub>
        <m:r>
          <w:rPr>
            <w:rFonts w:ascii="Cambria Math" w:hAnsi="Cambria Math"/>
          </w:rPr>
          <m:t>=12.45</m:t>
        </m:r>
      </m:oMath>
      <w:r>
        <w:t xml:space="preserve">, 95% CI </w:t>
      </w:r>
      <m:oMath>
        <m:r>
          <w:rPr>
            <w:rFonts w:ascii="Cambria Math" w:hAnsi="Cambria Math"/>
          </w:rPr>
          <m:t>[5.21</m:t>
        </m:r>
      </m:oMath>
      <w:r>
        <w:t xml:space="preserve">, </w:t>
      </w:r>
      <m:oMath>
        <m:r>
          <w:rPr>
            <w:rFonts w:ascii="Cambria Math" w:hAnsi="Cambria Math"/>
          </w:rPr>
          <m:t>19.69]</m:t>
        </m:r>
      </m:oMath>
      <w:r>
        <w:t xml:space="preserve">, </w:t>
      </w:r>
      <m:oMath>
        <m:r>
          <w:rPr>
            <w:rFonts w:ascii="Cambria Math" w:hAnsi="Cambria Math"/>
          </w:rPr>
          <m:t>t</m:t>
        </m:r>
        <m:r>
          <w:rPr>
            <w:rFonts w:ascii="Cambria Math" w:hAnsi="Cambria Math"/>
          </w:rPr>
          <m:t>(82)=3.42</m:t>
        </m:r>
      </m:oMath>
      <w:r>
        <w:t xml:space="preserve">, </w:t>
      </w:r>
      <m:oMath>
        <m:r>
          <w:rPr>
            <w:rFonts w:ascii="Cambria Math" w:hAnsi="Cambria Math"/>
          </w:rPr>
          <m:t>p</m:t>
        </m:r>
        <m:r>
          <w:rPr>
            <w:rFonts w:ascii="Cambria Math" w:hAnsi="Cambria Math"/>
          </w:rPr>
          <m:t>=.001</m:t>
        </m:r>
      </m:oMath>
      <w:r>
        <w:t>).</w:t>
      </w:r>
    </w:p>
    <w:p w:rsidR="00AE4836" w:rsidRDefault="002B6CE9">
      <w:pPr>
        <w:pStyle w:val="Heading1"/>
      </w:pPr>
      <w:bookmarkStart w:id="18" w:name="discussion"/>
      <w:r>
        <w:t>4</w:t>
      </w:r>
      <w:r>
        <w:tab/>
        <w:t>Discussion</w:t>
      </w:r>
      <w:bookmarkEnd w:id="18"/>
    </w:p>
    <w:p w:rsidR="00AE4836" w:rsidRDefault="002B6CE9">
      <w:pPr>
        <w:pStyle w:val="FirstParagraph"/>
      </w:pPr>
      <w:r>
        <w:t>Deciding that an item is absent requires counterfactual thinking, in the form of ‘I would have seen it if it was present’. In some cases, it is immediately clear that an hypothet</w:t>
      </w:r>
      <w:r>
        <w:t xml:space="preserve">ical target </w:t>
      </w:r>
      <w:r>
        <w:lastRenderedPageBreak/>
        <w:t>would have been detected (such as when searching for a red item, but seeing only blue items), and in other cases more deliberate searching is needed until this belief can be held with confidence (such as when searching for a conjunction of feat</w:t>
      </w:r>
      <w:r>
        <w:t>ures, for example colour and shape). Here we sought to determine the origins of this metacognitive knowledge that allows participants to conclude that a target would be found immediately in the first case, but not in the second. Specifically, we asked if t</w:t>
      </w:r>
      <w:r>
        <w:t>his knowledge depends on task experience (such that with time, participants learn that some searches are easier than others), or alternatively, whether it is available already in the first trials of the experiment.</w:t>
      </w:r>
    </w:p>
    <w:p w:rsidR="00AE4836" w:rsidRDefault="002B6CE9">
      <w:pPr>
        <w:pStyle w:val="BodyText"/>
      </w:pPr>
      <w:r>
        <w:t>Previous studies of search termination have focused on the calibration of a quitting strategy over long chains of similar trials. For example, in a seminal study by Chun and Wolfe (1996), participants decreased their activation threshold (the necessary act</w:t>
      </w:r>
      <w:r>
        <w:t>ivation for an item to be scanned) following misses, but increased the threshold following correct rejections. This calibration mechanism critically depended on two features of the experimental design: a large number of similar trials, and explicit feedbac</w:t>
      </w:r>
      <w:r>
        <w:t xml:space="preserve">k about accuracy. Similarly, in a multi-session perceptual training study by Ellison and Walsh (1998), response times became faster over sessions, and search slopes for conjunction search became shallower. In more recent studies, participants were able to </w:t>
      </w:r>
      <w:r>
        <w:t>learn statistical regularities in spatial position (Moorselaar &amp; Slagter, 2019) and visual features (Moorselaar, Lampers, Cordesius, &amp; Slagter, 2020) of distractor stimuli in a visual search task, and to use this information for making faster responses. Th</w:t>
      </w:r>
      <w:r>
        <w:t>ese studies revealed important mechanisms by which task experience can affect visual search behaviour, but they left open the question of what guides search termination in the absence of any task experience. Our zero-shot search termination paradigm reveal</w:t>
      </w:r>
      <w:r>
        <w:t>ed that some knowledge about search efficiency is available to participants already in the first trials of the experiment, before engaging with the task or knowing what distractors to expect.</w:t>
      </w:r>
    </w:p>
    <w:p w:rsidR="00AE4836" w:rsidRDefault="002B6CE9">
      <w:pPr>
        <w:pStyle w:val="BodyText"/>
      </w:pPr>
      <w:r>
        <w:lastRenderedPageBreak/>
        <w:t>In two experiments, no prior experience with color or shape pop-</w:t>
      </w:r>
      <w:r>
        <w:t>out in previous trials was needed for participants to be able to terminate the search early when a target was absent. Participants were sensitive to the counterfactual likelihood of detecting a hypothetical target even in the first trials of the experiment</w:t>
      </w:r>
      <w:r>
        <w:t>, suggesting that metacognitive knowledge about visual attention (e.g., ‘red pops out’, or ‘a dot would catch my attention’) is available to guide zero-shot search termination. In Experiment 2, we find that some of this knowledge is represented explicitly,</w:t>
      </w:r>
      <w:r>
        <w:t xml:space="preserve"> as expressed in participants’ ordering of visual search arrays by difficulty. However, focusing on participants with erroneous metacognitive beliefs about search efficiency, we find that explicit metacognitive knowledge is not a necessary condition for ef</w:t>
      </w:r>
      <w:r>
        <w:t>ficient search termination. More broadly, this finding indicates a functional dissociation between explicit and implicit metacognitive knowledge.</w:t>
      </w:r>
    </w:p>
    <w:p w:rsidR="00AE4836" w:rsidRDefault="002B6CE9">
      <w:pPr>
        <w:pStyle w:val="Heading2"/>
      </w:pPr>
      <w:bookmarkStart w:id="19" w:name="Xe8a4739e71209e03335b8803f92c2290f9deebf"/>
      <w:r>
        <w:t>4.1</w:t>
      </w:r>
      <w:r>
        <w:tab/>
        <w:t>Is implicit metacognitive knowledge metacognitive?</w:t>
      </w:r>
      <w:bookmarkEnd w:id="19"/>
    </w:p>
    <w:p w:rsidR="00AE4836" w:rsidRDefault="002B6CE9">
      <w:pPr>
        <w:pStyle w:val="FirstParagraph"/>
      </w:pPr>
      <w:r>
        <w:t>In this study we assumed that efficient search terminat</w:t>
      </w:r>
      <w:r>
        <w:t>ion is impossible without accurate metacognitive knowledge about search difficulty. We base this conjecture on our conceptual analysis of inference about absence: in order to represent something as absent, one must know that they would have detected it had</w:t>
      </w:r>
      <w:r>
        <w:t xml:space="preserve"> it been present (Mazor &amp; Fleming, 2020). Alternative approaches to visual search assume that the absence of a stimulus can sometimes be perceived directly, without alluding to any metacognitive beliefs or counterfactual thinking. For example, ensemble per</w:t>
      </w:r>
      <w:r>
        <w:t>ception allows observers to extract summary statistical information from sets of similar stimuli, without directly perceiving every single stimulus (Whitney &amp; Yamanashi Leib, 2018). According to one alternative explanation of our results, if participants i</w:t>
      </w:r>
      <w:r>
        <w:t xml:space="preserve">mmediately perceive that the search array is all blue, they might not need to rely on any counterfactual thinking or self-knowledge to conclude that no red item was present. Similarly, when searching </w:t>
      </w:r>
      <w:r>
        <w:lastRenderedPageBreak/>
        <w:t>for a red dot, there is no need to serially scan a searc</w:t>
      </w:r>
      <w:r>
        <w:t>h array if it is immediately perceived as comprising only squares.</w:t>
      </w:r>
    </w:p>
    <w:p w:rsidR="00AE4836" w:rsidRDefault="002B6CE9">
      <w:pPr>
        <w:pStyle w:val="BodyText"/>
      </w:pPr>
      <w:r>
        <w:t>When contrasting this alternative account with our counterfactual model, it is useful to ask how does the visual system extract ensemble properties from sets of objects. For the global stat</w:t>
      </w:r>
      <w:r>
        <w:t>istical property ‘the array comprises only squares’ to be extracted from a display without representing individual squares, the visual system must represent, explicitly or implicitly, that a non-square item would have been detected if present. This represe</w:t>
      </w:r>
      <w:r>
        <w:t>ntation can be implemented, for example, as a threshold on curvature-sensitive neurons (‘a round object would have induced a higher firing rate in this neuron population’), or more generally as a likelihood function going from polygons to firing patterns (</w:t>
      </w:r>
      <w:r>
        <w:t>‘The perceived input is most likely under a world state where the display includes polygons only’). Even within the ensemble perception framework, inference about the absence of items must be based on some form of meta-level knowledge about the cognitive a</w:t>
      </w:r>
      <w:r>
        <w:t>nd perceptual systems. The fact that attention may not be required for ensemble perception (Hochstein, Pavlovskaya, Bonneh, &amp; Soroker, 2015) can inform and constrain our theories of where this meta-level knowledge is represented in the cognitive hierarchy,</w:t>
      </w:r>
      <w:r>
        <w:t xml:space="preserve"> but it does not, by itself, weigh on the question of whether this is indeed metacognitive knowledge.</w:t>
      </w:r>
    </w:p>
    <w:p w:rsidR="00AE4836" w:rsidRDefault="002B6CE9">
      <w:pPr>
        <w:pStyle w:val="BodyText"/>
      </w:pPr>
      <w:r>
        <w:t>We note here that it not a prerequisite that metacognitive knowledge be accessible to consciousness. Metacognitive knowledge was originally assumed by Fla</w:t>
      </w:r>
      <w:r>
        <w:t xml:space="preserve">vell (1979) to mostly affect cognition without accessing consciousness at all (i.e. without inducing a ‘metacognitive experience’). Different aspects of metacognition monitoring, including an immediate </w:t>
      </w:r>
      <w:r>
        <w:rPr>
          <w:i/>
        </w:rPr>
        <w:t>Feeling of Knowing</w:t>
      </w:r>
      <w:r>
        <w:t xml:space="preserve"> when presented with a problem, have</w:t>
      </w:r>
      <w:r>
        <w:t xml:space="preserve"> been attributed to implicit metacognitive mechanisms that share a conceptual similarity with the ones described in the previous paragraph (Reder &amp; Schunn, 1996). More relevant to visual search, a schematic model of attention has been </w:t>
      </w:r>
      <w:r>
        <w:lastRenderedPageBreak/>
        <w:t>suggested to be imple</w:t>
      </w:r>
      <w:r>
        <w:t xml:space="preserve">mented in the brains of many animal species, including all mammals and birds, and to facilitate attention control and monitoring (Graziano, 2013). This </w:t>
      </w:r>
      <w:r>
        <w:rPr>
          <w:i/>
        </w:rPr>
        <w:t>Attention Schema</w:t>
      </w:r>
      <w:r>
        <w:t xml:space="preserve"> is metacognitive in the sense that it reflects self knowledge about one’s own attention</w:t>
      </w:r>
      <w:r>
        <w:t>. This kind of implicit metacognitive knowledge may be crucial for extracting ensemble statistics from displays, and for representing the absence of objects.</w:t>
      </w:r>
    </w:p>
    <w:p w:rsidR="00AE4836" w:rsidRDefault="002B6CE9">
      <w:pPr>
        <w:pStyle w:val="Heading2"/>
      </w:pPr>
      <w:bookmarkStart w:id="20" w:name="Xc6de3154d8788dc89baed11ba90bbf96e72d109"/>
      <w:r>
        <w:t>4.2</w:t>
      </w:r>
      <w:r>
        <w:tab/>
        <w:t>Inference about absence as a tool for studying implicit self knowledge</w:t>
      </w:r>
      <w:bookmarkEnd w:id="20"/>
    </w:p>
    <w:p w:rsidR="00AE4836" w:rsidRDefault="002B6CE9">
      <w:pPr>
        <w:pStyle w:val="FirstParagraph"/>
      </w:pPr>
      <w:r>
        <w:t>Participants’ early qui</w:t>
      </w:r>
      <w:r>
        <w:t>tting in target-absence feature searches taught us something about implicit self-knowledge. This is not a coincidence, but an example of a general principle: inference about absence critically relies on self-knowledge not only in visual search (‘If a targe</w:t>
      </w:r>
      <w:r>
        <w:t>t was present, I would have found it’) but also in near-threshold detection (‘If a stimulus was present, I would have noticed it’), recognition memory (‘If this item was in the study list, I would have remembered it’), and problem-solving (‘If a solution t</w:t>
      </w:r>
      <w:r>
        <w:t>o this problem was present, I would have come up with it’). This makes inference about absence an important tool for studying implicit self-knowledge in a range of domains without relying on explicit metacognitive reports. For example, in the context of re</w:t>
      </w:r>
      <w:r>
        <w:t>cognition memory, items that are most likely to be remembered are also the ones that are most likely to be correctly rejected as foils when new. This ‘mirror effect’ (Brown, Lewis, &amp; Monk, 1977) conceptually resembles the alignment of feature-present and f</w:t>
      </w:r>
      <w:r>
        <w:t xml:space="preserve">eature-absent search times across items and visual dimensions in visual search: if a target is found easily within a set of distractors </w:t>
      </w:r>
      <w:r>
        <w:rPr>
          <w:i/>
        </w:rPr>
        <w:t>S</w:t>
      </w:r>
      <w:r>
        <w:t xml:space="preserve">, it would also be easy to conclude that a target is absent if </w:t>
      </w:r>
      <w:r>
        <w:rPr>
          <w:i/>
        </w:rPr>
        <w:t>S</w:t>
      </w:r>
      <w:r>
        <w:t xml:space="preserve"> is presented without the target in it. Just as in the </w:t>
      </w:r>
      <w:r>
        <w:t>study of visual search, previous studies of the mirror effect adopted a typical many subjects/few trials designs (e.g., Brown et al., 1977; Glanzer &amp; Adams, 1985; Greene &amp; Thapar, 1994). By generalizing the approach we have taken here to implicit metacogni</w:t>
      </w:r>
      <w:r>
        <w:t xml:space="preserve">tive knowledge of memory, future </w:t>
      </w:r>
      <w:r>
        <w:rPr>
          <w:i/>
        </w:rPr>
        <w:t>Zero-shot negative recognition</w:t>
      </w:r>
      <w:r>
        <w:t xml:space="preserve"> </w:t>
      </w:r>
      <w:r>
        <w:lastRenderedPageBreak/>
        <w:t>experiments could ask whether the self knowledge that gives rise to the mirror effect is also available prior to engaging with the task.</w:t>
      </w:r>
    </w:p>
    <w:p w:rsidR="00AE4836" w:rsidRDefault="002B6CE9">
      <w:pPr>
        <w:pStyle w:val="Heading2"/>
      </w:pPr>
      <w:bookmarkStart w:id="21" w:name="conclusion"/>
      <w:r>
        <w:t>4.3</w:t>
      </w:r>
      <w:r>
        <w:tab/>
        <w:t>Conclusion</w:t>
      </w:r>
      <w:bookmarkEnd w:id="21"/>
    </w:p>
    <w:p w:rsidR="00AE4836" w:rsidRDefault="002B6CE9">
      <w:pPr>
        <w:pStyle w:val="FirstParagraph"/>
      </w:pPr>
      <w:r>
        <w:t>Search termination in the first few tria</w:t>
      </w:r>
      <w:r>
        <w:t>ls of an experiment (zero shot search termination) showed the same qualitative response time pattern as that commonly found in typical (few subjects/many trials) visual search experiments. Given that no target was present in these trials, participants must</w:t>
      </w:r>
      <w:r>
        <w:t xml:space="preserve"> have been sensitive to the counterfactual likelihood of them finding the target, had it been present. In Experiment 2 we showed that this metacognitive knowledge about search difficulty was often accessible to report, but that this was not a necessary con</w:t>
      </w:r>
      <w:r>
        <w:t>dition for efficient search termination. We interpret our results as indicating a dissociation between implicit and explicit metacognitive knowledge, with the former having a particularly influential role in inference about absence.</w:t>
      </w:r>
    </w:p>
    <w:p w:rsidR="00AE4836" w:rsidRDefault="002B6CE9">
      <w:pPr>
        <w:pStyle w:val="Heading1"/>
      </w:pPr>
      <w:bookmarkStart w:id="22" w:name="references"/>
      <w:r>
        <w:t>5</w:t>
      </w:r>
      <w:r>
        <w:tab/>
        <w:t>References</w:t>
      </w:r>
      <w:bookmarkEnd w:id="22"/>
    </w:p>
    <w:p w:rsidR="00AE4836" w:rsidRDefault="002B6CE9">
      <w:pPr>
        <w:pStyle w:val="Bibliography"/>
      </w:pPr>
      <w:bookmarkStart w:id="23" w:name="ref-R-papaja"/>
      <w:bookmarkStart w:id="24" w:name="refs"/>
      <w:r>
        <w:t xml:space="preserve">Aust, F., </w:t>
      </w:r>
      <w:r>
        <w:t xml:space="preserve">&amp; Barth, M. (2020). </w:t>
      </w:r>
      <w:r>
        <w:rPr>
          <w:i/>
        </w:rPr>
        <w:t>papaja: Create APA manuscripts with R Markdown</w:t>
      </w:r>
      <w:r>
        <w:t xml:space="preserve">. Retrieved from </w:t>
      </w:r>
      <w:hyperlink r:id="rId17">
        <w:r>
          <w:rPr>
            <w:rStyle w:val="Hyperlink"/>
          </w:rPr>
          <w:t>https://github.com/crsh/papaja</w:t>
        </w:r>
      </w:hyperlink>
    </w:p>
    <w:p w:rsidR="00AE4836" w:rsidRDefault="002B6CE9">
      <w:pPr>
        <w:pStyle w:val="Bibliography"/>
      </w:pPr>
      <w:bookmarkStart w:id="25" w:name="ref-brown1977memorability"/>
      <w:bookmarkEnd w:id="23"/>
      <w:r>
        <w:t>Brown, J., Lewis, V., &amp; Monk, A. (1977). Memorability, word frequency and negative recogniti</w:t>
      </w:r>
      <w:r>
        <w:t xml:space="preserve">on. </w:t>
      </w:r>
      <w:r>
        <w:rPr>
          <w:i/>
        </w:rPr>
        <w:t>The Quarterly Journal of Experimental Psychology</w:t>
      </w:r>
      <w:r>
        <w:t xml:space="preserve">, </w:t>
      </w:r>
      <w:r>
        <w:rPr>
          <w:i/>
        </w:rPr>
        <w:t>29</w:t>
      </w:r>
      <w:r>
        <w:t>(3), 461–473.</w:t>
      </w:r>
    </w:p>
    <w:p w:rsidR="00AE4836" w:rsidRDefault="002B6CE9">
      <w:pPr>
        <w:pStyle w:val="Bibliography"/>
      </w:pPr>
      <w:bookmarkStart w:id="26" w:name="ref-R-pwr"/>
      <w:bookmarkEnd w:id="25"/>
      <w:r>
        <w:t xml:space="preserve">Champely, S. (2020). </w:t>
      </w:r>
      <w:r>
        <w:rPr>
          <w:i/>
        </w:rPr>
        <w:t>Pwr: Basic functions for power analysis</w:t>
      </w:r>
      <w:r>
        <w:t xml:space="preserve">. Retrieved from </w:t>
      </w:r>
      <w:hyperlink r:id="rId18">
        <w:r>
          <w:rPr>
            <w:rStyle w:val="Hyperlink"/>
          </w:rPr>
          <w:t>https://CRAN.R-project.org/package=pwr</w:t>
        </w:r>
      </w:hyperlink>
    </w:p>
    <w:p w:rsidR="00AE4836" w:rsidRDefault="002B6CE9">
      <w:pPr>
        <w:pStyle w:val="Bibliography"/>
      </w:pPr>
      <w:bookmarkStart w:id="27" w:name="ref-chun1996just"/>
      <w:bookmarkEnd w:id="26"/>
      <w:r>
        <w:t>Chun, M. M.,</w:t>
      </w:r>
      <w:r>
        <w:t xml:space="preserve"> &amp; Wolfe, J. M. (1996). Just say no: How are visual searches terminated when there is no target present? </w:t>
      </w:r>
      <w:r>
        <w:rPr>
          <w:i/>
        </w:rPr>
        <w:t>Cognitive Psychology</w:t>
      </w:r>
      <w:r>
        <w:t xml:space="preserve">, </w:t>
      </w:r>
      <w:r>
        <w:rPr>
          <w:i/>
        </w:rPr>
        <w:t>30</w:t>
      </w:r>
      <w:r>
        <w:t>(1), 39–78.</w:t>
      </w:r>
    </w:p>
    <w:p w:rsidR="00AE4836" w:rsidRDefault="002B6CE9">
      <w:pPr>
        <w:pStyle w:val="Bibliography"/>
      </w:pPr>
      <w:bookmarkStart w:id="28" w:name="ref-d1991color"/>
      <w:bookmarkEnd w:id="27"/>
      <w:r>
        <w:lastRenderedPageBreak/>
        <w:t xml:space="preserve">D’Zmura, M. (1991). Color in visual search. </w:t>
      </w:r>
      <w:r>
        <w:rPr>
          <w:i/>
        </w:rPr>
        <w:t>Vision Research</w:t>
      </w:r>
      <w:r>
        <w:t xml:space="preserve">, </w:t>
      </w:r>
      <w:r>
        <w:rPr>
          <w:i/>
        </w:rPr>
        <w:t>31</w:t>
      </w:r>
      <w:r>
        <w:t>(6), 951–966.</w:t>
      </w:r>
    </w:p>
    <w:p w:rsidR="00AE4836" w:rsidRDefault="002B6CE9">
      <w:pPr>
        <w:pStyle w:val="Bibliography"/>
      </w:pPr>
      <w:bookmarkStart w:id="29" w:name="ref-R-MESS"/>
      <w:bookmarkEnd w:id="28"/>
      <w:r>
        <w:t xml:space="preserve">Ekstrøm, C. T. (2019). </w:t>
      </w:r>
      <w:r>
        <w:rPr>
          <w:i/>
        </w:rPr>
        <w:t>MESS: Miscellaneous esoteric statistical scripts</w:t>
      </w:r>
      <w:r>
        <w:t xml:space="preserve">. Retrieved from </w:t>
      </w:r>
      <w:hyperlink r:id="rId19">
        <w:r>
          <w:rPr>
            <w:rStyle w:val="Hyperlink"/>
          </w:rPr>
          <w:t>https://CRAN.R-project.org/package=MESS</w:t>
        </w:r>
      </w:hyperlink>
    </w:p>
    <w:p w:rsidR="00AE4836" w:rsidRDefault="002B6CE9">
      <w:pPr>
        <w:pStyle w:val="Bibliography"/>
      </w:pPr>
      <w:bookmarkStart w:id="30" w:name="ref-ellison1998perceptual"/>
      <w:bookmarkEnd w:id="29"/>
      <w:r>
        <w:t>Ellison, A., &amp; Walsh, V. (1998). Perceptual learning in visual search: Some evidence of spec</w:t>
      </w:r>
      <w:r>
        <w:t xml:space="preserve">ificities. </w:t>
      </w:r>
      <w:r>
        <w:rPr>
          <w:i/>
        </w:rPr>
        <w:t>Vision Research</w:t>
      </w:r>
      <w:r>
        <w:t xml:space="preserve">, </w:t>
      </w:r>
      <w:r>
        <w:rPr>
          <w:i/>
        </w:rPr>
        <w:t>38</w:t>
      </w:r>
      <w:r>
        <w:t>(3), 333–345.</w:t>
      </w:r>
    </w:p>
    <w:p w:rsidR="00AE4836" w:rsidRDefault="002B6CE9">
      <w:pPr>
        <w:pStyle w:val="Bibliography"/>
      </w:pPr>
      <w:bookmarkStart w:id="31" w:name="ref-flavell1979metacognition"/>
      <w:bookmarkEnd w:id="30"/>
      <w:r>
        <w:t xml:space="preserve">Flavell, J. H. (1979). Metacognition and cognitive monitoring: A new area of cognitive–developmental inquiry. </w:t>
      </w:r>
      <w:r>
        <w:rPr>
          <w:i/>
        </w:rPr>
        <w:t>American Psychologist</w:t>
      </w:r>
      <w:r>
        <w:t xml:space="preserve">, </w:t>
      </w:r>
      <w:r>
        <w:rPr>
          <w:i/>
        </w:rPr>
        <w:t>34</w:t>
      </w:r>
      <w:r>
        <w:t>(10), 906.</w:t>
      </w:r>
    </w:p>
    <w:p w:rsidR="00AE4836" w:rsidRDefault="002B6CE9">
      <w:pPr>
        <w:pStyle w:val="Bibliography"/>
      </w:pPr>
      <w:bookmarkStart w:id="32" w:name="ref-glanzer1985mirror"/>
      <w:bookmarkEnd w:id="31"/>
      <w:r>
        <w:t>Glanzer, M., &amp; Adams, J. K. (1985). The mirror effect in recogniti</w:t>
      </w:r>
      <w:r>
        <w:t xml:space="preserve">on memory. </w:t>
      </w:r>
      <w:r>
        <w:rPr>
          <w:i/>
        </w:rPr>
        <w:t>Memory &amp; Cognition</w:t>
      </w:r>
      <w:r>
        <w:t xml:space="preserve">, </w:t>
      </w:r>
      <w:r>
        <w:rPr>
          <w:i/>
        </w:rPr>
        <w:t>13</w:t>
      </w:r>
      <w:r>
        <w:t>(1), 8–20.</w:t>
      </w:r>
    </w:p>
    <w:p w:rsidR="00AE4836" w:rsidRDefault="002B6CE9">
      <w:pPr>
        <w:pStyle w:val="Bibliography"/>
      </w:pPr>
      <w:bookmarkStart w:id="33" w:name="ref-graziano2013consciousness"/>
      <w:bookmarkEnd w:id="32"/>
      <w:r>
        <w:t xml:space="preserve">Graziano, M. S. (2013). </w:t>
      </w:r>
      <w:r>
        <w:rPr>
          <w:i/>
        </w:rPr>
        <w:t>Consciousness and the social brain</w:t>
      </w:r>
      <w:r>
        <w:t>. Oxford University Press.</w:t>
      </w:r>
    </w:p>
    <w:p w:rsidR="00AE4836" w:rsidRDefault="002B6CE9">
      <w:pPr>
        <w:pStyle w:val="Bibliography"/>
      </w:pPr>
      <w:bookmarkStart w:id="34" w:name="ref-greene1994mirror"/>
      <w:bookmarkEnd w:id="33"/>
      <w:r>
        <w:t xml:space="preserve">Greene, R. L., &amp; Thapar, A. (1994). Mirror effect in frequency discrimination. </w:t>
      </w:r>
      <w:r>
        <w:rPr>
          <w:i/>
        </w:rPr>
        <w:t>Journal of Experimental Psychology: Learning, Me</w:t>
      </w:r>
      <w:r>
        <w:rPr>
          <w:i/>
        </w:rPr>
        <w:t>mory, and Cognition</w:t>
      </w:r>
      <w:r>
        <w:t xml:space="preserve">, </w:t>
      </w:r>
      <w:r>
        <w:rPr>
          <w:i/>
        </w:rPr>
        <w:t>20</w:t>
      </w:r>
      <w:r>
        <w:t>(4), 946.</w:t>
      </w:r>
    </w:p>
    <w:p w:rsidR="00AE4836" w:rsidRDefault="002B6CE9">
      <w:pPr>
        <w:pStyle w:val="Bibliography"/>
      </w:pPr>
      <w:bookmarkStart w:id="35" w:name="ref-hochstein2015global"/>
      <w:bookmarkEnd w:id="34"/>
      <w:r>
        <w:t xml:space="preserve">Hochstein, S., Pavlovskaya, M., Bonneh, Y. S., &amp; Soroker, N. (2015). Global statistics are not neglected. </w:t>
      </w:r>
      <w:r>
        <w:rPr>
          <w:i/>
        </w:rPr>
        <w:t>Journal of Vision</w:t>
      </w:r>
      <w:r>
        <w:t xml:space="preserve">, </w:t>
      </w:r>
      <w:r>
        <w:rPr>
          <w:i/>
        </w:rPr>
        <w:t>15</w:t>
      </w:r>
      <w:r>
        <w:t>(4), 7–7.</w:t>
      </w:r>
    </w:p>
    <w:p w:rsidR="00AE4836" w:rsidRDefault="002B6CE9">
      <w:pPr>
        <w:pStyle w:val="Bibliography"/>
      </w:pPr>
      <w:bookmarkStart w:id="36" w:name="ref-hulleman2017impending"/>
      <w:bookmarkEnd w:id="35"/>
      <w:r>
        <w:t>Hulleman, J., &amp; Olivers, C. N. (2017). The impending demise of the item in visual sear</w:t>
      </w:r>
      <w:r>
        <w:t xml:space="preserve">ch. </w:t>
      </w:r>
      <w:r>
        <w:rPr>
          <w:i/>
        </w:rPr>
        <w:t>Behavioral and Brain Sciences</w:t>
      </w:r>
      <w:r>
        <w:t xml:space="preserve">, </w:t>
      </w:r>
      <w:r>
        <w:rPr>
          <w:i/>
        </w:rPr>
        <w:t>40</w:t>
      </w:r>
      <w:r>
        <w:t>.</w:t>
      </w:r>
    </w:p>
    <w:p w:rsidR="00AE4836" w:rsidRDefault="002B6CE9">
      <w:pPr>
        <w:pStyle w:val="Bibliography"/>
      </w:pPr>
      <w:bookmarkStart w:id="37" w:name="ref-mayo2018statistical"/>
      <w:bookmarkEnd w:id="36"/>
      <w:r>
        <w:t xml:space="preserve">Mayo, D. G. (2018). </w:t>
      </w:r>
      <w:r>
        <w:rPr>
          <w:i/>
        </w:rPr>
        <w:t>Statistical inference as severe testing</w:t>
      </w:r>
      <w:r>
        <w:t>. Cambridge: Cambridge University Press.</w:t>
      </w:r>
    </w:p>
    <w:p w:rsidR="00AE4836" w:rsidRDefault="002B6CE9">
      <w:pPr>
        <w:pStyle w:val="Bibliography"/>
      </w:pPr>
      <w:bookmarkStart w:id="38" w:name="ref-mazor2020distinguishing"/>
      <w:bookmarkEnd w:id="37"/>
      <w:r>
        <w:t xml:space="preserve">Mazor, M., &amp; Fleming, S. M. (2020). Distinguishing absence of awareness from awareness of absence. </w:t>
      </w:r>
      <w:r>
        <w:rPr>
          <w:i/>
        </w:rPr>
        <w:t>Philosophy and the</w:t>
      </w:r>
      <w:r>
        <w:rPr>
          <w:i/>
        </w:rPr>
        <w:t xml:space="preserve"> Mind Sciences</w:t>
      </w:r>
      <w:r>
        <w:t xml:space="preserve">, </w:t>
      </w:r>
      <w:r>
        <w:rPr>
          <w:i/>
        </w:rPr>
        <w:t>1</w:t>
      </w:r>
      <w:r>
        <w:t>(II).</w:t>
      </w:r>
    </w:p>
    <w:p w:rsidR="00AE4836" w:rsidRDefault="002B6CE9">
      <w:pPr>
        <w:pStyle w:val="Bibliography"/>
      </w:pPr>
      <w:bookmarkStart w:id="39" w:name="ref-mazor2019novel"/>
      <w:bookmarkEnd w:id="38"/>
      <w:r>
        <w:lastRenderedPageBreak/>
        <w:t xml:space="preserve">Mazor, M., Mazor, N., &amp; Mukamel, R. (2019). A novel tool for time-locking study plans to results. </w:t>
      </w:r>
      <w:r>
        <w:rPr>
          <w:i/>
        </w:rPr>
        <w:t>European Journal of Neuroscience</w:t>
      </w:r>
      <w:r>
        <w:t xml:space="preserve">, </w:t>
      </w:r>
      <w:r>
        <w:rPr>
          <w:i/>
        </w:rPr>
        <w:t>49</w:t>
      </w:r>
      <w:r>
        <w:t>(9), 1149–1156.</w:t>
      </w:r>
    </w:p>
    <w:p w:rsidR="00AE4836" w:rsidRDefault="002B6CE9">
      <w:pPr>
        <w:pStyle w:val="Bibliography"/>
      </w:pPr>
      <w:bookmarkStart w:id="40" w:name="ref-van2020neural"/>
      <w:bookmarkEnd w:id="39"/>
      <w:r>
        <w:t>Moorselaar, D. van, Lampers, E., Cordesius, E., &amp; Slagter, H. A. (2020). Neural mec</w:t>
      </w:r>
      <w:r>
        <w:t xml:space="preserve">hanisms underlying expectation-dependent inhibition of distracting information. </w:t>
      </w:r>
      <w:r>
        <w:rPr>
          <w:i/>
        </w:rPr>
        <w:t>Elife</w:t>
      </w:r>
      <w:r>
        <w:t xml:space="preserve">, </w:t>
      </w:r>
      <w:r>
        <w:rPr>
          <w:i/>
        </w:rPr>
        <w:t>9</w:t>
      </w:r>
      <w:r>
        <w:t>, e61048.</w:t>
      </w:r>
    </w:p>
    <w:p w:rsidR="00AE4836" w:rsidRDefault="002B6CE9">
      <w:pPr>
        <w:pStyle w:val="Bibliography"/>
      </w:pPr>
      <w:bookmarkStart w:id="41" w:name="ref-van2019learning"/>
      <w:bookmarkEnd w:id="40"/>
      <w:r>
        <w:t xml:space="preserve">Moorselaar, D. van, &amp; Slagter, H. A. (2019). Learning what is irrelevant or relevant: Expectations facilitate distractor inhibition and target facilitation through distinct neural mechanisms. </w:t>
      </w:r>
      <w:r>
        <w:rPr>
          <w:i/>
        </w:rPr>
        <w:t>Journal of Neuroscience</w:t>
      </w:r>
      <w:r>
        <w:t xml:space="preserve">, </w:t>
      </w:r>
      <w:r>
        <w:rPr>
          <w:i/>
        </w:rPr>
        <w:t>39</w:t>
      </w:r>
      <w:r>
        <w:t>(35), 6953–6967.</w:t>
      </w:r>
    </w:p>
    <w:p w:rsidR="00AE4836" w:rsidRDefault="002B6CE9">
      <w:pPr>
        <w:pStyle w:val="Bibliography"/>
      </w:pPr>
      <w:bookmarkStart w:id="42" w:name="ref-moran2013competitive"/>
      <w:bookmarkEnd w:id="41"/>
      <w:r>
        <w:t>Moran, R., Zehetleit</w:t>
      </w:r>
      <w:r>
        <w:t xml:space="preserve">ner, M., Müller, H. J., &amp; Usher, M. (2013). Competitive guided search: Meeting the challenge of benchmark rt distributions. </w:t>
      </w:r>
      <w:r>
        <w:rPr>
          <w:i/>
        </w:rPr>
        <w:t>Journal of Vision</w:t>
      </w:r>
      <w:r>
        <w:t xml:space="preserve">, </w:t>
      </w:r>
      <w:r>
        <w:rPr>
          <w:i/>
        </w:rPr>
        <w:t>13</w:t>
      </w:r>
      <w:r>
        <w:t>(8), 24–24.</w:t>
      </w:r>
    </w:p>
    <w:p w:rsidR="00AE4836" w:rsidRDefault="002B6CE9">
      <w:pPr>
        <w:pStyle w:val="Bibliography"/>
      </w:pPr>
      <w:bookmarkStart w:id="43" w:name="ref-R-BayesFactor"/>
      <w:bookmarkEnd w:id="42"/>
      <w:r>
        <w:t xml:space="preserve">Morey, R. D., &amp; Rouder, J. N. (2018). </w:t>
      </w:r>
      <w:r>
        <w:rPr>
          <w:i/>
        </w:rPr>
        <w:t>BayesFactor: Computation of bayes factors for common designs</w:t>
      </w:r>
      <w:r>
        <w:t>.</w:t>
      </w:r>
      <w:r>
        <w:t xml:space="preserve"> Retrieved from </w:t>
      </w:r>
      <w:hyperlink r:id="rId20">
        <w:r>
          <w:rPr>
            <w:rStyle w:val="Hyperlink"/>
          </w:rPr>
          <w:t>https://CRAN.R-project.org/package=BayesFactor</w:t>
        </w:r>
      </w:hyperlink>
    </w:p>
    <w:p w:rsidR="00AE4836" w:rsidRDefault="002B6CE9">
      <w:pPr>
        <w:pStyle w:val="Bibliography"/>
      </w:pPr>
      <w:bookmarkStart w:id="44" w:name="ref-R-lsr"/>
      <w:bookmarkEnd w:id="43"/>
      <w:r>
        <w:t xml:space="preserve">Navarro, D. (2015). </w:t>
      </w:r>
      <w:r>
        <w:rPr>
          <w:i/>
        </w:rPr>
        <w:t>Learning statistics with r: A tutorial for psychology students and other beginners. (Version 0.5)</w:t>
      </w:r>
      <w:r>
        <w:t xml:space="preserve">. Adelaide, Australia: University of Adelaide. Retrieved from </w:t>
      </w:r>
      <w:hyperlink r:id="rId21">
        <w:r>
          <w:rPr>
            <w:rStyle w:val="Hyperlink"/>
          </w:rPr>
          <w:t>http://ua.edu.au/ccs/teaching/lsr</w:t>
        </w:r>
      </w:hyperlink>
    </w:p>
    <w:p w:rsidR="00AE4836" w:rsidRDefault="002B6CE9">
      <w:pPr>
        <w:pStyle w:val="Bibliography"/>
      </w:pPr>
      <w:bookmarkStart w:id="45" w:name="ref-R-jsonlite"/>
      <w:bookmarkEnd w:id="44"/>
      <w:r>
        <w:t xml:space="preserve">Ooms, J. (2014). The jsonlite package: A practical and consistent mapping between json data and r objects. </w:t>
      </w:r>
      <w:r>
        <w:rPr>
          <w:i/>
        </w:rPr>
        <w:t>arXiv:1403.2805 [stat.CO]</w:t>
      </w:r>
      <w:r>
        <w:t xml:space="preserve">. Retrieved from </w:t>
      </w:r>
      <w:hyperlink r:id="rId22">
        <w:r>
          <w:rPr>
            <w:rStyle w:val="Hyperlink"/>
          </w:rPr>
          <w:t>https://arxiv.org/abs/1403.2805</w:t>
        </w:r>
      </w:hyperlink>
    </w:p>
    <w:p w:rsidR="00AE4836" w:rsidRDefault="002B6CE9">
      <w:pPr>
        <w:pStyle w:val="Bibliography"/>
      </w:pPr>
      <w:bookmarkStart w:id="46" w:name="ref-R-base"/>
      <w:bookmarkEnd w:id="45"/>
      <w:r>
        <w:t xml:space="preserve">R Core Team. (2019). </w:t>
      </w:r>
      <w:r>
        <w:rPr>
          <w:i/>
        </w:rPr>
        <w:t>R: A language and environment for statistical computing</w:t>
      </w:r>
      <w:r>
        <w:t>. Vienna, Austria: R Foundation for Statistical Computi</w:t>
      </w:r>
      <w:r>
        <w:t xml:space="preserve">ng. Retrieved from </w:t>
      </w:r>
      <w:hyperlink r:id="rId23">
        <w:r>
          <w:rPr>
            <w:rStyle w:val="Hyperlink"/>
          </w:rPr>
          <w:t>https://www.R-project.org/</w:t>
        </w:r>
      </w:hyperlink>
    </w:p>
    <w:p w:rsidR="00AE4836" w:rsidRDefault="002B6CE9">
      <w:pPr>
        <w:pStyle w:val="Bibliography"/>
      </w:pPr>
      <w:bookmarkStart w:id="47" w:name="ref-reder1996metacognition"/>
      <w:bookmarkEnd w:id="46"/>
      <w:r>
        <w:t>Reder, L. M., &amp; Schunn, C. D. (1996). Metacognition does not imply awareness: Strategy choice is governed by implicit learning and memory.</w:t>
      </w:r>
    </w:p>
    <w:p w:rsidR="00AE4836" w:rsidRDefault="002B6CE9">
      <w:pPr>
        <w:pStyle w:val="Bibliography"/>
      </w:pPr>
      <w:bookmarkStart w:id="48" w:name="ref-treisman1980feature"/>
      <w:bookmarkEnd w:id="47"/>
      <w:r>
        <w:lastRenderedPageBreak/>
        <w:t>Treisman, A. M., &amp; Gelade</w:t>
      </w:r>
      <w:r>
        <w:t xml:space="preserve">, G. (1980). A feature-integration theory of attention. </w:t>
      </w:r>
      <w:r>
        <w:rPr>
          <w:i/>
        </w:rPr>
        <w:t>Cognitive Psychology</w:t>
      </w:r>
      <w:r>
        <w:t xml:space="preserve">, </w:t>
      </w:r>
      <w:r>
        <w:rPr>
          <w:i/>
        </w:rPr>
        <w:t>12</w:t>
      </w:r>
      <w:r>
        <w:t>(1), 97–136.</w:t>
      </w:r>
    </w:p>
    <w:p w:rsidR="00AE4836" w:rsidRDefault="002B6CE9">
      <w:pPr>
        <w:pStyle w:val="Bibliography"/>
      </w:pPr>
      <w:bookmarkStart w:id="49" w:name="ref-whitney2018ensemble"/>
      <w:bookmarkEnd w:id="48"/>
      <w:r>
        <w:t xml:space="preserve">Whitney, D., &amp; Yamanashi Leib, A. (2018). Ensemble perception. </w:t>
      </w:r>
      <w:r>
        <w:rPr>
          <w:i/>
        </w:rPr>
        <w:t>Annual Review of Psychology</w:t>
      </w:r>
      <w:r>
        <w:t xml:space="preserve">, </w:t>
      </w:r>
      <w:r>
        <w:rPr>
          <w:i/>
        </w:rPr>
        <w:t>69</w:t>
      </w:r>
      <w:r>
        <w:t>, 105–129.</w:t>
      </w:r>
    </w:p>
    <w:p w:rsidR="00AE4836" w:rsidRDefault="002B6CE9">
      <w:pPr>
        <w:pStyle w:val="Bibliography"/>
      </w:pPr>
      <w:bookmarkStart w:id="50" w:name="ref-R-ggplot2"/>
      <w:bookmarkEnd w:id="49"/>
      <w:r>
        <w:t xml:space="preserve">Wickham, H. (2016). </w:t>
      </w:r>
      <w:r>
        <w:rPr>
          <w:i/>
        </w:rPr>
        <w:t>Ggplot2: Elegant graphics for data ana</w:t>
      </w:r>
      <w:r>
        <w:rPr>
          <w:i/>
        </w:rPr>
        <w:t>lysis</w:t>
      </w:r>
      <w:r>
        <w:t xml:space="preserve">. Springer-Verlag New York. Retrieved from </w:t>
      </w:r>
      <w:hyperlink r:id="rId24">
        <w:r>
          <w:rPr>
            <w:rStyle w:val="Hyperlink"/>
          </w:rPr>
          <w:t>https://ggplot2.tidyverse.org</w:t>
        </w:r>
      </w:hyperlink>
    </w:p>
    <w:p w:rsidR="00AE4836" w:rsidRDefault="002B6CE9">
      <w:pPr>
        <w:pStyle w:val="Bibliography"/>
      </w:pPr>
      <w:bookmarkStart w:id="51" w:name="ref-R-dplyr"/>
      <w:bookmarkEnd w:id="50"/>
      <w:r>
        <w:t xml:space="preserve">Wickham, H., François, R., Henry, L., &amp; Müller, K. (2020). </w:t>
      </w:r>
      <w:r>
        <w:rPr>
          <w:i/>
        </w:rPr>
        <w:t>Dplyr: A grammar of data manipulation</w:t>
      </w:r>
      <w:r>
        <w:t xml:space="preserve">. Retrieved from </w:t>
      </w:r>
      <w:hyperlink r:id="rId25">
        <w:r>
          <w:rPr>
            <w:rStyle w:val="Hyperlink"/>
          </w:rPr>
          <w:t>https://CRAN.R-project.org/package=dplyr</w:t>
        </w:r>
      </w:hyperlink>
    </w:p>
    <w:p w:rsidR="00AE4836" w:rsidRDefault="002B6CE9">
      <w:pPr>
        <w:pStyle w:val="Bibliography"/>
      </w:pPr>
      <w:bookmarkStart w:id="52" w:name="ref-R-tidyr"/>
      <w:bookmarkEnd w:id="51"/>
      <w:r>
        <w:t xml:space="preserve">Wickham, H., &amp; Henry, L. (2020). </w:t>
      </w:r>
      <w:r>
        <w:rPr>
          <w:i/>
        </w:rPr>
        <w:t>Tidyr: Tidy messy data</w:t>
      </w:r>
      <w:r>
        <w:t xml:space="preserve">. Retrieved from </w:t>
      </w:r>
      <w:hyperlink r:id="rId26">
        <w:r>
          <w:rPr>
            <w:rStyle w:val="Hyperlink"/>
          </w:rPr>
          <w:t>https://CRAN.R-project.org/package=tidy</w:t>
        </w:r>
        <w:r>
          <w:rPr>
            <w:rStyle w:val="Hyperlink"/>
          </w:rPr>
          <w:t>r</w:t>
        </w:r>
      </w:hyperlink>
    </w:p>
    <w:p w:rsidR="00AE4836" w:rsidRDefault="002B6CE9">
      <w:pPr>
        <w:pStyle w:val="Bibliography"/>
      </w:pPr>
      <w:bookmarkStart w:id="53" w:name="ref-R-cowplot"/>
      <w:bookmarkEnd w:id="52"/>
      <w:r>
        <w:t xml:space="preserve">Wilke, C. O. (2019). </w:t>
      </w:r>
      <w:r>
        <w:rPr>
          <w:i/>
        </w:rPr>
        <w:t>Cowplot: Streamlined plot theme and plot annotations for ’ggplot2’</w:t>
      </w:r>
      <w:r>
        <w:t xml:space="preserve">. Retrieved from </w:t>
      </w:r>
      <w:hyperlink r:id="rId27">
        <w:r>
          <w:rPr>
            <w:rStyle w:val="Hyperlink"/>
          </w:rPr>
          <w:t>https://CRAN.R-project.org/package=cowplot</w:t>
        </w:r>
      </w:hyperlink>
    </w:p>
    <w:p w:rsidR="00AE4836" w:rsidRDefault="002B6CE9">
      <w:pPr>
        <w:pStyle w:val="Bibliography"/>
      </w:pPr>
      <w:bookmarkStart w:id="54" w:name="ref-wolfe2021guided"/>
      <w:bookmarkEnd w:id="53"/>
      <w:r>
        <w:t>Wolfe, J. (2021). Guided search 6.0: An updat</w:t>
      </w:r>
      <w:r>
        <w:t xml:space="preserve">ed model of visual search. </w:t>
      </w:r>
      <w:r>
        <w:rPr>
          <w:i/>
        </w:rPr>
        <w:t>Psychonomic Bulletin &amp; Review</w:t>
      </w:r>
      <w:r>
        <w:t>.</w:t>
      </w:r>
    </w:p>
    <w:p w:rsidR="00AE4836" w:rsidRDefault="002B6CE9">
      <w:pPr>
        <w:pStyle w:val="Bibliography"/>
      </w:pPr>
      <w:bookmarkStart w:id="55" w:name="ref-wolfe1994guided"/>
      <w:bookmarkEnd w:id="54"/>
      <w:r>
        <w:t xml:space="preserve">Wolfe, J. M. (1994). Guided search 2.0 a revised model of visual search. </w:t>
      </w:r>
      <w:r>
        <w:rPr>
          <w:i/>
        </w:rPr>
        <w:t>Psychonomic Bulletin &amp; Review</w:t>
      </w:r>
      <w:r>
        <w:t xml:space="preserve">, </w:t>
      </w:r>
      <w:r>
        <w:rPr>
          <w:i/>
        </w:rPr>
        <w:t>1</w:t>
      </w:r>
      <w:r>
        <w:t>(2), 202–238.</w:t>
      </w:r>
    </w:p>
    <w:p w:rsidR="00AE4836" w:rsidRDefault="002B6CE9">
      <w:pPr>
        <w:pStyle w:val="Bibliography"/>
      </w:pPr>
      <w:bookmarkStart w:id="56" w:name="ref-wolfe2007guided"/>
      <w:bookmarkEnd w:id="55"/>
      <w:r>
        <w:t xml:space="preserve">Wolfe, J. M., &amp; Gray, W. (2007). Guided search 4.0. </w:t>
      </w:r>
      <w:r>
        <w:rPr>
          <w:i/>
        </w:rPr>
        <w:t>Integrated Models of Cognit</w:t>
      </w:r>
      <w:r>
        <w:rPr>
          <w:i/>
        </w:rPr>
        <w:t>ive Systems</w:t>
      </w:r>
      <w:r>
        <w:t>, 99–119.</w:t>
      </w:r>
    </w:p>
    <w:p w:rsidR="00AE4836" w:rsidRDefault="002B6CE9">
      <w:pPr>
        <w:pStyle w:val="Bibliography"/>
      </w:pPr>
      <w:bookmarkStart w:id="57" w:name="ref-wolfe2017five"/>
      <w:bookmarkEnd w:id="56"/>
      <w:r>
        <w:t xml:space="preserve">Wolfe, J. M., &amp; Horowitz, T. S. (2017). Five factors that guide attention in visual search. </w:t>
      </w:r>
      <w:r>
        <w:rPr>
          <w:i/>
        </w:rPr>
        <w:t>Nature Human Behaviour</w:t>
      </w:r>
      <w:r>
        <w:t xml:space="preserve">, </w:t>
      </w:r>
      <w:r>
        <w:rPr>
          <w:i/>
        </w:rPr>
        <w:t>1</w:t>
      </w:r>
      <w:r>
        <w:t>(3), 1–8.</w:t>
      </w:r>
    </w:p>
    <w:p w:rsidR="00AE4836" w:rsidRDefault="002B6CE9">
      <w:pPr>
        <w:pStyle w:val="Bibliography"/>
      </w:pPr>
      <w:bookmarkStart w:id="58" w:name="ref-xian2017zero"/>
      <w:bookmarkEnd w:id="57"/>
      <w:r>
        <w:lastRenderedPageBreak/>
        <w:t xml:space="preserve">Xian, Y., Schiele, B., &amp; Akata, Z. (2017). Zero-shot learning-the good, the bad and the ugly. In </w:t>
      </w:r>
      <w:r>
        <w:rPr>
          <w:i/>
        </w:rPr>
        <w:t>Proceedings of the ieee conference on computer vision and pattern recognition</w:t>
      </w:r>
      <w:r>
        <w:t xml:space="preserve"> (pp. 4582–</w:t>
      </w:r>
      <w:bookmarkStart w:id="59" w:name="_GoBack"/>
      <w:bookmarkEnd w:id="59"/>
      <w:r>
        <w:t>4591).</w:t>
      </w:r>
      <w:bookmarkEnd w:id="24"/>
      <w:bookmarkEnd w:id="58"/>
    </w:p>
    <w:sectPr w:rsidR="00AE4836" w:rsidSect="00CB20D0">
      <w:headerReference w:type="even" r:id="rId28"/>
      <w:headerReference w:type="default" r:id="rId29"/>
      <w:headerReference w:type="first" r:id="rId3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CE9" w:rsidRDefault="002B6CE9">
      <w:pPr>
        <w:spacing w:before="0" w:after="0" w:line="240" w:lineRule="auto"/>
      </w:pPr>
      <w:r>
        <w:separator/>
      </w:r>
    </w:p>
  </w:endnote>
  <w:endnote w:type="continuationSeparator" w:id="0">
    <w:p w:rsidR="002B6CE9" w:rsidRDefault="002B6C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CE9" w:rsidRDefault="002B6CE9">
      <w:r>
        <w:separator/>
      </w:r>
    </w:p>
  </w:footnote>
  <w:footnote w:type="continuationSeparator" w:id="0">
    <w:p w:rsidR="002B6CE9" w:rsidRDefault="002B6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9259971"/>
      <w:docPartObj>
        <w:docPartGallery w:val="Page Numbers (Top of Page)"/>
        <w:docPartUnique/>
      </w:docPartObj>
    </w:sdtPr>
    <w:sdtEndPr>
      <w:rPr>
        <w:rStyle w:val="PageNumber"/>
      </w:rPr>
    </w:sdtEndPr>
    <w:sdtContent>
      <w:p w:rsidR="00AF36ED" w:rsidRDefault="002B6CE9"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2B6CE9"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22177194"/>
      <w:docPartObj>
        <w:docPartGallery w:val="Page Numbers (Top of Page)"/>
        <w:docPartUnique/>
      </w:docPartObj>
    </w:sdtPr>
    <w:sdtEndPr>
      <w:rPr>
        <w:rStyle w:val="PageNumber"/>
      </w:rPr>
    </w:sdtEndPr>
    <w:sdtContent>
      <w:p w:rsidR="00AF36ED" w:rsidRDefault="002B6CE9"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570CD">
          <w:rPr>
            <w:rStyle w:val="PageNumber"/>
            <w:noProof/>
          </w:rPr>
          <w:t>30</w:t>
        </w:r>
        <w:r>
          <w:rPr>
            <w:rStyle w:val="PageNumber"/>
          </w:rPr>
          <w:fldChar w:fldCharType="end"/>
        </w:r>
      </w:p>
    </w:sdtContent>
  </w:sdt>
  <w:p w:rsidR="00AF36ED" w:rsidRPr="00AF36ED" w:rsidRDefault="002B6CE9" w:rsidP="00572FF5">
    <w:pPr>
      <w:pStyle w:val="Header"/>
      <w:ind w:right="357"/>
      <w:rPr>
        <w:lang w:val="de-DE"/>
      </w:rPr>
    </w:pPr>
    <w:r w:rsidRPr="005036C4">
      <w:t>Zero-shot termination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3596050"/>
      <w:docPartObj>
        <w:docPartGallery w:val="Page Numbers (Top of Page)"/>
        <w:docPartUnique/>
      </w:docPartObj>
    </w:sdtPr>
    <w:sdtEndPr>
      <w:rPr>
        <w:rStyle w:val="PageNumber"/>
      </w:rPr>
    </w:sdtEndPr>
    <w:sdtContent>
      <w:p w:rsidR="00CB20D0" w:rsidRDefault="002B6CE9"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570CD">
          <w:rPr>
            <w:rStyle w:val="PageNumber"/>
            <w:noProof/>
          </w:rPr>
          <w:t>1</w:t>
        </w:r>
        <w:r>
          <w:rPr>
            <w:rStyle w:val="PageNumber"/>
          </w:rPr>
          <w:fldChar w:fldCharType="end"/>
        </w:r>
      </w:p>
    </w:sdtContent>
  </w:sdt>
  <w:p w:rsidR="00CB20D0" w:rsidRPr="00CB20D0" w:rsidRDefault="002B6CE9" w:rsidP="00CB20D0">
    <w:pPr>
      <w:pStyle w:val="Header"/>
      <w:ind w:right="357"/>
      <w:rPr>
        <w:lang w:val="de-DE"/>
      </w:rPr>
    </w:pPr>
    <w:r w:rsidRPr="005036C4">
      <w:t xml:space="preserve">Running head: Zero-shot </w:t>
    </w:r>
    <w:r w:rsidRPr="005036C4">
      <w:t>termination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533A"/>
    <w:rsid w:val="002B6CE9"/>
    <w:rsid w:val="004E29B3"/>
    <w:rsid w:val="00590D07"/>
    <w:rsid w:val="00784D58"/>
    <w:rsid w:val="008D6863"/>
    <w:rsid w:val="00AC4224"/>
    <w:rsid w:val="00AE4836"/>
    <w:rsid w:val="00B570C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B269"/>
  <w15:docId w15:val="{945C1455-4E2F-4252-B529-79DBDC63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yh82v/" TargetMode="External"/><Relationship Id="rId13" Type="http://schemas.openxmlformats.org/officeDocument/2006/relationships/image" Target="media/image3.png"/><Relationship Id="rId18" Type="http://schemas.openxmlformats.org/officeDocument/2006/relationships/hyperlink" Target="https://CRAN.R-project.org/package=pwr" TargetMode="External"/><Relationship Id="rId26" Type="http://schemas.openxmlformats.org/officeDocument/2006/relationships/hyperlink" Target="https://CRAN.R-project.org/package=tidyr" TargetMode="External"/><Relationship Id="rId3" Type="http://schemas.openxmlformats.org/officeDocument/2006/relationships/settings" Target="settings.xml"/><Relationship Id="rId21" Type="http://schemas.openxmlformats.org/officeDocument/2006/relationships/hyperlink" Target="http://ua.edu.au/ccs/teaching/lsr" TargetMode="External"/><Relationship Id="rId7" Type="http://schemas.openxmlformats.org/officeDocument/2006/relationships/hyperlink" Target="mailto:mtnmzor@gmail.com" TargetMode="External"/><Relationship Id="rId12" Type="http://schemas.openxmlformats.org/officeDocument/2006/relationships/image" Target="media/image2.png"/><Relationship Id="rId17" Type="http://schemas.openxmlformats.org/officeDocument/2006/relationships/hyperlink" Target="https://github.com/crsh/papaja" TargetMode="External"/><Relationship Id="rId25" Type="http://schemas.openxmlformats.org/officeDocument/2006/relationships/hyperlink" Target="https://CRAN.R-project.org/package=dplyr"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CRAN.R-project.org/package=BayesFactor"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ea385" TargetMode="External"/><Relationship Id="rId24" Type="http://schemas.openxmlformats.org/officeDocument/2006/relationships/hyperlink" Target="https://ggplot2.tidyverse.or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sf.io/v6mnb" TargetMode="External"/><Relationship Id="rId23" Type="http://schemas.openxmlformats.org/officeDocument/2006/relationships/hyperlink" Target="https://www.R-project.org/"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CRAN.R-project.org/package=MES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tanmazor.github.io/termination/experiments/demos/exp1/" TargetMode="External"/><Relationship Id="rId14" Type="http://schemas.openxmlformats.org/officeDocument/2006/relationships/hyperlink" Target="matanmazor.github.io/termination/experiments/demos/exp1/" TargetMode="External"/><Relationship Id="rId22" Type="http://schemas.openxmlformats.org/officeDocument/2006/relationships/hyperlink" Target="https://arxiv.org/abs/1403.2805" TargetMode="External"/><Relationship Id="rId27" Type="http://schemas.openxmlformats.org/officeDocument/2006/relationships/hyperlink" Target="https://CRAN.R-project.org/package=cowplot" TargetMode="Externa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7088</Words>
  <Characters>40406</Characters>
  <Application>Microsoft Office Word</Application>
  <DocSecurity>0</DocSecurity>
  <Lines>336</Lines>
  <Paragraphs>94</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47400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Zero-shot search termination reveals a dissociation between implicit and explicit metacognitive knowledge</dc:title>
  <dc:creator/>
  <cp:keywords/>
  <cp:lastModifiedBy>Matan Mazor</cp:lastModifiedBy>
  <cp:revision>4</cp:revision>
  <dcterms:created xsi:type="dcterms:W3CDTF">2021-02-24T14:07:00Z</dcterms:created>
  <dcterms:modified xsi:type="dcterms:W3CDTF">2021-02-24T14:12:00Z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C:\Users\mmazor\Documents\R\R-3.6.0\library\papaja\rmd\apa6.csl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Zero-shot termination</vt:lpwstr>
  </property>
  <property fmtid="{D5CDD505-2E9C-101B-9397-08002B2CF9AE}" pid="15" name="tablelist">
    <vt:lpwstr>no</vt:lpwstr>
  </property>
</Properties>
</file>