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Override PartName="/word/media/rId30.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 pre-registration document</w:t>
      </w:r>
    </w:p>
    <w:p>
      <w:pPr>
        <w:pStyle w:val="berschrift1"/>
      </w:pPr>
      <w:bookmarkStart w:id="21" w:name="methods"/>
      <w:r>
        <w:t xml:space="preserve">Methods</w:t>
      </w:r>
      <w:bookmarkEnd w:id="21"/>
    </w:p>
    <w:p>
      <w:pPr>
        <w:pStyle w:val="FirstParagraph"/>
      </w:pPr>
      <w:r>
        <w:t xml:space="preserve">We report how we determined our sample size, all data exclusions (if any), all manipulations, and all measures in the study.</w:t>
      </w:r>
      <w:r>
        <w:t xml:space="preserve"> </w:t>
      </w:r>
    </w:p>
    <w:p>
      <w:pPr>
        <w:pStyle w:val="berschrift2"/>
      </w:pPr>
      <w:bookmarkStart w:id="22" w:name="participants"/>
      <w:r>
        <w:t xml:space="preserve">Participants</w:t>
      </w:r>
      <w:bookmarkEnd w:id="22"/>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We collected data until we reached 320 included participants for each of our hypotheses (after applying our pre-registered exclusion criteria). The entire experiment took around 3 minutes to complete (median completion time in our pilot data: 3:06 minutes). Participants were paid £0.38 for their participation, equivalent to an hourly wage of £7.60.</w:t>
      </w:r>
    </w:p>
    <w:p>
      <w:pPr>
        <w:pStyle w:val="berschrift2"/>
      </w:pPr>
      <w:bookmarkStart w:id="23" w:name="procedure"/>
      <w:r>
        <w:t xml:space="preserve">Procedure</w:t>
      </w:r>
      <w:bookmarkEnd w:id="23"/>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4"/>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searched for a red circle among blue circles or a mixed array of blue circles and red squares. Set sizes was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5" w:name="randomization"/>
      <w:r>
        <w:t xml:space="preserve">Randomization.</w:t>
      </w:r>
      <w:bookmarkEnd w:id="25"/>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6" w:name="data-analysis"/>
      <w:r>
        <w:t xml:space="preserve">Data analysis</w:t>
      </w:r>
      <w:bookmarkEnd w:id="26"/>
    </w:p>
    <w:p>
      <w:pPr>
        <w:pStyle w:val="berschrift3"/>
      </w:pPr>
      <w:bookmarkStart w:id="27" w:name="rejection-criteria"/>
      <w:r>
        <w:t xml:space="preserve">Rejection criteria.</w:t>
      </w:r>
      <w:bookmarkEnd w:id="27"/>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28" w:name="data-preprocessing"/>
      <w:r>
        <w:t xml:space="preserve">Data preprocessing.</w:t>
      </w:r>
      <w:bookmarkEnd w:id="28"/>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berschrift3"/>
      </w:pPr>
      <w:bookmarkStart w:id="29" w:name="hypotheses-and-analysis-plan"/>
      <w:r>
        <w:t xml:space="preserve">Hypotheses and analysis plan.</w:t>
      </w:r>
      <w:bookmarkEnd w:id="29"/>
    </w:p>
    <w:p>
      <w:pPr>
        <w:pStyle w:val="FirstParagraph"/>
      </w:pPr>
      <w:r>
        <w:t xml:space="preserve">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 In the next section we demonstrate our hypotheses and analyses on pilot data.</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0"/>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Subject-wise search slopes were extracted for each combination of search type (color or conjunction) and block number by fitting a linear regression model to the reaction time data with one intercept and one set-size term.</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means that some hypotheses were tested on different subsets of participants.</w:t>
      </w:r>
    </w:p>
    <w:p>
      <w:pPr>
        <w:pStyle w:val="berschrift2"/>
      </w:pPr>
      <w:bookmarkStart w:id="31" w:name="results"/>
      <w:r>
        <w:t xml:space="preserve">Results</w:t>
      </w:r>
      <w:bookmarkEnd w:id="31"/>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}base</w:t>
      </w:r>
      <w:r>
        <w:t xml:space="preserve"> </w:t>
      </w:r>
      <w:r>
        <w:t xml:space="preserve">[@}R-base],</w:t>
      </w:r>
      <w:r>
        <w:t xml:space="preserve"> </w:t>
      </w:r>
      <w:r>
        <w:rPr>
          <w:i/>
        </w:rPr>
        <w:t xml:space="preserve">}psycho</w:t>
      </w:r>
      <w:r>
        <w:t xml:space="preserve"> </w:t>
      </w:r>
      <w:r>
        <w:t xml:space="preserve">[@}R-psycho],</w:t>
      </w:r>
      <w:r>
        <w:t xml:space="preserve"> </w:t>
      </w:r>
      <w:r>
        <w:rPr>
          <w:i/>
        </w:rPr>
        <w:t xml:space="preserve">}reticulate</w:t>
      </w:r>
      <w:r>
        <w:t xml:space="preserve"> </w:t>
      </w:r>
      <w:r>
        <w:t xml:space="preserve">[@}R-reticulate],</w:t>
      </w:r>
      <w:r>
        <w:t xml:space="preserve"> </w:t>
      </w:r>
      <w:r>
        <w:rPr>
          <w:i/>
        </w:rPr>
        <w:t xml:space="preserve">base</w:t>
      </w:r>
      <w:r>
        <w:t xml:space="preserve"> </w:t>
      </w:r>
      <w:r>
        <w:t xml:space="preserve">(Version 3.6.0; @}R-base; R Core Team, 2019)</w:t>
      </w:r>
      <w:r>
        <w:t xml:space="preserve">,</w:t>
      </w:r>
      <w:r>
        <w:t xml:space="preserve"> </w:t>
      </w:r>
      <w:r>
        <w:rPr>
          <w:i/>
        </w:rPr>
        <w:t xml:space="preserve">BayesFactor</w:t>
      </w:r>
      <w:r>
        <w:t xml:space="preserve"> </w:t>
      </w:r>
      <w:r>
        <w:t xml:space="preserve">(Version 0.9.12.4.2; Morey &amp; Rouder, 2018)</w:t>
      </w:r>
      <w:r>
        <w:t xml:space="preserve">,</w:t>
      </w:r>
      <w:r>
        <w:t xml:space="preserve"> </w:t>
      </w:r>
      <w:r>
        <w:rPr>
          <w:i/>
        </w:rPr>
        <w:t xml:space="preserve">brms</w:t>
      </w:r>
      <w:r>
        <w:t xml:space="preserve"> </w:t>
      </w:r>
      <w:r>
        <w:t xml:space="preserve">(Version 2.13.0; Bürkner, 2017,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coda</w:t>
      </w:r>
      <w:r>
        <w:t xml:space="preserve"> </w:t>
      </w:r>
      <w:r>
        <w:t xml:space="preserve">(Version 0.19.3; Plummer, Best, Cowles, &amp; Vines, 2006)</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w:t>
      </w:r>
      <w:r>
        <w:t xml:space="preserve"> </w:t>
      </w:r>
      <w:r>
        <w:rPr>
          <w:i/>
        </w:rPr>
        <w:t xml:space="preserve">Rcpp</w:t>
      </w:r>
      <w:r>
        <w:t xml:space="preserve"> </w:t>
      </w:r>
      <w:r>
        <w:t xml:space="preserve">(Version 1.0.4.6; Eddelbuettel &amp; François, 2011; Eddelbuettel &amp; Balamuta, 2017)</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3.0.1; Müller &amp; Wickham, 2020)</w:t>
      </w:r>
      <w:r>
        <w:t xml:space="preserve">,</w:t>
      </w:r>
      <w:r>
        <w:t xml:space="preserve"> </w:t>
      </w:r>
      <w:r>
        <w:rPr>
          <w:i/>
        </w:rPr>
        <w:t xml:space="preserve">tidyr</w:t>
      </w:r>
      <w:r>
        <w:t xml:space="preserve"> </w:t>
      </w:r>
      <w:r>
        <w:t xml:space="preserve">(Version 1.1.0; Wickham &amp; Henry, 2020)</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Textkrper"/>
      </w:pPr>
      <w:r>
        <w:t xml:space="preserve">Overall mean accuracy was 0.95 (standard deviation =0.06). The median reaction time was 623.98 ms (median absolute deviation = 127.37).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searching for the red circle.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indicating that a color-absence pop-out does not depend on task experience.</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 (see Fig.</w:t>
      </w:r>
      <w:r>
        <w:t xml:space="preserve"> </w:t>
      </w:r>
      <w:r>
        <w:t xml:space="preserve">2</w:t>
      </w:r>
      <w:r>
        <w:t xml:space="preserve">).</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search for conjunction search (</w:t>
      </w:r>
      <m:oMath>
        <m:r>
          <m:t>t</m:t>
        </m:r>
        <m:r>
          <m:t>(</m:t>
        </m:r>
        <m:r>
          <m:t>745</m:t>
        </m:r>
        <m:r>
          <m:t>)</m:t>
        </m:r>
        <m:r>
          <m:t>=</m:t>
        </m:r>
        <m:r>
          <m:t>11.16</m:t>
        </m:r>
      </m:oMath>
      <w:r>
        <w:t xml:space="preserve">,</w:t>
      </w:r>
      <w:r>
        <w:t xml:space="preserve"> </w:t>
      </w:r>
      <m:oMath>
        <m:r>
          <m:t>p</m:t>
        </m:r>
        <m:r>
          <m:t>&lt;</m:t>
        </m:r>
        <m:r>
          <m:t>.001</m:t>
        </m:r>
      </m:oMath>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Median search time by distractor set size for the two search tasks across the three blocks. Correct responses only. Error bars represent the standard error of the median." title="" id="1" name="Picture"/>
            <a:graphic>
              <a:graphicData uri="http://schemas.openxmlformats.org/drawingml/2006/picture">
                <pic:pic>
                  <pic:nvPicPr>
                    <pic:cNvPr descr="termination_Exp1_files/figure-docx/exp1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Median search time by distractor set size for the two search tasks across the three blocks. Correct responses only. Error bars represent the standard error of the median.</w:t>
      </w:r>
    </w:p>
    <w:p>
      <w:pPr>
        <w:pStyle w:val="berschrift2"/>
      </w:pPr>
      <w:bookmarkStart w:id="33" w:name="additional-analyses"/>
      <w:r>
        <w:t xml:space="preserve">Additional analyses</w:t>
      </w:r>
      <w:bookmarkEnd w:id="33"/>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w:t>
      </w:r>
    </w:p>
    <w:p>
      <w:r>
        <w:br w:type="page"/>
      </w:r>
    </w:p>
    <w:p>
      <w:pPr>
        <w:pStyle w:val="berschrift1"/>
      </w:pPr>
      <w:bookmarkStart w:id="34" w:name="references"/>
      <w:r>
        <w:t xml:space="preserve">References</w:t>
      </w:r>
      <w:bookmarkEnd w:id="34"/>
    </w:p>
    <w:bookmarkStart w:id="82" w:name="refs"/>
    <w:bookmarkStart w:id="36"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5">
        <w:r>
          <w:rPr>
            <w:rStyle w:val="Hyperlink"/>
          </w:rPr>
          <w:t xml:space="preserve">https://github.com/crsh/papaja</w:t>
        </w:r>
      </w:hyperlink>
    </w:p>
    <w:bookmarkEnd w:id="36"/>
    <w:bookmarkStart w:id="38" w:name="ref-R-Matrix"/>
    <w:p>
      <w:pPr>
        <w:pStyle w:val="Literaturverzeichnis"/>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37">
        <w:r>
          <w:rPr>
            <w:rStyle w:val="Hyperlink"/>
          </w:rPr>
          <w:t xml:space="preserve">https://CRAN.R-project.org/package=Matrix</w:t>
        </w:r>
      </w:hyperlink>
    </w:p>
    <w:bookmarkEnd w:id="38"/>
    <w:bookmarkStart w:id="40" w:name="ref-R-brms_a"/>
    <w:p>
      <w:pPr>
        <w:pStyle w:val="Literaturverzeichnis"/>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39">
        <w:r>
          <w:rPr>
            <w:rStyle w:val="Hyperlink"/>
          </w:rPr>
          <w:t xml:space="preserve">https://doi.org/10.18637/jss.v080.i01</w:t>
        </w:r>
      </w:hyperlink>
    </w:p>
    <w:bookmarkEnd w:id="40"/>
    <w:bookmarkStart w:id="42" w:name="ref-R-brms_b"/>
    <w:p>
      <w:pPr>
        <w:pStyle w:val="Literaturverzeichnis"/>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1">
        <w:r>
          <w:rPr>
            <w:rStyle w:val="Hyperlink"/>
          </w:rPr>
          <w:t xml:space="preserve">https://doi.org/10.32614/RJ-2018-017</w:t>
        </w:r>
      </w:hyperlink>
    </w:p>
    <w:bookmarkEnd w:id="42"/>
    <w:bookmarkStart w:id="44"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43">
        <w:r>
          <w:rPr>
            <w:rStyle w:val="Hyperlink"/>
          </w:rPr>
          <w:t xml:space="preserve">https://CRAN.R-project.org/package=pwr</w:t>
        </w:r>
      </w:hyperlink>
    </w:p>
    <w:bookmarkEnd w:id="44"/>
    <w:bookmarkStart w:id="46" w:name="ref-R-Rcpp_b"/>
    <w:p>
      <w:pPr>
        <w:pStyle w:val="Literaturverzeichnis"/>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w:t>
      </w:r>
      <w:r>
        <w:t xml:space="preserve"> </w:t>
      </w:r>
      <w:hyperlink r:id="rId45">
        <w:r>
          <w:rPr>
            <w:rStyle w:val="Hyperlink"/>
          </w:rPr>
          <w:t xml:space="preserve">https://doi.org/10.7287/peerj.preprints.3188v1</w:t>
        </w:r>
      </w:hyperlink>
    </w:p>
    <w:bookmarkEnd w:id="46"/>
    <w:bookmarkStart w:id="48"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47">
        <w:r>
          <w:rPr>
            <w:rStyle w:val="Hyperlink"/>
          </w:rPr>
          <w:t xml:space="preserve">https://doi.org/10.18637/jss.v040.i08</w:t>
        </w:r>
      </w:hyperlink>
    </w:p>
    <w:bookmarkEnd w:id="48"/>
    <w:bookmarkStart w:id="50"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49">
        <w:r>
          <w:rPr>
            <w:rStyle w:val="Hyperlink"/>
          </w:rPr>
          <w:t xml:space="preserve">https://CRAN.R-project.org/package=MESS</w:t>
        </w:r>
      </w:hyperlink>
    </w:p>
    <w:bookmarkEnd w:id="50"/>
    <w:bookmarkStart w:id="52"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51">
        <w:r>
          <w:rPr>
            <w:rStyle w:val="Hyperlink"/>
          </w:rPr>
          <w:t xml:space="preserve">https://CRAN.R-project.org/package=purrr</w:t>
        </w:r>
      </w:hyperlink>
    </w:p>
    <w:bookmarkEnd w:id="52"/>
    <w:bookmarkStart w:id="53"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53"/>
    <w:bookmarkStart w:id="55"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54">
        <w:r>
          <w:rPr>
            <w:rStyle w:val="Hyperlink"/>
          </w:rPr>
          <w:t xml:space="preserve">https://CRAN.R-project.org/package=BayesFactor</w:t>
        </w:r>
      </w:hyperlink>
    </w:p>
    <w:bookmarkEnd w:id="55"/>
    <w:bookmarkStart w:id="57" w:name="ref-R-tibble"/>
    <w:p>
      <w:pPr>
        <w:pStyle w:val="Literaturverzeichnis"/>
        <w:pStyle w:val="Literaturverzeichnis"/>
      </w:pPr>
      <w:r>
        <w:t xml:space="preserve">Müller, K., &amp; Wickham, H. (2020).</w:t>
      </w:r>
      <w:r>
        <w:t xml:space="preserve"> </w:t>
      </w:r>
      <w:r>
        <w:rPr>
          <w:i/>
        </w:rPr>
        <w:t xml:space="preserve">Tibble: Simple data frames</w:t>
      </w:r>
      <w:r>
        <w:t xml:space="preserve">. Retrieved from</w:t>
      </w:r>
      <w:r>
        <w:t xml:space="preserve"> </w:t>
      </w:r>
      <w:hyperlink r:id="rId56">
        <w:r>
          <w:rPr>
            <w:rStyle w:val="Hyperlink"/>
          </w:rPr>
          <w:t xml:space="preserve">https://CRAN.R-project.org/package=tibble</w:t>
        </w:r>
      </w:hyperlink>
    </w:p>
    <w:bookmarkEnd w:id="57"/>
    <w:bookmarkStart w:id="59"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58">
        <w:r>
          <w:rPr>
            <w:rStyle w:val="Hyperlink"/>
          </w:rPr>
          <w:t xml:space="preserve">http://ua.edu.au/ccs/teaching/lsr</w:t>
        </w:r>
      </w:hyperlink>
    </w:p>
    <w:bookmarkEnd w:id="59"/>
    <w:bookmarkStart w:id="61" w:name="ref-R-coda"/>
    <w:p>
      <w:pPr>
        <w:pStyle w:val="Literaturverzeichnis"/>
        <w:pStyle w:val="Literaturverzeichnis"/>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 Retrieved from</w:t>
      </w:r>
      <w:r>
        <w:t xml:space="preserve"> </w:t>
      </w:r>
      <w:hyperlink r:id="rId60">
        <w:r>
          <w:rPr>
            <w:rStyle w:val="Hyperlink"/>
          </w:rPr>
          <w:t xml:space="preserve">https://journal.r-project.org/archive/</w:t>
        </w:r>
      </w:hyperlink>
    </w:p>
    <w:bookmarkEnd w:id="61"/>
    <w:bookmarkStart w:id="63"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62">
        <w:r>
          <w:rPr>
            <w:rStyle w:val="Hyperlink"/>
          </w:rPr>
          <w:t xml:space="preserve">https://www.R-project.org/</w:t>
        </w:r>
      </w:hyperlink>
    </w:p>
    <w:bookmarkEnd w:id="63"/>
    <w:bookmarkStart w:id="65"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64">
        <w:r>
          <w:rPr>
            <w:rStyle w:val="Hyperlink"/>
          </w:rPr>
          <w:t xml:space="preserve">https://CRAN.R-project.org/package=broom</w:t>
        </w:r>
      </w:hyperlink>
    </w:p>
    <w:bookmarkEnd w:id="65"/>
    <w:bookmarkStart w:id="67"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66">
        <w:r>
          <w:rPr>
            <w:rStyle w:val="Hyperlink"/>
          </w:rPr>
          <w:t xml:space="preserve">https://ggplot2.tidyverse.org</w:t>
        </w:r>
      </w:hyperlink>
    </w:p>
    <w:bookmarkEnd w:id="67"/>
    <w:bookmarkStart w:id="69"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68">
        <w:r>
          <w:rPr>
            <w:rStyle w:val="Hyperlink"/>
          </w:rPr>
          <w:t xml:space="preserve">https://CRAN.R-project.org/package=stringr</w:t>
        </w:r>
      </w:hyperlink>
    </w:p>
    <w:bookmarkEnd w:id="69"/>
    <w:bookmarkStart w:id="71" w:name="ref-R-forcats"/>
    <w:p>
      <w:pPr>
        <w:pStyle w:val="Literaturverzeichnis"/>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70">
        <w:r>
          <w:rPr>
            <w:rStyle w:val="Hyperlink"/>
          </w:rPr>
          <w:t xml:space="preserve">https://CRAN.R-project.org/package=forcats</w:t>
        </w:r>
      </w:hyperlink>
    </w:p>
    <w:bookmarkEnd w:id="71"/>
    <w:bookmarkStart w:id="73"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72">
        <w:r>
          <w:rPr>
            <w:rStyle w:val="Hyperlink"/>
          </w:rPr>
          <w:t xml:space="preserve">https://doi.org/10.21105/joss.01686</w:t>
        </w:r>
      </w:hyperlink>
    </w:p>
    <w:bookmarkEnd w:id="73"/>
    <w:bookmarkStart w:id="75"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74">
        <w:r>
          <w:rPr>
            <w:rStyle w:val="Hyperlink"/>
          </w:rPr>
          <w:t xml:space="preserve">https://CRAN.R-project.org/package=dplyr</w:t>
        </w:r>
      </w:hyperlink>
    </w:p>
    <w:bookmarkEnd w:id="75"/>
    <w:bookmarkStart w:id="77"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76">
        <w:r>
          <w:rPr>
            <w:rStyle w:val="Hyperlink"/>
          </w:rPr>
          <w:t xml:space="preserve">https://CRAN.R-project.org/package=tidyr</w:t>
        </w:r>
      </w:hyperlink>
    </w:p>
    <w:bookmarkEnd w:id="77"/>
    <w:bookmarkStart w:id="79" w:name="ref-R-readr"/>
    <w:p>
      <w:pPr>
        <w:pStyle w:val="Literaturverzeichnis"/>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78">
        <w:r>
          <w:rPr>
            <w:rStyle w:val="Hyperlink"/>
          </w:rPr>
          <w:t xml:space="preserve">https://CRAN.R-project.org/package=readr</w:t>
        </w:r>
      </w:hyperlink>
    </w:p>
    <w:bookmarkEnd w:id="79"/>
    <w:bookmarkStart w:id="81"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80">
        <w:r>
          <w:rPr>
            <w:rStyle w:val="Hyperlink"/>
          </w:rPr>
          <w:t xml:space="preserve">https://CRAN.R-project.org/package=cowplot</w:t>
        </w:r>
      </w:hyperlink>
    </w:p>
    <w:bookmarkEnd w:id="81"/>
    <w:bookmarkEnd w:id="8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58" Target="http://ua.edu.au/ccs/teaching/lsr" TargetMode="External" /><Relationship Type="http://schemas.openxmlformats.org/officeDocument/2006/relationships/hyperlink" Id="rId54" Target="https://CRAN.R-project.org/package=BayesFactor" TargetMode="External" /><Relationship Type="http://schemas.openxmlformats.org/officeDocument/2006/relationships/hyperlink" Id="rId49" Target="https://CRAN.R-project.org/package=MESS" TargetMode="External" /><Relationship Type="http://schemas.openxmlformats.org/officeDocument/2006/relationships/hyperlink" Id="rId37" Target="https://CRAN.R-project.org/package=Matrix" TargetMode="External" /><Relationship Type="http://schemas.openxmlformats.org/officeDocument/2006/relationships/hyperlink" Id="rId64" Target="https://CRAN.R-project.org/package=broom" TargetMode="External" /><Relationship Type="http://schemas.openxmlformats.org/officeDocument/2006/relationships/hyperlink" Id="rId80" Target="https://CRAN.R-project.org/package=cowplot" TargetMode="External" /><Relationship Type="http://schemas.openxmlformats.org/officeDocument/2006/relationships/hyperlink" Id="rId74" Target="https://CRAN.R-project.org/package=dplyr" TargetMode="External" /><Relationship Type="http://schemas.openxmlformats.org/officeDocument/2006/relationships/hyperlink" Id="rId70" Target="https://CRAN.R-project.org/package=forcats" TargetMode="External" /><Relationship Type="http://schemas.openxmlformats.org/officeDocument/2006/relationships/hyperlink" Id="rId51" Target="https://CRAN.R-project.org/package=purrr" TargetMode="External" /><Relationship Type="http://schemas.openxmlformats.org/officeDocument/2006/relationships/hyperlink" Id="rId43" Target="https://CRAN.R-project.org/package=pwr" TargetMode="External" /><Relationship Type="http://schemas.openxmlformats.org/officeDocument/2006/relationships/hyperlink" Id="rId78" Target="https://CRAN.R-project.org/package=readr" TargetMode="External" /><Relationship Type="http://schemas.openxmlformats.org/officeDocument/2006/relationships/hyperlink" Id="rId68" Target="https://CRAN.R-project.org/package=stringr" TargetMode="External" /><Relationship Type="http://schemas.openxmlformats.org/officeDocument/2006/relationships/hyperlink" Id="rId56"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47" Target="https://doi.org/10.18637/jss.v040.i08" TargetMode="External" /><Relationship Type="http://schemas.openxmlformats.org/officeDocument/2006/relationships/hyperlink" Id="rId39" Target="https://doi.org/10.18637/jss.v080.i01" TargetMode="External" /><Relationship Type="http://schemas.openxmlformats.org/officeDocument/2006/relationships/hyperlink" Id="rId72" Target="https://doi.org/10.21105/joss.01686" TargetMode="External" /><Relationship Type="http://schemas.openxmlformats.org/officeDocument/2006/relationships/hyperlink" Id="rId41" Target="https://doi.org/10.32614/RJ-2018-017" TargetMode="External" /><Relationship Type="http://schemas.openxmlformats.org/officeDocument/2006/relationships/hyperlink" Id="rId45" Target="https://doi.org/10.7287/peerj.preprints.3188v1" TargetMode="External" /><Relationship Type="http://schemas.openxmlformats.org/officeDocument/2006/relationships/hyperlink" Id="rId66"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60" Target="https://journal.r-project.org/archive/" TargetMode="External" /><Relationship Type="http://schemas.openxmlformats.org/officeDocument/2006/relationships/hyperlink" Id="rId62"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ua.edu.au/ccs/teaching/lsr" TargetMode="External" /><Relationship Type="http://schemas.openxmlformats.org/officeDocument/2006/relationships/hyperlink" Id="rId54" Target="https://CRAN.R-project.org/package=BayesFactor" TargetMode="External" /><Relationship Type="http://schemas.openxmlformats.org/officeDocument/2006/relationships/hyperlink" Id="rId49" Target="https://CRAN.R-project.org/package=MESS" TargetMode="External" /><Relationship Type="http://schemas.openxmlformats.org/officeDocument/2006/relationships/hyperlink" Id="rId37" Target="https://CRAN.R-project.org/package=Matrix" TargetMode="External" /><Relationship Type="http://schemas.openxmlformats.org/officeDocument/2006/relationships/hyperlink" Id="rId64" Target="https://CRAN.R-project.org/package=broom" TargetMode="External" /><Relationship Type="http://schemas.openxmlformats.org/officeDocument/2006/relationships/hyperlink" Id="rId80" Target="https://CRAN.R-project.org/package=cowplot" TargetMode="External" /><Relationship Type="http://schemas.openxmlformats.org/officeDocument/2006/relationships/hyperlink" Id="rId74" Target="https://CRAN.R-project.org/package=dplyr" TargetMode="External" /><Relationship Type="http://schemas.openxmlformats.org/officeDocument/2006/relationships/hyperlink" Id="rId70" Target="https://CRAN.R-project.org/package=forcats" TargetMode="External" /><Relationship Type="http://schemas.openxmlformats.org/officeDocument/2006/relationships/hyperlink" Id="rId51" Target="https://CRAN.R-project.org/package=purrr" TargetMode="External" /><Relationship Type="http://schemas.openxmlformats.org/officeDocument/2006/relationships/hyperlink" Id="rId43" Target="https://CRAN.R-project.org/package=pwr" TargetMode="External" /><Relationship Type="http://schemas.openxmlformats.org/officeDocument/2006/relationships/hyperlink" Id="rId78" Target="https://CRAN.R-project.org/package=readr" TargetMode="External" /><Relationship Type="http://schemas.openxmlformats.org/officeDocument/2006/relationships/hyperlink" Id="rId68" Target="https://CRAN.R-project.org/package=stringr" TargetMode="External" /><Relationship Type="http://schemas.openxmlformats.org/officeDocument/2006/relationships/hyperlink" Id="rId56"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47" Target="https://doi.org/10.18637/jss.v040.i08" TargetMode="External" /><Relationship Type="http://schemas.openxmlformats.org/officeDocument/2006/relationships/hyperlink" Id="rId39" Target="https://doi.org/10.18637/jss.v080.i01" TargetMode="External" /><Relationship Type="http://schemas.openxmlformats.org/officeDocument/2006/relationships/hyperlink" Id="rId72" Target="https://doi.org/10.21105/joss.01686" TargetMode="External" /><Relationship Type="http://schemas.openxmlformats.org/officeDocument/2006/relationships/hyperlink" Id="rId41" Target="https://doi.org/10.32614/RJ-2018-017" TargetMode="External" /><Relationship Type="http://schemas.openxmlformats.org/officeDocument/2006/relationships/hyperlink" Id="rId45" Target="https://doi.org/10.7287/peerj.preprints.3188v1" TargetMode="External" /><Relationship Type="http://schemas.openxmlformats.org/officeDocument/2006/relationships/hyperlink" Id="rId66"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60" Target="https://journal.r-project.org/archive/" TargetMode="External" /><Relationship Type="http://schemas.openxmlformats.org/officeDocument/2006/relationships/hyperlink" Id="rId62"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dcterms:created xsi:type="dcterms:W3CDTF">2020-11-02T11:58:48Z</dcterms:created>
  <dcterms:modified xsi:type="dcterms:W3CDTF">2020-11-02T11:58:48Z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