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5.png" ContentType="image/png"/>
  <Override PartName="/word/media/rId28.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w:t>
      </w:r>
    </w:p>
    <w:p>
      <w:pPr>
        <w:pStyle w:val="berschrift1"/>
      </w:pPr>
      <w:bookmarkStart w:id="21" w:name="experiment-1"/>
      <w:r>
        <w:t xml:space="preserve">Experiment 1</w:t>
      </w:r>
      <w:bookmarkEnd w:id="21"/>
    </w:p>
    <w:p>
      <w:pPr>
        <w:pStyle w:val="FirstParagraph"/>
      </w:pPr>
      <w:r>
        <w:t xml:space="preserve">We report how we determined our sample size, all data exclusions (if any), all manipulations, and all measures in the study.</w:t>
      </w:r>
      <w:r>
        <w:t xml:space="preserve"> </w:t>
      </w:r>
      <w:r>
        <w:t xml:space="preserve"> </w:t>
      </w:r>
      <w:r>
        <w:t xml:space="preserve">We used R</w:t>
      </w:r>
      <w:r>
        <w:t xml:space="preserve"> </w:t>
      </w:r>
      <w:r>
        <w:t xml:space="preserve">(Version 3.6.0; R Core Team, 2019)</w:t>
      </w:r>
      <w:r>
        <w:t xml:space="preserve"> </w:t>
      </w:r>
      <w:r>
        <w:t xml:space="preserve">and the R-packages</w:t>
      </w:r>
      <w:r>
        <w:t xml:space="preserve"> </w:t>
      </w:r>
      <w:r>
        <w:rPr>
          <w:i/>
        </w:rPr>
        <w:t xml:space="preserve">BayesFactor</w:t>
      </w:r>
      <w:r>
        <w:t xml:space="preserve"> </w:t>
      </w:r>
      <w:r>
        <w:t xml:space="preserve">(Version 0.9.12.4.2; Morey &amp; Rouder,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 and</w:t>
      </w:r>
      <w:r>
        <w:t xml:space="preserve"> </w:t>
      </w:r>
      <w:r>
        <w:rPr>
          <w:i/>
        </w:rPr>
        <w:t xml:space="preserve">tidyr</w:t>
      </w:r>
      <w:r>
        <w:t xml:space="preserve"> </w:t>
      </w:r>
      <w:r>
        <w:t xml:space="preserve">(Version 1.1.0; Wickham &amp; Henry, 2020)</w:t>
      </w:r>
      <w:r>
        <w:t xml:space="preserve"> </w:t>
      </w:r>
      <w:r>
        <w:t xml:space="preserve">for all our analyses.</w:t>
      </w:r>
    </w:p>
    <w:p>
      <w:pPr>
        <w:pStyle w:val="berschrift2"/>
      </w:pPr>
      <w:bookmarkStart w:id="22" w:name="participants"/>
      <w:r>
        <w:t xml:space="preserve">Participants</w:t>
      </w:r>
      <w:bookmarkEnd w:id="22"/>
    </w:p>
    <w:p>
      <w:pPr>
        <w:pStyle w:val="FirstParagraph"/>
      </w:pPr>
      <w:r>
        <w:t xml:space="preserve">The research complies with all relevant ethical regulations, and was approved by the Research Ethics Committee of University College London (study ID number 1260/003). Participants were recruited via Prolific, and gave informed consent prior to their participation. They were selected based on their acceptance rate (&gt;95%) and for being native English speakers. Following our pre-registration, We collected data until we reached 320 included participants for each of our hypotheses (after applying our pre-registered exclusion criteria). This amounted to a total of 1187 participants. The entire experiment took 3 minutes to complete (median completion time: 3:19 minutes). Participants were paid £0.38 for their participation, equivalent to an hourly wage of £6.90.</w:t>
      </w:r>
    </w:p>
    <w:p>
      <w:pPr>
        <w:pStyle w:val="berschrift2"/>
      </w:pPr>
      <w:bookmarkStart w:id="23" w:name="procedure"/>
      <w:r>
        <w:t xml:space="preserve">Procedure</w:t>
      </w:r>
      <w:bookmarkEnd w:id="23"/>
    </w:p>
    <w:p>
      <w:pPr>
        <w:pStyle w:val="FirstParagraph"/>
      </w:pPr>
      <w:r>
        <w:t xml:space="preserve">The task, as delivered to participants, can be accessed</w:t>
      </w:r>
      <w:r>
        <w:t xml:space="preserve"> </w:t>
      </w:r>
      <w:hyperlink r:id="rId24">
        <w:r>
          <w:rPr>
            <w:rStyle w:val="Hyperlink"/>
          </w:rPr>
          <w:t xml:space="preserve">in the following link</w:t>
        </w:r>
      </w:hyperlink>
      <w:r>
        <w:t xml:space="preserve">.</w:t>
      </w:r>
    </w:p>
    <w:p>
      <w:pPr>
        <w:pStyle w:val="Textkrper"/>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were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wa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5"/>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was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looked for a red circle among blue circles or a mixed array of blue circles and red squares. Set sizes were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6" w:name="randomization"/>
      <w:r>
        <w:t xml:space="preserve">Randomization.</w:t>
      </w:r>
      <w:bookmarkEnd w:id="26"/>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7" w:name="data-analysis"/>
      <w:r>
        <w:t xml:space="preserve">Data analysis</w:t>
      </w:r>
      <w:bookmarkEnd w:id="27"/>
    </w:p>
    <w:p>
      <w:pPr>
        <w:pStyle w:val="FirstParagraph"/>
      </w:pPr>
      <w:r>
        <w:t xml:space="preserve">Experiment 1 was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w:t>
      </w:r>
    </w:p>
    <w:p>
      <w:pPr>
        <w:pStyle w:val="CaptionedFigure"/>
      </w:pPr>
      <w:r>
        <w:drawing>
          <wp:inline>
            <wp:extent cx="5969000" cy="4100477"/>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28"/>
                    <a:stretch>
                      <a:fillRect/>
                    </a:stretch>
                  </pic:blipFill>
                  <pic:spPr bwMode="auto">
                    <a:xfrm>
                      <a:off x="0" y="0"/>
                      <a:ext cx="5969000" cy="410047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Pre-registered analysis comprised a positive control based on target-present trials, a test of the presence of a pop-out effect for color search in block 1, and a test for the change in slope for color search between blocks 1 and 3. Detailed analysis plans and power calculations are outlined in our</w:t>
      </w:r>
      <w:r>
        <w:t xml:space="preserve"> </w:t>
      </w:r>
      <w:hyperlink r:id="rId29">
        <w:r>
          <w:rPr>
            <w:rStyle w:val="Hyperlink"/>
          </w:rPr>
          <w:t xml:space="preserve">pre-registration document</w:t>
        </w:r>
      </w:hyperlink>
      <w:r>
        <w:t xml:space="preserve">.</w:t>
      </w:r>
    </w:p>
    <w:p>
      <w:pPr>
        <w:pStyle w:val="berschrift3"/>
      </w:pPr>
      <w:bookmarkStart w:id="30" w:name="rejection-criteria"/>
      <w:r>
        <w:t xml:space="preserve">Rejection criteria.</w:t>
      </w:r>
      <w:bookmarkEnd w:id="30"/>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 The data of 1122 participants met our pre-registered inclusion criteria and were used for the main analysis.</w:t>
      </w:r>
    </w:p>
    <w:p>
      <w:pPr>
        <w:pStyle w:val="Textkrper"/>
      </w:pPr>
      <w:r>
        <w:t xml:space="preserve">Error trials, and trials with response time below 250 milliseconds or above 1 second wiere excluded from the response-time analysis.</w:t>
      </w:r>
    </w:p>
    <w:p>
      <w:pPr>
        <w:pStyle w:val="berschrift3"/>
      </w:pPr>
      <w:bookmarkStart w:id="31" w:name="data-preprocessing"/>
      <w:r>
        <w:t xml:space="preserve">Data preprocessing.</w:t>
      </w:r>
      <w:bookmarkEnd w:id="31"/>
    </w:p>
    <w:p>
      <w:pPr>
        <w:pStyle w:val="FirstParagraph"/>
      </w:pPr>
      <w:r>
        <w:t xml:space="preserve">To control for within-block trial order effects, a separate linear regression model was fit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 Subject-wise search slopes were extracted for each combination of search type (color or conjunction) and block number by fitting a linear regression model to the reaction time data with one intercept and one set-size term.</w:t>
      </w:r>
    </w:p>
    <w:p>
      <w:pPr>
        <w:pStyle w:val="berschrift1"/>
      </w:pPr>
      <w:bookmarkStart w:id="32" w:name="results"/>
      <w:r>
        <w:t xml:space="preserve">Results</w:t>
      </w:r>
      <w:bookmarkEnd w:id="32"/>
    </w:p>
    <w:p>
      <w:pPr>
        <w:pStyle w:val="CaptionedFigure"/>
      </w:pPr>
      <w:r>
        <w:drawing>
          <wp:inline>
            <wp:extent cx="4587290" cy="4587290"/>
            <wp:effectExtent b="0" l="0" r="0" t="0"/>
            <wp:docPr descr="Figure 3:.  Median search time by distractor set size for the two search tasks across the three blocks. Correct responses only. Error bars represent the standard error of the median." title="" id="1" name="Picture"/>
            <a:graphic>
              <a:graphicData uri="http://schemas.openxmlformats.org/drawingml/2006/picture">
                <pic:pic>
                  <pic:nvPicPr>
                    <pic:cNvPr descr="termination_Exp1_files/figure-docx/RTexp1-1.png" id="0" name="Picture"/>
                    <pic:cNvPicPr>
                      <a:picLocks noChangeArrowheads="1" noChangeAspect="1"/>
                    </pic:cNvPicPr>
                  </pic:nvPicPr>
                  <pic:blipFill>
                    <a:blip r:embed="rId33"/>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Median search time by distractor set size for the two search tasks across the three blocks. Correct responses only. Error bars represent the standard error of the median.</w:t>
      </w:r>
    </w:p>
    <w:p>
      <w:pPr>
        <w:pStyle w:val="Textkrper"/>
      </w:pPr>
      <w:r>
        <w:t xml:space="preserve">Overall mean accuracy was 0.95 (standard deviation =0.06). The median reaction time was 623.98 ms (median absolute deviation = 127.37). Unless indicated otherwise,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color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finding red circle, so a pop-out effect cannot be attributed to task experience.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2.43</m:t>
        </m:r>
      </m:oMath>
      <w:r>
        <w:t xml:space="preserve">,</w:t>
      </w:r>
      <w:r>
        <w:t xml:space="preserve"> </w:t>
      </w:r>
      <m:oMath>
        <m:r>
          <m:t>2.72</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indicating that a color-absence pop-out does not depend on task experience.</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 (see Fig.</w:t>
      </w:r>
      <w:r>
        <w:t xml:space="preserve"> </w:t>
      </w:r>
      <w:r>
        <w:t xml:space="preserve">2</w:t>
      </w:r>
      <w:r>
        <w:t xml:space="preserve">, top panel).</w:t>
      </w:r>
    </w:p>
    <w:p>
      <w:pPr>
        <w:pStyle w:val="Textkrper"/>
      </w:pPr>
      <w:r>
        <w:rPr>
          <w:i/>
        </w:rPr>
        <w:t xml:space="preserve">Hypotheses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0.36</m:t>
        </m:r>
      </m:oMath>
      <w:r>
        <w:t xml:space="preserve">,</w:t>
      </w:r>
      <w:r>
        <w:t xml:space="preserve"> </w:t>
      </w:r>
      <m:oMath>
        <m:r>
          <m:t>4.17</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slope for conjunction search (</w:t>
      </w:r>
      <m:oMath>
        <m:r>
          <m:t>t</m:t>
        </m:r>
        <m:r>
          <m:t>(</m:t>
        </m:r>
        <m:r>
          <m:t>745</m:t>
        </m:r>
        <m:r>
          <m:t>)</m:t>
        </m:r>
        <m:r>
          <m:t>=</m:t>
        </m:r>
        <m:r>
          <m:t>11.16</m:t>
        </m:r>
      </m:oMath>
      <w:r>
        <w:t xml:space="preserve">,</w:t>
      </w:r>
      <w:r>
        <w:t xml:space="preserve"> </w:t>
      </w:r>
      <m:oMath>
        <m:r>
          <m:t>p</m:t>
        </m:r>
        <m:r>
          <m:t>&lt;</m:t>
        </m:r>
        <m:r>
          <m:t>.001</m:t>
        </m:r>
      </m:oMath>
      <w:r>
        <w:t xml:space="preserve">).This result is not surprising, given that a pop-out effect was already observed in block 1.</w:t>
      </w:r>
    </w:p>
    <w:p>
      <w:pPr>
        <w:pStyle w:val="Textkrper"/>
      </w:pPr>
      <w:r>
        <w:rPr>
          <w:i/>
        </w:rPr>
        <w:t xml:space="preserve">Hypothesis 4</w:t>
      </w:r>
      <w:r>
        <w:t xml:space="preserve">: To quantify a possible learning effect for color search, we directly contrasted the search slope for color search in blocks 1 and 3, by contrasting the color slopes for the target-absence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w:t>
      </w:r>
      <m:oMath>
        <m:r>
          <m:t>r</m:t>
        </m:r>
        <m:r>
          <m:t>=</m:t>
        </m:r>
        <m:r>
          <m:t>0.707</m:t>
        </m:r>
      </m:oMath>
      <w:r>
        <w:t xml:space="preserve">)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r>
        <w:t xml:space="preserve"> </w:t>
      </w:r>
      <m:oMath>
        <m:sSub>
          <m:e>
            <m:r>
              <m:rPr>
                <m:sty m:val="p"/>
              </m:rPr>
              <m:t>B</m:t>
            </m:r>
            <m:r>
              <m:rPr>
                <m:sty m:val="p"/>
              </m:rPr>
              <m:t>F</m:t>
            </m:r>
          </m:e>
          <m:sub>
            <m:r>
              <m:rPr>
                <m:nor/>
                <m:sty m:val="p"/>
              </m:rPr>
              <m:t>01</m:t>
            </m:r>
          </m:sub>
        </m:sSub>
        <m:r>
          <m:t>=</m:t>
        </m:r>
        <m:r>
          <m:t>9.60</m:t>
        </m:r>
      </m:oMath>
      <w:r>
        <w:t xml:space="preserve">).</w:t>
      </w:r>
    </w:p>
    <w:p>
      <w:pPr>
        <w:pStyle w:val="berschrift2"/>
      </w:pPr>
      <w:bookmarkStart w:id="34" w:name="additional-analyses"/>
      <w:r>
        <w:t xml:space="preserve">Additional analyses</w:t>
      </w:r>
      <w:bookmarkEnd w:id="34"/>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This subset of participants showed a clear pop-out effect (color slope in block 1:</w:t>
      </w:r>
      <w:r>
        <w:t xml:space="preserve"> </w:t>
      </w:r>
      <m:oMath>
        <m:r>
          <m:t>M</m:t>
        </m:r>
        <m:r>
          <m:t>=</m:t>
        </m:r>
        <m:r>
          <m:t>−</m:t>
        </m:r>
        <m:r>
          <m:t>7.15</m:t>
        </m:r>
      </m:oMath>
      <w:r>
        <w:t xml:space="preserve">, 95% CI</w:t>
      </w:r>
      <w:r>
        <w:t xml:space="preserve"> </w:t>
      </w:r>
      <m:oMath>
        <m:r>
          <m:t>[</m:t>
        </m:r>
        <m:r>
          <m:t>−</m:t>
        </m:r>
        <m:r>
          <m:t>17.94</m:t>
        </m:r>
      </m:oMath>
      <w:r>
        <w:t xml:space="preserve">,</w:t>
      </w:r>
      <w:r>
        <w:t xml:space="preserve"> </w:t>
      </w:r>
      <m:oMath>
        <m:r>
          <m:t>3.64</m:t>
        </m:r>
        <m:r>
          <m:t>]</m:t>
        </m:r>
      </m:oMath>
      <w:r>
        <w:t xml:space="preserve">;</w:t>
      </w:r>
      <w:r>
        <w:t xml:space="preserve"> </w:t>
      </w:r>
      <m:oMath>
        <m:r>
          <m:t>t</m:t>
        </m:r>
        <m:r>
          <m:t>(</m:t>
        </m:r>
        <m:r>
          <m:t>138</m:t>
        </m:r>
        <m:r>
          <m:t>)</m:t>
        </m:r>
        <m:r>
          <m:t>=</m:t>
        </m:r>
        <m:r>
          <m:t>−</m:t>
        </m:r>
        <m:r>
          <m:t>3.14</m:t>
        </m:r>
      </m:oMath>
      <w:r>
        <w:t xml:space="preserve">,</w:t>
      </w:r>
      <w:r>
        <w:t xml:space="preserve"> </w:t>
      </w:r>
      <m:oMath>
        <m:r>
          <m:t>p</m:t>
        </m:r>
        <m:r>
          <m:t>=</m:t>
        </m:r>
        <m:r>
          <m:t>.001</m:t>
        </m:r>
      </m:oMath>
      <w:r>
        <w:t xml:space="preserve">)), indicating that the color-absence pop-out is not mediated by learning throughout the experiment.</w:t>
      </w:r>
    </w:p>
    <w:p>
      <w:pPr>
        <w:pStyle w:val="berschrift1"/>
      </w:pPr>
      <w:bookmarkStart w:id="35" w:name="experiment-2"/>
      <w:r>
        <w:t xml:space="preserve">Experiment 2</w:t>
      </w:r>
      <w:bookmarkEnd w:id="35"/>
    </w:p>
    <w:p>
      <w:pPr>
        <w:pStyle w:val="FirstParagraph"/>
      </w:pPr>
      <w:r>
        <w:t xml:space="preserve">Experiment 1 provided unequivocal evidence for perceptual pop-out of color absence prior to experiencing color pop-out in the task. We interpret this as indicating metacognitive expectations about color pop-out (implicit or explicit) among adults that are naive to our task and stimuli. This metacognitive knowledge may be innate (acquired in the course of evolution, driven for example by the utility of color search for foraging), learned from previous similar visual experience (for example, first-person experience of attention being immediately drawn to distinct colors), or culturally acquired</w:t>
      </w:r>
      <w:r>
        <w:t xml:space="preserve"> </w:t>
      </w:r>
      <w:r>
        <w:t xml:space="preserve">(for example, through language; Kim, Aheimer, Manrara, &amp; Bedny, 2020)</w:t>
      </w:r>
      <w:r>
        <w:t xml:space="preserve">. Developmental and comparative studies, as well as studies focusing on congenitally blind individuals, are needed to determine the origin, or multiple origins, of this knowledge.</w:t>
      </w:r>
    </w:p>
    <w:p>
      <w:pPr>
        <w:pStyle w:val="Textkrper"/>
      </w:pPr>
      <w:r>
        <w:t xml:space="preserve">Experiment 2 will be identical to Experiment 1, except for our choice of stimuli.</w:t>
      </w:r>
      <w:r>
        <w:t xml:space="preserve"> </w:t>
      </w:r>
    </w:p>
    <w:p>
      <w:pPr>
        <w:pStyle w:val="berschrift1"/>
      </w:pPr>
      <w:bookmarkStart w:id="36" w:name="references"/>
      <w:r>
        <w:t xml:space="preserve">References</w:t>
      </w:r>
      <w:bookmarkEnd w:id="36"/>
    </w:p>
    <w:bookmarkStart w:id="61" w:name="refs"/>
    <w:bookmarkStart w:id="38"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7">
        <w:r>
          <w:rPr>
            <w:rStyle w:val="Hyperlink"/>
          </w:rPr>
          <w:t xml:space="preserve">https://github.com/crsh/papaja</w:t>
        </w:r>
      </w:hyperlink>
    </w:p>
    <w:bookmarkEnd w:id="38"/>
    <w:bookmarkStart w:id="40"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39">
        <w:r>
          <w:rPr>
            <w:rStyle w:val="Hyperlink"/>
          </w:rPr>
          <w:t xml:space="preserve">https://CRAN.R-project.org/package=pwr</w:t>
        </w:r>
      </w:hyperlink>
    </w:p>
    <w:bookmarkEnd w:id="40"/>
    <w:bookmarkStart w:id="42"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41">
        <w:r>
          <w:rPr>
            <w:rStyle w:val="Hyperlink"/>
          </w:rPr>
          <w:t xml:space="preserve">https://CRAN.R-project.org/package=MESS</w:t>
        </w:r>
      </w:hyperlink>
    </w:p>
    <w:bookmarkEnd w:id="42"/>
    <w:bookmarkStart w:id="44"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43">
        <w:r>
          <w:rPr>
            <w:rStyle w:val="Hyperlink"/>
          </w:rPr>
          <w:t xml:space="preserve">https://CRAN.R-project.org/package=purrr</w:t>
        </w:r>
      </w:hyperlink>
    </w:p>
    <w:bookmarkEnd w:id="44"/>
    <w:bookmarkStart w:id="45" w:name="ref-kim2020shared"/>
    <w:p>
      <w:pPr>
        <w:pStyle w:val="Literaturverzeichnis"/>
        <w:pStyle w:val="Literaturverzeichnis"/>
      </w:pPr>
      <w:r>
        <w:t xml:space="preserve">Kim, J. S., Aheimer, B., Manrara, V. M., &amp; Bedny, M. (2020). Shared understanding of color among congenitally blind and sighted adults.</w:t>
      </w:r>
    </w:p>
    <w:bookmarkEnd w:id="45"/>
    <w:bookmarkStart w:id="46"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46"/>
    <w:bookmarkStart w:id="48"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47">
        <w:r>
          <w:rPr>
            <w:rStyle w:val="Hyperlink"/>
          </w:rPr>
          <w:t xml:space="preserve">https://CRAN.R-project.org/package=BayesFactor</w:t>
        </w:r>
      </w:hyperlink>
    </w:p>
    <w:bookmarkEnd w:id="48"/>
    <w:bookmarkStart w:id="50"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49">
        <w:r>
          <w:rPr>
            <w:rStyle w:val="Hyperlink"/>
          </w:rPr>
          <w:t xml:space="preserve">https://www.R-project.org/</w:t>
        </w:r>
      </w:hyperlink>
    </w:p>
    <w:bookmarkEnd w:id="50"/>
    <w:bookmarkStart w:id="52"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51">
        <w:r>
          <w:rPr>
            <w:rStyle w:val="Hyperlink"/>
          </w:rPr>
          <w:t xml:space="preserve">https://CRAN.R-project.org/package=broom</w:t>
        </w:r>
      </w:hyperlink>
    </w:p>
    <w:bookmarkEnd w:id="52"/>
    <w:bookmarkStart w:id="54"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53">
        <w:r>
          <w:rPr>
            <w:rStyle w:val="Hyperlink"/>
          </w:rPr>
          <w:t xml:space="preserve">https://ggplot2.tidyverse.org</w:t>
        </w:r>
      </w:hyperlink>
    </w:p>
    <w:bookmarkEnd w:id="54"/>
    <w:bookmarkStart w:id="56"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55">
        <w:r>
          <w:rPr>
            <w:rStyle w:val="Hyperlink"/>
          </w:rPr>
          <w:t xml:space="preserve">https://CRAN.R-project.org/package=dplyr</w:t>
        </w:r>
      </w:hyperlink>
    </w:p>
    <w:bookmarkEnd w:id="56"/>
    <w:bookmarkStart w:id="58"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57">
        <w:r>
          <w:rPr>
            <w:rStyle w:val="Hyperlink"/>
          </w:rPr>
          <w:t xml:space="preserve">https://CRAN.R-project.org/package=tidyr</w:t>
        </w:r>
      </w:hyperlink>
    </w:p>
    <w:bookmarkEnd w:id="58"/>
    <w:bookmarkStart w:id="60"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59">
        <w:r>
          <w:rPr>
            <w:rStyle w:val="Hyperlink"/>
          </w:rPr>
          <w:t xml:space="preserve">https://CRAN.R-project.org/package=cowplot</w:t>
        </w:r>
      </w:hyperlink>
    </w:p>
    <w:bookmarkEnd w:id="60"/>
    <w:bookmarkEnd w:id="6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4" Target="http://167.99.93.4/publix/30/start?batchId=51&amp;generalMultiple" TargetMode="External" /><Relationship Type="http://schemas.openxmlformats.org/officeDocument/2006/relationships/hyperlink" Id="rId47" Target="https://CRAN.R-project.org/package=BayesFactor" TargetMode="External" /><Relationship Type="http://schemas.openxmlformats.org/officeDocument/2006/relationships/hyperlink" Id="rId41" Target="https://CRAN.R-project.org/package=MESS" TargetMode="External" /><Relationship Type="http://schemas.openxmlformats.org/officeDocument/2006/relationships/hyperlink" Id="rId51" Target="https://CRAN.R-project.org/package=broom" TargetMode="External" /><Relationship Type="http://schemas.openxmlformats.org/officeDocument/2006/relationships/hyperlink" Id="rId59" Target="https://CRAN.R-project.org/package=cowplot" TargetMode="External" /><Relationship Type="http://schemas.openxmlformats.org/officeDocument/2006/relationships/hyperlink" Id="rId55" Target="https://CRAN.R-project.org/package=dplyr" TargetMode="External" /><Relationship Type="http://schemas.openxmlformats.org/officeDocument/2006/relationships/hyperlink" Id="rId43" Target="https://CRAN.R-project.org/package=purrr" TargetMode="External" /><Relationship Type="http://schemas.openxmlformats.org/officeDocument/2006/relationships/hyperlink" Id="rId39" Target="https://CRAN.R-project.org/package=pwr" TargetMode="External" /><Relationship Type="http://schemas.openxmlformats.org/officeDocument/2006/relationships/hyperlink" Id="rId57" Target="https://CRAN.R-project.org/package=tidyr" TargetMode="External" /><Relationship Type="http://schemas.openxmlformats.org/officeDocument/2006/relationships/hyperlink" Id="rId53"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29" Target="https://osf.io/ea385" TargetMode="External" /><Relationship Type="http://schemas.openxmlformats.org/officeDocument/2006/relationships/hyperlink" Id="rId49"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167.99.93.4/publix/30/start?batchId=51&amp;generalMultiple" TargetMode="External" /><Relationship Type="http://schemas.openxmlformats.org/officeDocument/2006/relationships/hyperlink" Id="rId47" Target="https://CRAN.R-project.org/package=BayesFactor" TargetMode="External" /><Relationship Type="http://schemas.openxmlformats.org/officeDocument/2006/relationships/hyperlink" Id="rId41" Target="https://CRAN.R-project.org/package=MESS" TargetMode="External" /><Relationship Type="http://schemas.openxmlformats.org/officeDocument/2006/relationships/hyperlink" Id="rId51" Target="https://CRAN.R-project.org/package=broom" TargetMode="External" /><Relationship Type="http://schemas.openxmlformats.org/officeDocument/2006/relationships/hyperlink" Id="rId59" Target="https://CRAN.R-project.org/package=cowplot" TargetMode="External" /><Relationship Type="http://schemas.openxmlformats.org/officeDocument/2006/relationships/hyperlink" Id="rId55" Target="https://CRAN.R-project.org/package=dplyr" TargetMode="External" /><Relationship Type="http://schemas.openxmlformats.org/officeDocument/2006/relationships/hyperlink" Id="rId43" Target="https://CRAN.R-project.org/package=purrr" TargetMode="External" /><Relationship Type="http://schemas.openxmlformats.org/officeDocument/2006/relationships/hyperlink" Id="rId39" Target="https://CRAN.R-project.org/package=pwr" TargetMode="External" /><Relationship Type="http://schemas.openxmlformats.org/officeDocument/2006/relationships/hyperlink" Id="rId57" Target="https://CRAN.R-project.org/package=tidyr" TargetMode="External" /><Relationship Type="http://schemas.openxmlformats.org/officeDocument/2006/relationships/hyperlink" Id="rId53"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29" Target="https://osf.io/ea385" TargetMode="External" /><Relationship Type="http://schemas.openxmlformats.org/officeDocument/2006/relationships/hyperlink" Id="rId49"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dc:title>
  <dc:creator/>
  <cp:keywords/>
  <dcterms:created xsi:type="dcterms:W3CDTF">2020-10-06T09:47:02Z</dcterms:created>
  <dcterms:modified xsi:type="dcterms:W3CDTF">2020-10-06T09:47:02Z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