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png" ContentType="image/png"/>
  <Override PartName="/word/media/rId30.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pPr>
        <w:pStyle w:val="Compact"/>
        <w:pStyle w:val="Titel"/>
      </w:pPr>
      <w:r>
        <w:t xml:space="preserve">Metacognitive contributions to search termination: pre-registration document</w:t>
      </w:r>
    </w:p>
    <w:p>
      <w:pPr>
        <w:pStyle w:val="berschrift1"/>
      </w:pPr>
      <w:bookmarkStart w:id="21" w:name="methods"/>
      <w:r>
        <w:t xml:space="preserve">Methods</w:t>
      </w:r>
      <w:bookmarkEnd w:id="21"/>
    </w:p>
    <w:p>
      <w:pPr>
        <w:pStyle w:val="FirstParagraph"/>
      </w:pPr>
      <w:r>
        <w:t xml:space="preserve">We report how we determined our sample size, all data exclusions (if any), all manipulations, and all measures in the study.</w:t>
      </w:r>
      <w:r>
        <w:t xml:space="preserve"> </w:t>
      </w:r>
    </w:p>
    <w:p>
      <w:pPr>
        <w:pStyle w:val="berschrift2"/>
      </w:pPr>
      <w:bookmarkStart w:id="22" w:name="participants"/>
      <w:r>
        <w:t xml:space="preserve">Participants</w:t>
      </w:r>
      <w:bookmarkEnd w:id="22"/>
    </w:p>
    <w:p>
      <w:pPr>
        <w:pStyle w:val="FirstParagraph"/>
      </w:pPr>
      <w:r>
        <w:t xml:space="preserve">The research complied with all relevant ethical regulations, and was approved by the Research Ethics Committee of University College London (study ID number 1260/003). 886 Participants were recruited via Prolific, and gave their informed consent prior to their participation. They were selected based on their acceptance rate (&gt;95%) and for being native English speakers. We collected data until we reached 320 included participants for each of our hypotheses (after applying our pre-registered exclusion criteria). The entire experiment took around 3 minutes to complete (median completion time in our pilot data: 3:06 minutes). Participants were paid £0.38 for their participation, equivalent to an hourly wage of £7.60.</w:t>
      </w:r>
    </w:p>
    <w:p>
      <w:pPr>
        <w:pStyle w:val="berschrift2"/>
      </w:pPr>
      <w:bookmarkStart w:id="23" w:name="procedure"/>
      <w:r>
        <w:t xml:space="preserve">Procedure</w:t>
      </w:r>
      <w:bookmarkEnd w:id="23"/>
    </w:p>
    <w:p>
      <w:pPr>
        <w:pStyle w:val="FirstParagraph"/>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4"/>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Textkrper"/>
      </w:pPr>
      <w:r>
        <w:t xml:space="preserve">In the main part of the experiment, participants searched for a red circle among blue circles or a mixed array of blue circles and red squares. Set sizes was 4 or 12, resulting in a 2-by-2 design (search type: color or color</w:t>
      </w:r>
      <m:oMath>
        <m:r>
          <m:t>×</m:t>
        </m:r>
      </m:oMath>
      <w:r>
        <w:t xml:space="preserve">shape, by set size: 4 or 12). Critically, and unknown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5" w:name="randomization"/>
      <w:r>
        <w:t xml:space="preserve">Randomization.</w:t>
      </w:r>
      <w:bookmarkEnd w:id="25"/>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6" w:name="data-analysis"/>
      <w:r>
        <w:t xml:space="preserve">Data analysis</w:t>
      </w:r>
      <w:bookmarkEnd w:id="26"/>
    </w:p>
    <w:p>
      <w:pPr>
        <w:pStyle w:val="berschrift3"/>
      </w:pPr>
      <w:bookmarkStart w:id="27" w:name="rejection-criteria"/>
      <w:r>
        <w:t xml:space="preserve">Rejection criteria.</w:t>
      </w:r>
      <w:bookmarkEnd w:id="27"/>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 below 250 milliseconds or above 1 second were excluded from the response-time analysis.</w:t>
      </w:r>
    </w:p>
    <w:p>
      <w:pPr>
        <w:pStyle w:val="berschrift3"/>
      </w:pPr>
      <w:bookmarkStart w:id="28" w:name="data-preprocessing"/>
      <w:r>
        <w:t xml:space="preserve">Data preprocessing.</w:t>
      </w:r>
      <w:bookmarkEnd w:id="28"/>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berschrift3"/>
      </w:pPr>
      <w:bookmarkStart w:id="29" w:name="hypotheses-and-analysis-plan"/>
      <w:r>
        <w:t xml:space="preserve">Hypotheses and analysis plan.</w:t>
      </w:r>
      <w:bookmarkEnd w:id="29"/>
    </w:p>
    <w:p>
      <w:pPr>
        <w:pStyle w:val="FirstParagraph"/>
      </w:pPr>
      <w:r>
        <w:t xml:space="preserve">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w:t>
      </w:r>
      <w:r>
        <w:t xml:space="preserve"> </w:t>
      </w:r>
      <w:r>
        <w:t xml:space="preserve">2</w:t>
      </w:r>
      <w:r>
        <w:t xml:space="preserve">. In the next section we demonstrate our hypotheses and analyses on pilot data.</w:t>
      </w:r>
    </w:p>
    <w:p>
      <w:pPr>
        <w:pStyle w:val="CaptionedFigure"/>
      </w:pPr>
      <w:r>
        <w:drawing>
          <wp:inline>
            <wp:extent cx="5969000" cy="3917341"/>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0"/>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Subject-wise search slopes were extracted for each combination of search type (color or conjunction) and block number by fitting a linear regression model to the reaction time data with one intercept and one set-size term.</w:t>
      </w:r>
    </w:p>
    <w:p>
      <w:pPr>
        <w:pStyle w:val="Textkrper"/>
      </w:pPr>
      <w:r>
        <w:t xml:space="preserve">Analysis comprised a positive control based on target-present trials, a test of the presence of a pop-out effect for color search in block 1, and a test for the change in slope for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means that some hypotheses were tested on different subsets of participants.</w:t>
      </w:r>
    </w:p>
    <w:p>
      <w:pPr>
        <w:pStyle w:val="berschrift2"/>
      </w:pPr>
      <w:bookmarkStart w:id="31" w:name="results"/>
      <w:r>
        <w:t xml:space="preserve">Results</w:t>
      </w:r>
      <w:bookmarkEnd w:id="31"/>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}base</w:t>
      </w:r>
      <w:r>
        <w:t xml:space="preserve"> </w:t>
      </w:r>
      <w:r>
        <w:t xml:space="preserve">[@}R-base],</w:t>
      </w:r>
      <w:r>
        <w:t xml:space="preserve"> </w:t>
      </w:r>
      <w:r>
        <w:rPr>
          <w:i/>
        </w:rPr>
        <w:t xml:space="preserve">}PowerTOST</w:t>
      </w:r>
      <w:r>
        <w:t xml:space="preserve"> </w:t>
      </w:r>
      <w:r>
        <w:t xml:space="preserve">[@}R-PowerTOST],</w:t>
      </w:r>
      <w:r>
        <w:t xml:space="preserve"> </w:t>
      </w:r>
      <w:r>
        <w:rPr>
          <w:i/>
        </w:rPr>
        <w:t xml:space="preserve">}psycho</w:t>
      </w:r>
      <w:r>
        <w:t xml:space="preserve"> </w:t>
      </w:r>
      <w:r>
        <w:t xml:space="preserve">[@}R-psycho],</w:t>
      </w:r>
      <w:r>
        <w:t xml:space="preserve"> </w:t>
      </w:r>
      <w:r>
        <w:rPr>
          <w:i/>
        </w:rPr>
        <w:t xml:space="preserve">}reticulate</w:t>
      </w:r>
      <w:r>
        <w:t xml:space="preserve"> </w:t>
      </w:r>
      <w:r>
        <w:t xml:space="preserve">[@}R-reticulate],</w:t>
      </w:r>
      <w:r>
        <w:t xml:space="preserve"> </w:t>
      </w:r>
      <w:r>
        <w:rPr>
          <w:i/>
        </w:rPr>
        <w:t xml:space="preserve">base</w:t>
      </w:r>
      <w:r>
        <w:t xml:space="preserve"> </w:t>
      </w:r>
      <w:r>
        <w:t xml:space="preserve">(Version 3.6.0; @}R-base; R Core Team, 2019)</w:t>
      </w:r>
      <w:r>
        <w:t xml:space="preserve">,</w:t>
      </w:r>
      <w:r>
        <w:t xml:space="preserve"> </w:t>
      </w:r>
      <w:r>
        <w:rPr>
          <w:i/>
        </w:rPr>
        <w:t xml:space="preserve">BayesFactor</w:t>
      </w:r>
      <w:r>
        <w:t xml:space="preserve"> </w:t>
      </w:r>
      <w:r>
        <w:t xml:space="preserve">(Version 0.9.12.4.2; Morey &amp; Rouder, 2018)</w:t>
      </w:r>
      <w:r>
        <w:t xml:space="preserve">,</w:t>
      </w:r>
      <w:r>
        <w:t xml:space="preserve"> </w:t>
      </w:r>
      <w:r>
        <w:rPr>
          <w:i/>
        </w:rPr>
        <w:t xml:space="preserve">brms</w:t>
      </w:r>
      <w:r>
        <w:t xml:space="preserve"> </w:t>
      </w:r>
      <w:r>
        <w:t xml:space="preserve">(Version 2.13.0; Bürkner, 2017, 2018)</w:t>
      </w:r>
      <w:r>
        <w:t xml:space="preserve">,</w:t>
      </w:r>
      <w:r>
        <w:t xml:space="preserve"> </w:t>
      </w:r>
      <w:r>
        <w:rPr>
          <w:i/>
        </w:rPr>
        <w:t xml:space="preserve">broom</w:t>
      </w:r>
      <w:r>
        <w:t xml:space="preserve"> </w:t>
      </w:r>
      <w:r>
        <w:t xml:space="preserve">(Version 0.5.6; Robinson &amp; Hayes, 2020)</w:t>
      </w:r>
      <w:r>
        <w:t xml:space="preserve">,</w:t>
      </w:r>
      <w:r>
        <w:t xml:space="preserve"> </w:t>
      </w:r>
      <w:r>
        <w:rPr>
          <w:i/>
        </w:rPr>
        <w:t xml:space="preserve">coda</w:t>
      </w:r>
      <w:r>
        <w:t xml:space="preserve"> </w:t>
      </w:r>
      <w:r>
        <w:t xml:space="preserve">(Version 0.19.3; Plummer, Best, Cowles, &amp; Vines, 2006)</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pwr</w:t>
      </w:r>
      <w:r>
        <w:t xml:space="preserve"> </w:t>
      </w:r>
      <w:r>
        <w:t xml:space="preserve">(Version 1.3.0; Champely, 2020)</w:t>
      </w:r>
      <w:r>
        <w:t xml:space="preserve">,</w:t>
      </w:r>
      <w:r>
        <w:t xml:space="preserve"> </w:t>
      </w:r>
      <w:r>
        <w:rPr>
          <w:i/>
        </w:rPr>
        <w:t xml:space="preserve">Rcpp</w:t>
      </w:r>
      <w:r>
        <w:t xml:space="preserve"> </w:t>
      </w:r>
      <w:r>
        <w:t xml:space="preserve">(Version 1.0.4.6; Eddelbuettel &amp; François, 2011; Eddelbuettel &amp; Balamuta, 2017)</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remotes</w:t>
      </w:r>
      <w:r>
        <w:t xml:space="preserve"> </w:t>
      </w:r>
      <w:r>
        <w:t xml:space="preserve">(Version 2.2.0; Hester et al., 2020)</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3.0.1; Müller &amp; Wickham, 2020)</w:t>
      </w:r>
      <w:r>
        <w:t xml:space="preserve">,</w:t>
      </w:r>
      <w:r>
        <w:t xml:space="preserve"> </w:t>
      </w:r>
      <w:r>
        <w:rPr>
          <w:i/>
        </w:rPr>
        <w:t xml:space="preserve">tidyr</w:t>
      </w:r>
      <w:r>
        <w:t xml:space="preserve"> </w:t>
      </w:r>
      <w:r>
        <w:t xml:space="preserve">(Version 1.1.0; Wickham &amp; Henry, 2020)</w:t>
      </w:r>
      <w:r>
        <w:t xml:space="preserve">,</w:t>
      </w:r>
      <w:r>
        <w:t xml:space="preserve"> </w:t>
      </w:r>
      <w:r>
        <w:rPr>
          <w:i/>
        </w:rPr>
        <w:t xml:space="preserve">tidyverse</w:t>
      </w:r>
      <w:r>
        <w:t xml:space="preserve"> </w:t>
      </w:r>
      <w:r>
        <w:t xml:space="preserve">(Version 1.3.0; Wickham, Averick, et al., 2019)</w:t>
      </w:r>
      <w:r>
        <w:t xml:space="preserve">,</w:t>
      </w:r>
      <w:r>
        <w:t xml:space="preserve"> </w:t>
      </w:r>
      <w:r>
        <w:rPr>
          <w:i/>
        </w:rPr>
        <w:t xml:space="preserve">TOSTER</w:t>
      </w:r>
      <w:r>
        <w:t xml:space="preserve"> </w:t>
      </w:r>
      <w:r>
        <w:t xml:space="preserve">(Version 0.3.4; Lakens, 2017)</w:t>
      </w:r>
      <w:r>
        <w:t xml:space="preserve">, and</w:t>
      </w:r>
      <w:r>
        <w:t xml:space="preserve"> </w:t>
      </w:r>
      <w:r>
        <w:rPr>
          <w:i/>
        </w:rPr>
        <w:t xml:space="preserve">tostpower</w:t>
      </w:r>
      <w:r>
        <w:t xml:space="preserve"> </w:t>
      </w:r>
      <w:r>
        <w:t xml:space="preserve">(Version 0.1.3; Malandro, 2016)</w:t>
      </w:r>
      <w:r>
        <w:t xml:space="preserve"> </w:t>
      </w:r>
      <w:r>
        <w:t xml:space="preserve">for all our analyses.</w:t>
      </w:r>
    </w:p>
    <w:p>
      <w:pPr>
        <w:pStyle w:val="Textkrper"/>
      </w:pPr>
      <w:r>
        <w:t xml:space="preserve">Overall mean accuracy was 0.96 (standard deviation =0.06). The median reaction time was 644.10 ms (median absolute deviation = 124.50).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15.07</m:t>
        </m:r>
      </m:oMath>
      <w:r>
        <w:t xml:space="preserve">, 95% CI</w:t>
      </w:r>
      <w:r>
        <w:t xml:space="preserve"> </w:t>
      </w:r>
      <m:oMath>
        <m:r>
          <m:t>[</m:t>
        </m:r>
        <m:r>
          <m:t>12.32</m:t>
        </m:r>
      </m:oMath>
      <w:r>
        <w:t xml:space="preserve">,</w:t>
      </w:r>
      <w:r>
        <w:t xml:space="preserve"> </w:t>
      </w:r>
      <m:oMath>
        <m:r>
          <m:t>17.82</m:t>
        </m:r>
        <m:r>
          <m:t>]</m:t>
        </m:r>
      </m:oMath>
      <w:r>
        <w:t xml:space="preserve">) and a shallow slope for conjunction search (</w:t>
      </w:r>
      <m:oMath>
        <m:r>
          <m:t>M</m:t>
        </m:r>
        <m:r>
          <m:t>=</m:t>
        </m:r>
        <m:r>
          <m:t>5.85</m:t>
        </m:r>
      </m:oMath>
      <w:r>
        <w:t xml:space="preserve">, 95% CI</w:t>
      </w:r>
      <w:r>
        <w:t xml:space="preserve"> </w:t>
      </w:r>
      <m:oMath>
        <m:r>
          <m:t>[</m:t>
        </m:r>
        <m:r>
          <m:t>3.92</m:t>
        </m:r>
      </m:oMath>
      <w:r>
        <w:t xml:space="preserve">,</w:t>
      </w:r>
      <w:r>
        <w:t xml:space="preserve"> </w:t>
      </w:r>
      <m:oMath>
        <m:r>
          <m:t>7.79</m:t>
        </m:r>
        <m:r>
          <m:t>]</m:t>
        </m:r>
      </m:oMath>
      <w:r>
        <w:t xml:space="preserve">; see Fig.</w:t>
      </w:r>
      <w:r>
        <w:t xml:space="preserve"> </w:t>
      </w:r>
      <w:r>
        <w:t xml:space="preserve">3</w:t>
      </w:r>
      <w:r>
        <w:t xml:space="preserve">). The slope for shape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753</m:t>
        </m:r>
        <m:r>
          <m:t>)</m:t>
        </m:r>
        <m:r>
          <m:t>=</m:t>
        </m:r>
        <m:r>
          <m:t>−</m:t>
        </m:r>
        <m:r>
          <m:t>4.21</m:t>
        </m:r>
      </m:oMath>
      <w:r>
        <w:t xml:space="preserve">,</w:t>
      </w:r>
      <w:r>
        <w:t xml:space="preserve"> </w:t>
      </w:r>
      <m:oMath>
        <m:r>
          <m:t>p</m:t>
        </m:r>
        <m:r>
          <m:t>&lt;</m:t>
        </m:r>
        <m:r>
          <m:t>.001</m:t>
        </m:r>
      </m:oMath>
      <w:r>
        <w:t xml:space="preserve">). Furthermore, the difference between the slopes was significant (</w:t>
      </w:r>
      <m:oMath>
        <m:r>
          <m:t>t</m:t>
        </m:r>
        <m:r>
          <m:t>(</m:t>
        </m:r>
        <m:r>
          <m:t>583</m:t>
        </m:r>
        <m:r>
          <m:t>)</m:t>
        </m:r>
        <m:r>
          <m:t>=</m:t>
        </m:r>
        <m:r>
          <m:t>4.97</m:t>
        </m:r>
      </m:oMath>
      <w:r>
        <w:t xml:space="preserve">,</w:t>
      </w:r>
      <w:r>
        <w:t xml:space="preserve"> </w:t>
      </w:r>
      <m:oMath>
        <m:r>
          <m:t>p</m:t>
        </m:r>
        <m:r>
          <m:t>&lt;</m:t>
        </m:r>
        <m:r>
          <m:t>.001</m:t>
        </m:r>
      </m:oMath>
      <w:r>
        <w:t xml:space="preserve">). This positive control served to validate our method.</w:t>
      </w:r>
    </w:p>
    <w:p>
      <w:pPr>
        <w:pStyle w:val="Textkrper"/>
      </w:pPr>
      <w:r>
        <w:rPr>
          <w:i/>
        </w:rPr>
        <w:t xml:space="preserve">Hypothesis 2</w:t>
      </w:r>
      <w:r>
        <w:t xml:space="preserve">: Our central focus was on results from block 1 (target-absent). Here participants didn’t yet have experience with searching for the red circle. Similar to the second block, the slope for the conjunction search was steep (</w:t>
      </w:r>
      <m:oMath>
        <m:r>
          <m:t>M</m:t>
        </m:r>
        <m:r>
          <m:t>=</m:t>
        </m:r>
        <m:r>
          <m:t>19.78</m:t>
        </m:r>
      </m:oMath>
      <w:r>
        <w:t xml:space="preserve">, 95% CI</w:t>
      </w:r>
      <w:r>
        <w:t xml:space="preserve"> </w:t>
      </w:r>
      <m:oMath>
        <m:r>
          <m:t>[</m:t>
        </m:r>
        <m:r>
          <m:t>16.33</m:t>
        </m:r>
      </m:oMath>
      <w:r>
        <w:t xml:space="preserve">,</w:t>
      </w:r>
      <w:r>
        <w:t xml:space="preserve"> </w:t>
      </w:r>
      <m:oMath>
        <m:r>
          <m:t>23.24</m:t>
        </m:r>
        <m:r>
          <m:t>]</m:t>
        </m:r>
      </m:oMath>
      <w:r>
        <w:t xml:space="preserve">). A clear</w:t>
      </w:r>
      <w:r>
        <w:t xml:space="preserve"> </w:t>
      </w:r>
      <w:r>
        <w:t xml:space="preserve">‘</w:t>
      </w:r>
      <w:r>
        <w:t xml:space="preserve">pop-out</w:t>
      </w:r>
      <w:r>
        <w:t xml:space="preserve">’</w:t>
      </w:r>
      <w:r>
        <w:t xml:space="preserve"> </w:t>
      </w:r>
      <w:r>
        <w:t xml:space="preserve">effect for shape search was also evident (</w:t>
      </w:r>
      <m:oMath>
        <m:r>
          <m:t>M</m:t>
        </m:r>
        <m:r>
          <m:t>=</m:t>
        </m:r>
        <m:r>
          <m:t>8.03</m:t>
        </m:r>
      </m:oMath>
      <w:r>
        <w:t xml:space="preserve">, 95% CI</w:t>
      </w:r>
      <w:r>
        <w:t xml:space="preserve"> </w:t>
      </w:r>
      <m:oMath>
        <m:r>
          <m:t>[</m:t>
        </m:r>
        <m:r>
          <m:t>−</m:t>
        </m:r>
        <m:r>
          <m:t>∞</m:t>
        </m:r>
      </m:oMath>
      <w:r>
        <w:t xml:space="preserve">,</w:t>
      </w:r>
      <w:r>
        <w:t xml:space="preserve"> </w:t>
      </w:r>
      <m:oMath>
        <m:r>
          <m:t>10.47</m:t>
        </m:r>
        <m:r>
          <m:t>]</m:t>
        </m:r>
      </m:oMath>
      <w:r>
        <w:t xml:space="preserve">,</w:t>
      </w:r>
      <w:r>
        <w:t xml:space="preserve"> </w:t>
      </w:r>
      <m:oMath>
        <m:r>
          <m:t>t</m:t>
        </m:r>
        <m:r>
          <m:t>(</m:t>
        </m:r>
        <m:r>
          <m:t>608</m:t>
        </m:r>
        <m:r>
          <m:t>)</m:t>
        </m:r>
        <m:r>
          <m:t>=</m:t>
        </m:r>
        <m:r>
          <m:t>−</m:t>
        </m:r>
        <m:r>
          <m:t>1.33</m:t>
        </m:r>
      </m:oMath>
      <w:r>
        <w:t xml:space="preserve">,</w:t>
      </w:r>
      <w:r>
        <w:t xml:space="preserve"> </w:t>
      </w:r>
      <m:oMath>
        <m:r>
          <m:t>p</m:t>
        </m:r>
        <m:r>
          <m:t>=</m:t>
        </m:r>
        <m:r>
          <m:t>.092</m:t>
        </m:r>
      </m:oMath>
      <w:r>
        <w:t xml:space="preserve">). Furthermore, the average search slope for shape search in this first block was significantly different from that of the conjunction search (</w:t>
      </w:r>
      <m:oMath>
        <m:r>
          <m:t>t</m:t>
        </m:r>
        <m:r>
          <m:t>(</m:t>
        </m:r>
        <m:r>
          <m:t>326</m:t>
        </m:r>
        <m:r>
          <m:t>)</m:t>
        </m:r>
        <m:r>
          <m:t>=</m:t>
        </m:r>
        <m:r>
          <m:t>3.05</m:t>
        </m:r>
      </m:oMath>
      <w:r>
        <w:t xml:space="preserve">,</w:t>
      </w:r>
      <w:r>
        <w:t xml:space="preserve"> </w:t>
      </w:r>
      <m:oMath>
        <m:r>
          <m:t>p</m:t>
        </m:r>
        <m:r>
          <m:t>=</m:t>
        </m:r>
        <m:r>
          <m:t>.002</m:t>
        </m:r>
      </m:oMath>
      <w:r>
        <w:t xml:space="preserve">), indicating that a shape-absence pop-out does not depend on task experience.</w:t>
      </w:r>
    </w:p>
    <w:p>
      <w:pPr>
        <w:pStyle w:val="Textkrper"/>
      </w:pPr>
      <w:r>
        <w:rPr>
          <w:i/>
        </w:rPr>
        <w:t xml:space="preserve">Hypothesis 3</w:t>
      </w:r>
      <w:r>
        <w:t xml:space="preserve">: Like in the first block, in the third block shape search complied with our criterion for</w:t>
      </w:r>
      <w:r>
        <w:t xml:space="preserve"> </w:t>
      </w:r>
      <w:r>
        <w:t xml:space="preserve">‘</w:t>
      </w:r>
      <w:r>
        <w:t xml:space="preserve">pop-out</w:t>
      </w:r>
      <w:r>
        <w:t xml:space="preserve">’</w:t>
      </w:r>
      <w:r>
        <w:t xml:space="preserve"> </w:t>
      </w:r>
      <w:r>
        <w:t xml:space="preserve">(</w:t>
      </w:r>
      <m:oMath>
        <m:r>
          <m:t>M</m:t>
        </m:r>
        <m:r>
          <m:t>=</m:t>
        </m:r>
        <m:r>
          <m:t>9.02</m:t>
        </m:r>
      </m:oMath>
      <w:r>
        <w:t xml:space="preserve">, 95% CI</w:t>
      </w:r>
      <w:r>
        <w:t xml:space="preserve"> </w:t>
      </w:r>
      <m:oMath>
        <m:r>
          <m:t>[</m:t>
        </m:r>
        <m:r>
          <m:t>−</m:t>
        </m:r>
        <m:r>
          <m:t>∞</m:t>
        </m:r>
      </m:oMath>
      <w:r>
        <w:t xml:space="preserve">,</w:t>
      </w:r>
      <w:r>
        <w:t xml:space="preserve"> </w:t>
      </w:r>
      <m:oMath>
        <m:r>
          <m:t>10.84</m:t>
        </m:r>
        <m:r>
          <m:t>]</m:t>
        </m:r>
      </m:oMath>
      <w:r>
        <w:t xml:space="preserve">,</w:t>
      </w:r>
      <w:r>
        <w:t xml:space="preserve"> </w:t>
      </w:r>
      <m:oMath>
        <m:r>
          <m:t>t</m:t>
        </m:r>
        <m:r>
          <m:t>(</m:t>
        </m:r>
        <m:r>
          <m:t>722</m:t>
        </m:r>
        <m:r>
          <m:t>)</m:t>
        </m:r>
        <m:r>
          <m:t>=</m:t>
        </m:r>
        <m:r>
          <m:t>−</m:t>
        </m:r>
        <m:r>
          <m:t>0.89</m:t>
        </m:r>
      </m:oMath>
      <w:r>
        <w:t xml:space="preserve">,</w:t>
      </w:r>
      <w:r>
        <w:t xml:space="preserve"> </w:t>
      </w:r>
      <m:oMath>
        <m:r>
          <m:t>p</m:t>
        </m:r>
        <m:r>
          <m:t>=</m:t>
        </m:r>
        <m:r>
          <m:t>.187</m:t>
        </m:r>
      </m:oMath>
      <w:r>
        <w:t xml:space="preserve">), and was significantly different from the search for conjunction search (</w:t>
      </w:r>
      <m:oMath>
        <m:r>
          <m:t>t</m:t>
        </m:r>
        <m:r>
          <m:t>(</m:t>
        </m:r>
        <m:r>
          <m:t>564</m:t>
        </m:r>
        <m:r>
          <m:t>)</m:t>
        </m:r>
        <m:r>
          <m:t>=</m:t>
        </m:r>
        <m:r>
          <m:t>5.92</m:t>
        </m:r>
      </m:oMath>
      <w:r>
        <w:t xml:space="preserve">,</w:t>
      </w:r>
      <w:r>
        <w:t xml:space="preserve"> </w:t>
      </w:r>
      <m:oMath>
        <m:r>
          <m:t>p</m:t>
        </m:r>
        <m:r>
          <m:t>&lt;</m:t>
        </m:r>
        <m:r>
          <m:t>.001</m:t>
        </m:r>
      </m:oMath>
      <w:r>
        <w:t xml:space="preserve">). This result is not surprising, given that a pop-out effect was already observed in block 1.</w:t>
      </w:r>
    </w:p>
    <w:p>
      <w:pPr>
        <w:pStyle w:val="Textkrper"/>
      </w:pPr>
      <w:r>
        <w:rPr>
          <w:i/>
        </w:rPr>
        <w:t xml:space="preserve">Hypothesis 4</w:t>
      </w:r>
      <w:r>
        <w:t xml:space="preserve">: To quantify the learning effect for shape search, we directly contrasted the search slope for shape search in blocks 1 and 3. We find no evidence for a learning effect (</w:t>
      </w:r>
      <m:oMath>
        <m:r>
          <m:t>t</m:t>
        </m:r>
        <m:r>
          <m:t>(</m:t>
        </m:r>
        <m:r>
          <m:t>542</m:t>
        </m:r>
        <m:r>
          <m:t>)</m:t>
        </m:r>
        <m:r>
          <m:t>=</m:t>
        </m:r>
        <m:r>
          <m:t>−</m:t>
        </m:r>
        <m:r>
          <m:t>0.04</m:t>
        </m:r>
      </m:oMath>
      <w:r>
        <w:t xml:space="preserve">,</w:t>
      </w:r>
      <w:r>
        <w:t xml:space="preserve"> </w:t>
      </w:r>
      <m:oMath>
        <m:r>
          <m:t>p</m:t>
        </m:r>
        <m:r>
          <m:t>=</m:t>
        </m:r>
        <m:r>
          <m:t>.968</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20.71</m:t>
        </m:r>
      </m:oMath>
      <w:r>
        <w:t xml:space="preserve">).</w:t>
      </w:r>
    </w:p>
    <w:p>
      <w:pPr>
        <w:pStyle w:val="Textkrper"/>
      </w:pPr>
      <w:r>
        <w:rPr>
          <w:i/>
        </w:rPr>
        <w:t xml:space="preserve">Hypothesis 5</w:t>
      </w:r>
      <w:r>
        <w:t xml:space="preserve">: In case of a learning effect for pop-out search, Hypothesis 5 was designed to test the specificity of this effect to shape pop-out by computing an interaction of block number and search type. Given that no learning effect has been observed, this test makes little sense. For completeness, we report that the change in slope between blocks 1 and 3 was similar for shape and conjunction search (</w:t>
      </w:r>
      <m:oMath>
        <m:r>
          <m:t>M</m:t>
        </m:r>
        <m:r>
          <m:t>=</m:t>
        </m:r>
        <m:r>
          <m:t>4.09</m:t>
        </m:r>
      </m:oMath>
      <w:r>
        <w:t xml:space="preserve">, 95% CI</w:t>
      </w:r>
      <w:r>
        <w:t xml:space="preserve"> </w:t>
      </w:r>
      <m:oMath>
        <m:r>
          <m:t>[</m:t>
        </m:r>
        <m:r>
          <m:t>−</m:t>
        </m:r>
        <m:r>
          <m:t>3.42</m:t>
        </m:r>
      </m:oMath>
      <w:r>
        <w:t xml:space="preserve">,</w:t>
      </w:r>
      <w:r>
        <w:t xml:space="preserve"> </w:t>
      </w:r>
      <m:oMath>
        <m:r>
          <m:t>11.61</m:t>
        </m:r>
        <m:r>
          <m:t>]</m:t>
        </m:r>
      </m:oMath>
      <w:r>
        <w:t xml:space="preserve">,</w:t>
      </w:r>
      <w:r>
        <w:t xml:space="preserve"> </w:t>
      </w:r>
      <m:oMath>
        <m:r>
          <m:t>t</m:t>
        </m:r>
        <m:r>
          <m:t>(</m:t>
        </m:r>
        <m:r>
          <m:t>274</m:t>
        </m:r>
        <m:r>
          <m:t>)</m:t>
        </m:r>
        <m:r>
          <m:t>=</m:t>
        </m:r>
        <m:r>
          <m:t>1.07</m:t>
        </m:r>
      </m:oMath>
      <w:r>
        <w:t xml:space="preserve">,</w:t>
      </w:r>
      <w:r>
        <w:t xml:space="preserve"> </w:t>
      </w:r>
      <m:oMath>
        <m:r>
          <m:t>p</m:t>
        </m:r>
        <m:r>
          <m:t>=</m:t>
        </m:r>
        <m:r>
          <m:t>.285</m:t>
        </m:r>
      </m:oMath>
      <w:r>
        <w:t xml:space="preserve">).</w:t>
      </w:r>
    </w:p>
    <w:p>
      <w:pPr>
        <w:pStyle w:val="CaptionedFigure"/>
      </w:pPr>
      <w:r>
        <w:drawing>
          <wp:inline>
            <wp:extent cx="4587290" cy="3669832"/>
            <wp:effectExtent b="0" l="0" r="0" t="0"/>
            <wp:docPr descr="Figure 3:.  Upper panel: median search time by distractor set size for the two search tasks across the three blocks. Correct responses only. Lower panel: accuracy as a function of block, set size and search type. Error bars represent the standard error of the median." title="" id="1" name="Picture"/>
            <a:graphic>
              <a:graphicData uri="http://schemas.openxmlformats.org/drawingml/2006/picture">
                <pic:pic>
                  <pic:nvPicPr>
                    <pic:cNvPr descr="termination_Exp2_files/figure-docx/exp1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Upper panel: median search time by distractor set size for the two search tasks across the three blocks. Correct responses only. Lower panel: accuracy as a function of block, set size and search type. Error bars represent the standard error of the median.</w:t>
      </w:r>
    </w:p>
    <w:p>
      <w:r>
        <w:br w:type="page"/>
      </w:r>
    </w:p>
    <w:p>
      <w:pPr>
        <w:pStyle w:val="berschrift1"/>
      </w:pPr>
      <w:bookmarkStart w:id="33" w:name="references"/>
      <w:r>
        <w:t xml:space="preserve">References</w:t>
      </w:r>
      <w:bookmarkEnd w:id="33"/>
    </w:p>
    <w:bookmarkStart w:id="86" w:name="refs"/>
    <w:bookmarkStart w:id="35"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34">
        <w:r>
          <w:rPr>
            <w:rStyle w:val="Hyperlink"/>
          </w:rPr>
          <w:t xml:space="preserve">https://github.com/crsh/papaja</w:t>
        </w:r>
      </w:hyperlink>
    </w:p>
    <w:bookmarkEnd w:id="35"/>
    <w:bookmarkStart w:id="37" w:name="ref-R-Matrix"/>
    <w:p>
      <w:pPr>
        <w:pStyle w:val="Literaturverzeichnis"/>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36">
        <w:r>
          <w:rPr>
            <w:rStyle w:val="Hyperlink"/>
          </w:rPr>
          <w:t xml:space="preserve">https://CRAN.R-project.org/package=Matrix</w:t>
        </w:r>
      </w:hyperlink>
    </w:p>
    <w:bookmarkEnd w:id="37"/>
    <w:bookmarkStart w:id="39" w:name="ref-R-brms_a"/>
    <w:p>
      <w:pPr>
        <w:pStyle w:val="Literaturverzeichnis"/>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38">
        <w:r>
          <w:rPr>
            <w:rStyle w:val="Hyperlink"/>
          </w:rPr>
          <w:t xml:space="preserve">https://doi.org/10.18637/jss.v080.i01</w:t>
        </w:r>
      </w:hyperlink>
    </w:p>
    <w:bookmarkEnd w:id="39"/>
    <w:bookmarkStart w:id="41" w:name="ref-R-brms_b"/>
    <w:p>
      <w:pPr>
        <w:pStyle w:val="Literaturverzeichnis"/>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0">
        <w:r>
          <w:rPr>
            <w:rStyle w:val="Hyperlink"/>
          </w:rPr>
          <w:t xml:space="preserve">https://doi.org/10.32614/RJ-2018-017</w:t>
        </w:r>
      </w:hyperlink>
    </w:p>
    <w:bookmarkEnd w:id="41"/>
    <w:bookmarkStart w:id="43"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42">
        <w:r>
          <w:rPr>
            <w:rStyle w:val="Hyperlink"/>
          </w:rPr>
          <w:t xml:space="preserve">https://CRAN.R-project.org/package=pwr</w:t>
        </w:r>
      </w:hyperlink>
    </w:p>
    <w:bookmarkEnd w:id="43"/>
    <w:bookmarkStart w:id="45" w:name="ref-R-Rcpp_b"/>
    <w:p>
      <w:pPr>
        <w:pStyle w:val="Literaturverzeichnis"/>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w:t>
      </w:r>
      <w:r>
        <w:t xml:space="preserve"> </w:t>
      </w:r>
      <w:hyperlink r:id="rId44">
        <w:r>
          <w:rPr>
            <w:rStyle w:val="Hyperlink"/>
          </w:rPr>
          <w:t xml:space="preserve">https://doi.org/10.7287/peerj.preprints.3188v1</w:t>
        </w:r>
      </w:hyperlink>
    </w:p>
    <w:bookmarkEnd w:id="45"/>
    <w:bookmarkStart w:id="47" w:name="ref-R-Rcpp_a"/>
    <w:p>
      <w:pPr>
        <w:pStyle w:val="Literaturverzeichnis"/>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46">
        <w:r>
          <w:rPr>
            <w:rStyle w:val="Hyperlink"/>
          </w:rPr>
          <w:t xml:space="preserve">https://doi.org/10.18637/jss.v040.i08</w:t>
        </w:r>
      </w:hyperlink>
    </w:p>
    <w:bookmarkEnd w:id="47"/>
    <w:bookmarkStart w:id="49"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48">
        <w:r>
          <w:rPr>
            <w:rStyle w:val="Hyperlink"/>
          </w:rPr>
          <w:t xml:space="preserve">https://CRAN.R-project.org/package=MESS</w:t>
        </w:r>
      </w:hyperlink>
    </w:p>
    <w:bookmarkEnd w:id="49"/>
    <w:bookmarkStart w:id="51"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50">
        <w:r>
          <w:rPr>
            <w:rStyle w:val="Hyperlink"/>
          </w:rPr>
          <w:t xml:space="preserve">https://CRAN.R-project.org/package=purrr</w:t>
        </w:r>
      </w:hyperlink>
    </w:p>
    <w:bookmarkEnd w:id="51"/>
    <w:bookmarkStart w:id="53" w:name="ref-R-remotes"/>
    <w:p>
      <w:pPr>
        <w:pStyle w:val="Literaturverzeichnis"/>
        <w:pStyle w:val="Literaturverzeichnis"/>
      </w:pPr>
      <w:r>
        <w:t xml:space="preserve">Hester, J., Csárdi, G., Wickham, H., Chang, W., Morgan, M., &amp; Tenenbaum, D. (2020).</w:t>
      </w:r>
      <w:r>
        <w:t xml:space="preserve"> </w:t>
      </w:r>
      <w:r>
        <w:rPr>
          <w:i/>
        </w:rPr>
        <w:t xml:space="preserve">Remotes: R package installation from remote repositories, including ’github’</w:t>
      </w:r>
      <w:r>
        <w:t xml:space="preserve">. Retrieved from</w:t>
      </w:r>
      <w:r>
        <w:t xml:space="preserve"> </w:t>
      </w:r>
      <w:hyperlink r:id="rId52">
        <w:r>
          <w:rPr>
            <w:rStyle w:val="Hyperlink"/>
          </w:rPr>
          <w:t xml:space="preserve">https://CRAN.R-project.org/package=remotes</w:t>
        </w:r>
      </w:hyperlink>
    </w:p>
    <w:bookmarkEnd w:id="53"/>
    <w:bookmarkStart w:id="55" w:name="ref-R-TOSTER"/>
    <w:p>
      <w:pPr>
        <w:pStyle w:val="Literaturverzeichnis"/>
        <w:pStyle w:val="Literaturverzeichnis"/>
      </w:pPr>
      <w:r>
        <w:t xml:space="preserve">Lakens, D. (2017). Equivalence tests: A practical primer for t-tests, correlations, and meta-analyses.</w:t>
      </w:r>
      <w:r>
        <w:t xml:space="preserve"> </w:t>
      </w:r>
      <w:r>
        <w:rPr>
          <w:i/>
        </w:rPr>
        <w:t xml:space="preserve">Social Psychological and Personality Science</w:t>
      </w:r>
      <w:r>
        <w:t xml:space="preserve">,</w:t>
      </w:r>
      <w:r>
        <w:t xml:space="preserve"> </w:t>
      </w:r>
      <w:r>
        <w:rPr>
          <w:i/>
        </w:rPr>
        <w:t xml:space="preserve">1</w:t>
      </w:r>
      <w:r>
        <w:t xml:space="preserve">, 1–8.</w:t>
      </w:r>
      <w:r>
        <w:t xml:space="preserve"> </w:t>
      </w:r>
      <w:hyperlink r:id="rId54">
        <w:r>
          <w:rPr>
            <w:rStyle w:val="Hyperlink"/>
          </w:rPr>
          <w:t xml:space="preserve">https://doi.org/10.1177/1948550617697177</w:t>
        </w:r>
      </w:hyperlink>
    </w:p>
    <w:bookmarkEnd w:id="55"/>
    <w:bookmarkStart w:id="56" w:name="ref-R-tostpower"/>
    <w:p>
      <w:pPr>
        <w:pStyle w:val="Literaturverzeichnis"/>
        <w:pStyle w:val="Literaturverzeichnis"/>
      </w:pPr>
      <w:r>
        <w:t xml:space="preserve">Malandro, D. (2016).</w:t>
      </w:r>
      <w:r>
        <w:t xml:space="preserve"> </w:t>
      </w:r>
      <w:r>
        <w:rPr>
          <w:i/>
        </w:rPr>
        <w:t xml:space="preserve">Tostpower: TOST equivalence/noninferiority power calculation</w:t>
      </w:r>
      <w:r>
        <w:t xml:space="preserve">.</w:t>
      </w:r>
    </w:p>
    <w:bookmarkEnd w:id="56"/>
    <w:bookmarkStart w:id="57"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57"/>
    <w:bookmarkStart w:id="59"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58">
        <w:r>
          <w:rPr>
            <w:rStyle w:val="Hyperlink"/>
          </w:rPr>
          <w:t xml:space="preserve">https://CRAN.R-project.org/package=BayesFactor</w:t>
        </w:r>
      </w:hyperlink>
    </w:p>
    <w:bookmarkEnd w:id="59"/>
    <w:bookmarkStart w:id="61" w:name="ref-R-tibble"/>
    <w:p>
      <w:pPr>
        <w:pStyle w:val="Literaturverzeichnis"/>
        <w:pStyle w:val="Literaturverzeichnis"/>
      </w:pPr>
      <w:r>
        <w:t xml:space="preserve">Müller, K., &amp; Wickham, H. (2020).</w:t>
      </w:r>
      <w:r>
        <w:t xml:space="preserve"> </w:t>
      </w:r>
      <w:r>
        <w:rPr>
          <w:i/>
        </w:rPr>
        <w:t xml:space="preserve">Tibble: Simple data frames</w:t>
      </w:r>
      <w:r>
        <w:t xml:space="preserve">. Retrieved from</w:t>
      </w:r>
      <w:r>
        <w:t xml:space="preserve"> </w:t>
      </w:r>
      <w:hyperlink r:id="rId60">
        <w:r>
          <w:rPr>
            <w:rStyle w:val="Hyperlink"/>
          </w:rPr>
          <w:t xml:space="preserve">https://CRAN.R-project.org/package=tibble</w:t>
        </w:r>
      </w:hyperlink>
    </w:p>
    <w:bookmarkEnd w:id="61"/>
    <w:bookmarkStart w:id="63"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62">
        <w:r>
          <w:rPr>
            <w:rStyle w:val="Hyperlink"/>
          </w:rPr>
          <w:t xml:space="preserve">http://ua.edu.au/ccs/teaching/lsr</w:t>
        </w:r>
      </w:hyperlink>
    </w:p>
    <w:bookmarkEnd w:id="63"/>
    <w:bookmarkStart w:id="65" w:name="ref-R-coda"/>
    <w:p>
      <w:pPr>
        <w:pStyle w:val="Literaturverzeichnis"/>
        <w:pStyle w:val="Literaturverzeichnis"/>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 Retrieved from</w:t>
      </w:r>
      <w:r>
        <w:t xml:space="preserve"> </w:t>
      </w:r>
      <w:hyperlink r:id="rId64">
        <w:r>
          <w:rPr>
            <w:rStyle w:val="Hyperlink"/>
          </w:rPr>
          <w:t xml:space="preserve">https://journal.r-project.org/archive/</w:t>
        </w:r>
      </w:hyperlink>
    </w:p>
    <w:bookmarkEnd w:id="65"/>
    <w:bookmarkStart w:id="67"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bookmarkEnd w:id="67"/>
    <w:bookmarkStart w:id="69" w:name="ref-R-broom"/>
    <w:p>
      <w:pPr>
        <w:pStyle w:val="Literaturverzeichnis"/>
        <w:pStyle w:val="Literaturverzeichnis"/>
      </w:pPr>
      <w:r>
        <w:t xml:space="preserve">Robinson, D., &amp; Hayes, A. (2020).</w:t>
      </w:r>
      <w:r>
        <w:t xml:space="preserve"> </w:t>
      </w:r>
      <w:r>
        <w:rPr>
          <w:i/>
        </w:rPr>
        <w:t xml:space="preserve">Broom: Convert statistical analysis objects into tidy tibbles</w:t>
      </w:r>
      <w:r>
        <w:t xml:space="preserve">. Retrieved from</w:t>
      </w:r>
      <w:r>
        <w:t xml:space="preserve"> </w:t>
      </w:r>
      <w:hyperlink r:id="rId68">
        <w:r>
          <w:rPr>
            <w:rStyle w:val="Hyperlink"/>
          </w:rPr>
          <w:t xml:space="preserve">https://CRAN.R-project.org/package=broom</w:t>
        </w:r>
      </w:hyperlink>
    </w:p>
    <w:bookmarkEnd w:id="69"/>
    <w:bookmarkStart w:id="71"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70">
        <w:r>
          <w:rPr>
            <w:rStyle w:val="Hyperlink"/>
          </w:rPr>
          <w:t xml:space="preserve">https://ggplot2.tidyverse.org</w:t>
        </w:r>
      </w:hyperlink>
    </w:p>
    <w:bookmarkEnd w:id="71"/>
    <w:bookmarkStart w:id="73"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72">
        <w:r>
          <w:rPr>
            <w:rStyle w:val="Hyperlink"/>
          </w:rPr>
          <w:t xml:space="preserve">https://CRAN.R-project.org/package=stringr</w:t>
        </w:r>
      </w:hyperlink>
    </w:p>
    <w:bookmarkEnd w:id="73"/>
    <w:bookmarkStart w:id="75" w:name="ref-R-forcats"/>
    <w:p>
      <w:pPr>
        <w:pStyle w:val="Literaturverzeichnis"/>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74">
        <w:r>
          <w:rPr>
            <w:rStyle w:val="Hyperlink"/>
          </w:rPr>
          <w:t xml:space="preserve">https://CRAN.R-project.org/package=forcats</w:t>
        </w:r>
      </w:hyperlink>
    </w:p>
    <w:bookmarkEnd w:id="75"/>
    <w:bookmarkStart w:id="77"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76">
        <w:r>
          <w:rPr>
            <w:rStyle w:val="Hyperlink"/>
          </w:rPr>
          <w:t xml:space="preserve">https://doi.org/10.21105/joss.01686</w:t>
        </w:r>
      </w:hyperlink>
    </w:p>
    <w:bookmarkEnd w:id="77"/>
    <w:bookmarkStart w:id="79"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78">
        <w:r>
          <w:rPr>
            <w:rStyle w:val="Hyperlink"/>
          </w:rPr>
          <w:t xml:space="preserve">https://CRAN.R-project.org/package=dplyr</w:t>
        </w:r>
      </w:hyperlink>
    </w:p>
    <w:bookmarkEnd w:id="79"/>
    <w:bookmarkStart w:id="81"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80">
        <w:r>
          <w:rPr>
            <w:rStyle w:val="Hyperlink"/>
          </w:rPr>
          <w:t xml:space="preserve">https://CRAN.R-project.org/package=tidyr</w:t>
        </w:r>
      </w:hyperlink>
    </w:p>
    <w:bookmarkEnd w:id="81"/>
    <w:bookmarkStart w:id="83" w:name="ref-R-readr"/>
    <w:p>
      <w:pPr>
        <w:pStyle w:val="Literaturverzeichnis"/>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82">
        <w:r>
          <w:rPr>
            <w:rStyle w:val="Hyperlink"/>
          </w:rPr>
          <w:t xml:space="preserve">https://CRAN.R-project.org/package=readr</w:t>
        </w:r>
      </w:hyperlink>
    </w:p>
    <w:bookmarkEnd w:id="83"/>
    <w:bookmarkStart w:id="85"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84">
        <w:r>
          <w:rPr>
            <w:rStyle w:val="Hyperlink"/>
          </w:rPr>
          <w:t xml:space="preserve">https://CRAN.R-project.org/package=cowplot</w:t>
        </w:r>
      </w:hyperlink>
    </w:p>
    <w:bookmarkEnd w:id="85"/>
    <w:bookmarkEnd w:id="86"/>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62" Target="http://ua.edu.au/ccs/teaching/lsr" TargetMode="External" /><Relationship Type="http://schemas.openxmlformats.org/officeDocument/2006/relationships/hyperlink" Id="rId58" Target="https://CRAN.R-project.org/package=BayesFactor" TargetMode="External" /><Relationship Type="http://schemas.openxmlformats.org/officeDocument/2006/relationships/hyperlink" Id="rId48" Target="https://CRAN.R-project.org/package=MESS" TargetMode="External" /><Relationship Type="http://schemas.openxmlformats.org/officeDocument/2006/relationships/hyperlink" Id="rId36" Target="https://CRAN.R-project.org/package=Matrix" TargetMode="External" /><Relationship Type="http://schemas.openxmlformats.org/officeDocument/2006/relationships/hyperlink" Id="rId68" Target="https://CRAN.R-project.org/package=broom" TargetMode="External" /><Relationship Type="http://schemas.openxmlformats.org/officeDocument/2006/relationships/hyperlink" Id="rId84" Target="https://CRAN.R-project.org/package=cowplot" TargetMode="External" /><Relationship Type="http://schemas.openxmlformats.org/officeDocument/2006/relationships/hyperlink" Id="rId78" Target="https://CRAN.R-project.org/package=dplyr" TargetMode="External" /><Relationship Type="http://schemas.openxmlformats.org/officeDocument/2006/relationships/hyperlink" Id="rId74" Target="https://CRAN.R-project.org/package=forcats" TargetMode="External" /><Relationship Type="http://schemas.openxmlformats.org/officeDocument/2006/relationships/hyperlink" Id="rId50" Target="https://CRAN.R-project.org/package=purrr" TargetMode="External" /><Relationship Type="http://schemas.openxmlformats.org/officeDocument/2006/relationships/hyperlink" Id="rId42" Target="https://CRAN.R-project.org/package=pwr" TargetMode="External" /><Relationship Type="http://schemas.openxmlformats.org/officeDocument/2006/relationships/hyperlink" Id="rId82" Target="https://CRAN.R-project.org/package=readr" TargetMode="External" /><Relationship Type="http://schemas.openxmlformats.org/officeDocument/2006/relationships/hyperlink" Id="rId52" Target="https://CRAN.R-project.org/package=remotes" TargetMode="External" /><Relationship Type="http://schemas.openxmlformats.org/officeDocument/2006/relationships/hyperlink" Id="rId72"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54" Target="https://doi.org/10.1177/1948550617697177" TargetMode="External" /><Relationship Type="http://schemas.openxmlformats.org/officeDocument/2006/relationships/hyperlink" Id="rId46" Target="https://doi.org/10.18637/jss.v040.i08" TargetMode="External" /><Relationship Type="http://schemas.openxmlformats.org/officeDocument/2006/relationships/hyperlink" Id="rId38" Target="https://doi.org/10.18637/jss.v080.i01" TargetMode="External" /><Relationship Type="http://schemas.openxmlformats.org/officeDocument/2006/relationships/hyperlink" Id="rId76" Target="https://doi.org/10.21105/joss.01686" TargetMode="External" /><Relationship Type="http://schemas.openxmlformats.org/officeDocument/2006/relationships/hyperlink" Id="rId40" Target="https://doi.org/10.32614/RJ-2018-017" TargetMode="External" /><Relationship Type="http://schemas.openxmlformats.org/officeDocument/2006/relationships/hyperlink" Id="rId44" Target="https://doi.org/10.7287/peerj.preprints.3188v1" TargetMode="External" /><Relationship Type="http://schemas.openxmlformats.org/officeDocument/2006/relationships/hyperlink" Id="rId70" Target="https://ggplot2.tidyverse.org" TargetMode="External" /><Relationship Type="http://schemas.openxmlformats.org/officeDocument/2006/relationships/hyperlink" Id="rId34" Target="https://github.com/crsh/papaja" TargetMode="External" /><Relationship Type="http://schemas.openxmlformats.org/officeDocument/2006/relationships/hyperlink" Id="rId64" Target="https://journal.r-project.org/archive/" TargetMode="External" /><Relationship Type="http://schemas.openxmlformats.org/officeDocument/2006/relationships/hyperlink" Id="rId66" Target="https://www.R-project.org/"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62" Target="http://ua.edu.au/ccs/teaching/lsr" TargetMode="External" /><Relationship Type="http://schemas.openxmlformats.org/officeDocument/2006/relationships/hyperlink" Id="rId58" Target="https://CRAN.R-project.org/package=BayesFactor" TargetMode="External" /><Relationship Type="http://schemas.openxmlformats.org/officeDocument/2006/relationships/hyperlink" Id="rId48" Target="https://CRAN.R-project.org/package=MESS" TargetMode="External" /><Relationship Type="http://schemas.openxmlformats.org/officeDocument/2006/relationships/hyperlink" Id="rId36" Target="https://CRAN.R-project.org/package=Matrix" TargetMode="External" /><Relationship Type="http://schemas.openxmlformats.org/officeDocument/2006/relationships/hyperlink" Id="rId68" Target="https://CRAN.R-project.org/package=broom" TargetMode="External" /><Relationship Type="http://schemas.openxmlformats.org/officeDocument/2006/relationships/hyperlink" Id="rId84" Target="https://CRAN.R-project.org/package=cowplot" TargetMode="External" /><Relationship Type="http://schemas.openxmlformats.org/officeDocument/2006/relationships/hyperlink" Id="rId78" Target="https://CRAN.R-project.org/package=dplyr" TargetMode="External" /><Relationship Type="http://schemas.openxmlformats.org/officeDocument/2006/relationships/hyperlink" Id="rId74" Target="https://CRAN.R-project.org/package=forcats" TargetMode="External" /><Relationship Type="http://schemas.openxmlformats.org/officeDocument/2006/relationships/hyperlink" Id="rId50" Target="https://CRAN.R-project.org/package=purrr" TargetMode="External" /><Relationship Type="http://schemas.openxmlformats.org/officeDocument/2006/relationships/hyperlink" Id="rId42" Target="https://CRAN.R-project.org/package=pwr" TargetMode="External" /><Relationship Type="http://schemas.openxmlformats.org/officeDocument/2006/relationships/hyperlink" Id="rId82" Target="https://CRAN.R-project.org/package=readr" TargetMode="External" /><Relationship Type="http://schemas.openxmlformats.org/officeDocument/2006/relationships/hyperlink" Id="rId52" Target="https://CRAN.R-project.org/package=remotes" TargetMode="External" /><Relationship Type="http://schemas.openxmlformats.org/officeDocument/2006/relationships/hyperlink" Id="rId72"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54" Target="https://doi.org/10.1177/1948550617697177" TargetMode="External" /><Relationship Type="http://schemas.openxmlformats.org/officeDocument/2006/relationships/hyperlink" Id="rId46" Target="https://doi.org/10.18637/jss.v040.i08" TargetMode="External" /><Relationship Type="http://schemas.openxmlformats.org/officeDocument/2006/relationships/hyperlink" Id="rId38" Target="https://doi.org/10.18637/jss.v080.i01" TargetMode="External" /><Relationship Type="http://schemas.openxmlformats.org/officeDocument/2006/relationships/hyperlink" Id="rId76" Target="https://doi.org/10.21105/joss.01686" TargetMode="External" /><Relationship Type="http://schemas.openxmlformats.org/officeDocument/2006/relationships/hyperlink" Id="rId40" Target="https://doi.org/10.32614/RJ-2018-017" TargetMode="External" /><Relationship Type="http://schemas.openxmlformats.org/officeDocument/2006/relationships/hyperlink" Id="rId44" Target="https://doi.org/10.7287/peerj.preprints.3188v1" TargetMode="External" /><Relationship Type="http://schemas.openxmlformats.org/officeDocument/2006/relationships/hyperlink" Id="rId70" Target="https://ggplot2.tidyverse.org" TargetMode="External" /><Relationship Type="http://schemas.openxmlformats.org/officeDocument/2006/relationships/hyperlink" Id="rId34" Target="https://github.com/crsh/papaja" TargetMode="External" /><Relationship Type="http://schemas.openxmlformats.org/officeDocument/2006/relationships/hyperlink" Id="rId64" Target="https://journal.r-project.org/archive/" TargetMode="External" /><Relationship Type="http://schemas.openxmlformats.org/officeDocument/2006/relationships/hyperlink" Id="rId66"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dcterms:created xsi:type="dcterms:W3CDTF">2020-11-18T17:12:06Z</dcterms:created>
  <dcterms:modified xsi:type="dcterms:W3CDTF">2020-11-18T17:12:06Z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