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IP Addressing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Ubuntu Innovations (Pty) Ltd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Week 2 – Task 5  |  IT Support Capstone Project</w:t>
      </w:r>
    </w:p>
    <w:p>
      <w:pPr>
        <w:pBdr>
          <w:bottom w:val="single" w:color="1F3864" w:sz="4" w:space="1"/>
        </w:pBdr>
        <w:spacing w:after="160" w:before="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Network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Ubuntu Innovations (Pty) Ltd operates a segmented office network using the private IP range 192.168.0.0/16. The network is divided into five VLANs, each assigned to a specific device category. This segmentation improves security, simplifies traffic management, and allows department-level access control.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router/firewall serves as the central gateway at 192.168.1.1 and manages all inter-VLAN routing and internet access.</w:t>
      </w:r>
    </w:p>
    <w:p>
      <w:pP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Subnet Allocation Table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subnets have been assigned to support all 25 employees and network devices across five departments: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14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Range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Usable Hosts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Servers / 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 – 192.168.10.254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Devices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192.168.20.1 – 192.168.20.254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192.168.30.1 – 192.168.30.254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(Wireless)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192.168.40.0/24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192.168.40.1 – 192.168.40.254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192.168.40.1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 /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192.168.50.0/24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192.168.50.1 – 192.168.50.254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192.168.50.1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253</w:t>
            </w:r>
          </w:p>
        </w:tc>
      </w:tr>
    </w:tbl>
    <w:p>
      <w:pP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Static IP Assignments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infrastructure devices have been assigned static IP addresses to ensure consistent network identity and reliable connectivity: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4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/ Firewall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gateway for all traffic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Switch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management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WAP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Wireless Access Point – Zone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WAP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Wireless Access Point – Zone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 Device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 and backups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Printer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laser printer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Printer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laser printer</w:t>
            </w:r>
          </w:p>
        </w:tc>
      </w:tr>
    </w:tbl>
    <w:p>
      <w:pP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DHCP Configuration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desktops, laptops, and wireless devices receive IP addresses dynamically via DHCP. A portion of each subnet is reserved for future static assignments or infrastructure expansion.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DHCP Range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 (Static Reserved)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Devices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192.168.20.50 – 192.168.20.200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.1 – .49 reserved for static devices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192.168.40.50 – 192.168.40.200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.1 – .49 reserved for static devices</w:t>
            </w:r>
          </w:p>
        </w:tc>
      </w:tr>
    </w:tbl>
    <w:p>
      <w:pP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DNS Configuration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Internal DNS resolution is handled by the NAS/server at 192.168.10.10. External DNS queries are forwarded to the following public resolvers for redundancy: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Primary: 8.8.8.8 (Google Public DNS)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Secondary: 1.1.1.1 (Cloudflare DNS)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Design Justification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use of separate subnets for each device category aligns with IT security best practices. Key benefits include: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Isolation: Printer and server traffic is separated from general user traffic, reducing exposure to lateral movement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Scalability: Each /24 subnet supports up to 253 hosts, providing ample room for future growth.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Manageability: Static IPs on infrastructure devices ensure reliable remote management and monitoring.</w:t>
      </w:r>
    </w:p>
    <w:p>
      <w:pPr>
        <w:pStyle w:val="ListParagraph"/>
        <w:numPr>
          <w:ilvl w:val="0"/>
          <w:numId w:val="2"/>
        </w:numPr>
        <w:spacing w:after="160" w:before="40"/>
      </w:pPr>
      <w:r>
        <w:rPr>
          <w:rFonts w:ascii="Arial" w:cs="Arial" w:eastAsia="Arial" w:hAnsi="Arial"/>
          <w:sz w:val="20"/>
          <w:szCs w:val="20"/>
        </w:rPr>
        <w:t xml:space="preserve">Policy enforcement: VLAN segmentation enables firewall rules to restrict inter-subnet access where required.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Arial" w:cs="Arial" w:eastAsia="Arial" w:hAnsi="Arial"/>
        <w:color w:val="1F3864"/>
        <w:sz w:val="18"/>
        <w:szCs w:val="18"/>
      </w:rPr>
      <w:t xml:space="preserve">Ubuntu Innovations (Pty) Ltd  |  IT Infrastructure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2026-05-29T03:58:18.723Z</dcterms:created>
  <dcterms:modified xsi:type="dcterms:W3CDTF">2026-05-29T03:58:18.723Z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