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7F67D" w14:textId="77777777" w:rsidR="0086321C" w:rsidRPr="00201D52" w:rsidRDefault="00000000">
      <w:pPr>
        <w:spacing w:after="1" w:line="260" w:lineRule="auto"/>
        <w:ind w:left="12"/>
        <w:jc w:val="center"/>
        <w:rPr>
          <w:rFonts w:ascii="Times New Roman" w:hAnsi="Times New Roman" w:cs="Times New Roman"/>
          <w:color w:val="000000" w:themeColor="text1"/>
        </w:rPr>
      </w:pPr>
      <w:r w:rsidRPr="00201D52">
        <w:rPr>
          <w:rFonts w:ascii="Times New Roman" w:hAnsi="Times New Roman" w:cs="Times New Roman"/>
          <w:b/>
          <w:color w:val="000000" w:themeColor="text1"/>
        </w:rPr>
        <w:t xml:space="preserve">A Composite Stress Index Framework for Quantifying </w:t>
      </w:r>
    </w:p>
    <w:p w14:paraId="4177E9E2" w14:textId="77777777" w:rsidR="0086321C" w:rsidRPr="00201D52" w:rsidRDefault="00000000">
      <w:pPr>
        <w:spacing w:after="369" w:line="260" w:lineRule="auto"/>
        <w:ind w:left="12" w:right="2"/>
        <w:jc w:val="center"/>
        <w:rPr>
          <w:rFonts w:ascii="Times New Roman" w:hAnsi="Times New Roman" w:cs="Times New Roman"/>
          <w:color w:val="000000" w:themeColor="text1"/>
        </w:rPr>
      </w:pPr>
      <w:r w:rsidRPr="00201D52">
        <w:rPr>
          <w:rFonts w:ascii="Times New Roman" w:hAnsi="Times New Roman" w:cs="Times New Roman"/>
          <w:b/>
          <w:color w:val="000000" w:themeColor="text1"/>
        </w:rPr>
        <w:t>Biological Stress</w:t>
      </w:r>
    </w:p>
    <w:p w14:paraId="30546017" w14:textId="77777777" w:rsidR="0086321C" w:rsidRPr="00201D52" w:rsidRDefault="00CD3823">
      <w:pPr>
        <w:spacing w:after="121" w:line="259" w:lineRule="auto"/>
        <w:ind w:left="6" w:firstLine="0"/>
        <w:jc w:val="center"/>
        <w:rPr>
          <w:rFonts w:ascii="Times New Roman" w:hAnsi="Times New Roman" w:cs="Times New Roman"/>
          <w:color w:val="000000" w:themeColor="text1"/>
        </w:rPr>
      </w:pPr>
      <w:r w:rsidRPr="00201D52">
        <w:rPr>
          <w:rFonts w:ascii="Times New Roman" w:hAnsi="Times New Roman" w:cs="Times New Roman"/>
          <w:color w:val="000000" w:themeColor="text1"/>
        </w:rPr>
        <w:t>Author: Naija Thomas</w:t>
      </w:r>
    </w:p>
    <w:p w14:paraId="2FF715CB" w14:textId="77777777" w:rsidR="00CD3823" w:rsidRPr="00201D52" w:rsidRDefault="00000000">
      <w:pPr>
        <w:spacing w:after="360" w:line="358" w:lineRule="auto"/>
        <w:ind w:left="815" w:right="813" w:firstLine="0"/>
        <w:jc w:val="center"/>
        <w:rPr>
          <w:rFonts w:ascii="Times New Roman" w:hAnsi="Times New Roman" w:cs="Times New Roman"/>
          <w:i/>
          <w:color w:val="000000" w:themeColor="text1"/>
        </w:rPr>
      </w:pPr>
      <w:r w:rsidRPr="00201D52">
        <w:rPr>
          <w:rFonts w:ascii="Times New Roman" w:hAnsi="Times New Roman" w:cs="Times New Roman"/>
          <w:i/>
          <w:color w:val="000000" w:themeColor="text1"/>
        </w:rPr>
        <w:t>School of Applied Computational Sciences, Meharry Medical College</w:t>
      </w:r>
    </w:p>
    <w:p w14:paraId="350BD281" w14:textId="77777777" w:rsidR="0086321C" w:rsidRPr="00201D52" w:rsidRDefault="00000000">
      <w:pPr>
        <w:spacing w:after="360" w:line="358" w:lineRule="auto"/>
        <w:ind w:left="815" w:right="813" w:firstLine="0"/>
        <w:jc w:val="center"/>
        <w:rPr>
          <w:rFonts w:ascii="Times New Roman" w:hAnsi="Times New Roman" w:cs="Times New Roman"/>
          <w:color w:val="000000" w:themeColor="text1"/>
        </w:rPr>
      </w:pPr>
      <w:r w:rsidRPr="00201D52">
        <w:rPr>
          <w:rFonts w:ascii="Times New Roman" w:hAnsi="Times New Roman" w:cs="Times New Roman"/>
          <w:i/>
          <w:color w:val="000000" w:themeColor="text1"/>
        </w:rPr>
        <w:t xml:space="preserve"> </w:t>
      </w:r>
      <w:r w:rsidRPr="00201D52">
        <w:rPr>
          <w:rFonts w:ascii="Times New Roman" w:hAnsi="Times New Roman" w:cs="Times New Roman"/>
          <w:color w:val="000000" w:themeColor="text1"/>
        </w:rPr>
        <w:t xml:space="preserve"> September 16, 2026 (Revision v3)</w:t>
      </w:r>
    </w:p>
    <w:p w14:paraId="21977CD3" w14:textId="77777777" w:rsidR="0086321C" w:rsidRPr="00201D52" w:rsidRDefault="00000000">
      <w:pPr>
        <w:pStyle w:val="Heading1"/>
        <w:numPr>
          <w:ilvl w:val="0"/>
          <w:numId w:val="0"/>
        </w:numPr>
        <w:spacing w:after="161"/>
        <w:rPr>
          <w:rFonts w:ascii="Times New Roman" w:hAnsi="Times New Roman" w:cs="Times New Roman"/>
          <w:color w:val="000000" w:themeColor="text1"/>
          <w:sz w:val="24"/>
        </w:rPr>
      </w:pPr>
      <w:r w:rsidRPr="00201D52">
        <w:rPr>
          <w:rFonts w:ascii="Times New Roman" w:hAnsi="Times New Roman" w:cs="Times New Roman"/>
          <w:color w:val="000000" w:themeColor="text1"/>
          <w:sz w:val="24"/>
        </w:rPr>
        <w:t>ABSTRACT</w:t>
      </w:r>
    </w:p>
    <w:p w14:paraId="4B9C7BF3" w14:textId="77777777" w:rsidR="0086321C" w:rsidRPr="00201D52" w:rsidRDefault="00000000">
      <w:pPr>
        <w:spacing w:after="311"/>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Coordinated biological stress-response programs arise when cells and tissues detect and adapt to environmental </w:t>
      </w:r>
      <w:r w:rsidR="002B5528">
        <w:rPr>
          <w:rFonts w:ascii="Times New Roman" w:hAnsi="Times New Roman" w:cs="Times New Roman"/>
          <w:color w:val="000000" w:themeColor="text1"/>
        </w:rPr>
        <w:t xml:space="preserve">instabilities </w:t>
      </w:r>
      <w:r w:rsidRPr="00201D52">
        <w:rPr>
          <w:rFonts w:ascii="Times New Roman" w:hAnsi="Times New Roman" w:cs="Times New Roman"/>
          <w:color w:val="000000" w:themeColor="text1"/>
        </w:rPr>
        <w:t>including hypoxia, oxidative injury, metabolic demand, immune pressure, and radiation exposure. These programs are commonly analyzed as independent pathway activities or aggregated into cohort-dependent molecular signatures, limiting interpretability, portability, and single-sample deployment across biological and disease contexts. Here, we formalize biological stress quantification as a deterministic mapping from high-dimensional molecular measurements into a biologically anchored, reference-standardized stress-coordinate space. We introduce the Composite Stress Index (CSI) as a disease-agnostic theoretical framework for representing coordinated biological stress as a reference-standardized composite of pre-specified, biologically curated stress-axis scores. The CSI framework is not restricted to any single disease domain; it applies to any biological system in which coordinated stress-response axes can be specified a priori from established biology.</w:t>
      </w:r>
    </w:p>
    <w:p w14:paraId="4D4BF630" w14:textId="77777777" w:rsidR="0086321C" w:rsidRPr="00201D52" w:rsidRDefault="00000000">
      <w:pPr>
        <w:spacing w:after="311"/>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Within oncology, the CSI framework is specialized as the Tumor Composite Stress Index (TCSI), where the biological system of interest is malignant tissue, and the stress axes reflect tumor-relevant adaptive programs including hypoxia signaling, glycolytic metabolism, angiogenic remodeling, reactive oxygen species response, and TNF-α/NF-κB inflammatory signaling. We define the Composite Stress Coordinate (CSC) as the image of an individual transcriptomic profile under a fixed family of stress-axis enrichment maps, and TCSI as a reference-standardized scalar function on this coordinate. Specifically, TCSI(x_raw; F) = τ_w </w:t>
      </w:r>
      <w:r w:rsidRPr="00201D52">
        <w:rPr>
          <w:rFonts w:ascii="Cambria Math" w:hAnsi="Cambria Math" w:cs="Cambria Math"/>
          <w:color w:val="000000" w:themeColor="text1"/>
        </w:rPr>
        <w:t>∘</w:t>
      </w:r>
      <w:r w:rsidRPr="00201D52">
        <w:rPr>
          <w:rFonts w:ascii="Times New Roman" w:hAnsi="Times New Roman" w:cs="Times New Roman"/>
          <w:color w:val="000000" w:themeColor="text1"/>
        </w:rPr>
        <w:t xml:space="preserve"> Φ_R </w:t>
      </w:r>
      <w:r w:rsidRPr="00201D52">
        <w:rPr>
          <w:rFonts w:ascii="Cambria Math" w:hAnsi="Cambria Math" w:cs="Cambria Math"/>
          <w:color w:val="000000" w:themeColor="text1"/>
        </w:rPr>
        <w:t>∘</w:t>
      </w:r>
      <w:r w:rsidRPr="00201D52">
        <w:rPr>
          <w:rFonts w:ascii="Times New Roman" w:hAnsi="Times New Roman" w:cs="Times New Roman"/>
          <w:color w:val="000000" w:themeColor="text1"/>
        </w:rPr>
        <w:t xml:space="preserve"> Ψ </w:t>
      </w:r>
      <w:r w:rsidRPr="00201D52">
        <w:rPr>
          <w:rFonts w:ascii="Cambria Math" w:hAnsi="Cambria Math" w:cs="Cambria Math"/>
          <w:color w:val="000000" w:themeColor="text1"/>
        </w:rPr>
        <w:t>∘</w:t>
      </w:r>
      <w:r w:rsidRPr="00201D52">
        <w:rPr>
          <w:rFonts w:ascii="Times New Roman" w:hAnsi="Times New Roman" w:cs="Times New Roman"/>
          <w:color w:val="000000" w:themeColor="text1"/>
        </w:rPr>
        <w:t xml:space="preserve"> H(x_raw), where H is a locked preprocessing and harmonisation operator, Ψ maps a harmonised molecular profile to pathway-level stress coordinates, Φ_R standardizes these coordinates relative to a frozen reference distribution R, and τ_w projects the standardized coordinate onto a fixed nonnegative burden direction.</w:t>
      </w:r>
    </w:p>
    <w:p w14:paraId="76307244" w14:textId="77777777" w:rsidR="0086321C" w:rsidRPr="00201D52" w:rsidRDefault="00000000">
      <w:pPr>
        <w:spacing w:after="311"/>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We establish six formal properties: axis-wise biological interpretability, exact decomposability into per-axis contributions, single-sample computability, frozen-coordinate comparability across datasets, coordinate-wise monotonicity, and extensibility to multiscale molecular and spatial mappings. Under standardized compound-symmetric pathway covariance, the equal-weight projection direction is collinear with the dominant principal-component direction (Theorem 4.1). Under an independent residual-noise model, the equal-weight projection reduces idiosyncratic </w:t>
      </w:r>
      <w:r w:rsidRPr="00201D52">
        <w:rPr>
          <w:rFonts w:ascii="Times New Roman" w:hAnsi="Times New Roman" w:cs="Times New Roman"/>
          <w:color w:val="000000" w:themeColor="text1"/>
        </w:rPr>
        <w:lastRenderedPageBreak/>
        <w:t>pathway noise variance by a factor of 1/K, corresponding to a (1 − 1/K) × 100% reduction (Theorem 4.2). The framework is extended to spatial transcriptomics by defining location-wise stress fields, kernel-smoothed stress surfaces, stress-boundary gradient operators, and Morse-theoretic characterization of stress-compartment topology. Persistent homology of the stress-coordinate cloud is introduced as a scale-invariant tool for characterizing global stress phenotype structure across cohorts.</w:t>
      </w:r>
    </w:p>
    <w:p w14:paraId="3B9C8AF2" w14:textId="77777777" w:rsidR="0086321C" w:rsidRPr="00201D52" w:rsidRDefault="00000000">
      <w:pPr>
        <w:spacing w:after="311"/>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Simulation studies across six </w:t>
      </w:r>
      <w:r w:rsidR="002B5528">
        <w:rPr>
          <w:rFonts w:ascii="Times New Roman" w:hAnsi="Times New Roman" w:cs="Times New Roman"/>
          <w:color w:val="000000" w:themeColor="text1"/>
        </w:rPr>
        <w:t xml:space="preserve">variation </w:t>
      </w:r>
      <w:r w:rsidRPr="00201D52">
        <w:rPr>
          <w:rFonts w:ascii="Times New Roman" w:hAnsi="Times New Roman" w:cs="Times New Roman"/>
          <w:color w:val="000000" w:themeColor="text1"/>
        </w:rPr>
        <w:t>regimes confirm spectral equivalence to PC1, monotonically bounded degradation under loading misalignment, analytical noise-attenuation results, stability under up to 25% gene missingness, robustness to monotonic cross-platform transformations, and negligible reference-cohort sensitivity with n_R ≥ 200. The CSI/TCSI framework provides a mathematically explicit, biologically interpretable, and outcome-independent coordinate system deployable from a single molecular profile using a locked, versioned reference standard, with no outcome-dependent calibration or clinical endpoint fitting. TCSI is one domain-specific instantiation of the general CSI operator; the same construction extends to any biological context in which coordinated stress-response axes can be curated a priori.</w:t>
      </w:r>
    </w:p>
    <w:p w14:paraId="7F8B437F" w14:textId="77777777" w:rsidR="00CD3823" w:rsidRPr="00201D52" w:rsidRDefault="00000000">
      <w:pPr>
        <w:spacing w:after="447" w:line="260" w:lineRule="auto"/>
        <w:ind w:left="0" w:firstLine="0"/>
        <w:jc w:val="left"/>
        <w:rPr>
          <w:rFonts w:ascii="Times New Roman" w:hAnsi="Times New Roman" w:cs="Times New Roman"/>
          <w:i/>
          <w:color w:val="000000" w:themeColor="text1"/>
        </w:rPr>
      </w:pPr>
      <w:r w:rsidRPr="00201D52">
        <w:rPr>
          <w:rFonts w:ascii="Times New Roman" w:hAnsi="Times New Roman" w:cs="Times New Roman"/>
          <w:i/>
          <w:color w:val="000000" w:themeColor="text1"/>
        </w:rPr>
        <w:t>Keywords: Composite Stress Index; Tumor Composite Stress Index; StressCode; disease-agnostic stress framework; reference standardization; single-sample scoring; pathway enrichment; compound symmetry; principal component analysis; spatial transcriptomics; Morse theory; persistent homology; systems biology; FAIR data principles; stress information ontology</w:t>
      </w:r>
    </w:p>
    <w:p w14:paraId="1CA95A52" w14:textId="77777777" w:rsidR="0086321C" w:rsidRPr="00201D52" w:rsidRDefault="00000000">
      <w:pPr>
        <w:pStyle w:val="Heading1"/>
        <w:spacing w:after="228"/>
        <w:ind w:left="305" w:hanging="320"/>
        <w:rPr>
          <w:rFonts w:ascii="Times New Roman" w:hAnsi="Times New Roman" w:cs="Times New Roman"/>
          <w:color w:val="000000" w:themeColor="text1"/>
          <w:sz w:val="24"/>
        </w:rPr>
      </w:pPr>
      <w:r w:rsidRPr="00201D52">
        <w:rPr>
          <w:rFonts w:ascii="Times New Roman" w:hAnsi="Times New Roman" w:cs="Times New Roman"/>
          <w:color w:val="000000" w:themeColor="text1"/>
          <w:sz w:val="24"/>
        </w:rPr>
        <w:t>Introduction</w:t>
      </w:r>
    </w:p>
    <w:p w14:paraId="27FAC6F2" w14:textId="77777777" w:rsidR="0086321C" w:rsidRPr="00201D52" w:rsidRDefault="00000000">
      <w:pPr>
        <w:pStyle w:val="Heading2"/>
        <w:ind w:left="406" w:hanging="421"/>
        <w:rPr>
          <w:rFonts w:ascii="Times New Roman" w:hAnsi="Times New Roman" w:cs="Times New Roman"/>
          <w:color w:val="000000" w:themeColor="text1"/>
          <w:sz w:val="24"/>
        </w:rPr>
      </w:pPr>
      <w:r w:rsidRPr="00201D52">
        <w:rPr>
          <w:rFonts w:ascii="Times New Roman" w:hAnsi="Times New Roman" w:cs="Times New Roman"/>
          <w:color w:val="000000" w:themeColor="text1"/>
          <w:sz w:val="24"/>
        </w:rPr>
        <w:t>Clinical and Biological Motivation</w:t>
      </w:r>
    </w:p>
    <w:p w14:paraId="5AAEEC82" w14:textId="77777777" w:rsidR="0086321C" w:rsidRPr="00201D52" w:rsidRDefault="00000000">
      <w:pPr>
        <w:spacing w:after="194"/>
        <w:ind w:left="-5"/>
        <w:rPr>
          <w:rFonts w:ascii="Times New Roman" w:hAnsi="Times New Roman" w:cs="Times New Roman"/>
          <w:color w:val="000000" w:themeColor="text1"/>
        </w:rPr>
      </w:pPr>
      <w:r w:rsidRPr="00201D52">
        <w:rPr>
          <w:rFonts w:ascii="Times New Roman" w:hAnsi="Times New Roman" w:cs="Times New Roman"/>
          <w:color w:val="000000" w:themeColor="text1"/>
        </w:rPr>
        <w:t>Coordinated biological stress-response programs represent a fundamental mechanism through which cells and tissues adapt to environmental</w:t>
      </w:r>
      <w:r w:rsidR="002B5528">
        <w:rPr>
          <w:rFonts w:ascii="Times New Roman" w:hAnsi="Times New Roman" w:cs="Times New Roman"/>
          <w:color w:val="000000" w:themeColor="text1"/>
        </w:rPr>
        <w:t xml:space="preserve"> changes</w:t>
      </w:r>
      <w:r w:rsidRPr="00201D52">
        <w:rPr>
          <w:rFonts w:ascii="Times New Roman" w:hAnsi="Times New Roman" w:cs="Times New Roman"/>
          <w:color w:val="000000" w:themeColor="text1"/>
        </w:rPr>
        <w:t xml:space="preserve">. Despite their biological centrality, these programs are routinely analyzed as isolated pathway activities or collapsed into cohort-dependent signatures, lacking a portable, outcome-independent coordinate system valid across disease domains, platforms, and sample sizes. A further infrastructure challenge arises when attempting to integrate environmental, molecular, imaging, and outcome data across datasets: publicly shared research outputs are often accessible but not readily reusable for integrated biological questions due to missing variables, inconsistent annotation, and siloed data structures. The StressCode framework was developed to address both problems by providing a disease-agnostic stress-information system grounded in formal mathematical construction. In preliminary pilot work, integration of these data domains was attempted; however, the available data lacked sufficient overlap across these categories. Key variables were missing, inconsistently annotated, or siloed in separate datasets, resulting in a small analyzable cohort and limited statistical significance. While the pilot study was informative, it highlighted a broader infrastructure problem: publicly shared cancer research outputs are often accessible but not readily reusable for integrated biological </w:t>
      </w:r>
      <w:r w:rsidRPr="00201D52">
        <w:rPr>
          <w:rFonts w:ascii="Times New Roman" w:hAnsi="Times New Roman" w:cs="Times New Roman"/>
          <w:color w:val="000000" w:themeColor="text1"/>
        </w:rPr>
        <w:lastRenderedPageBreak/>
        <w:t>questions. StressCode was developed to address this problem by providing a disease-agnostic stress-information framework.</w:t>
      </w:r>
    </w:p>
    <w:p w14:paraId="03B412B8" w14:textId="77777777" w:rsidR="00373B25" w:rsidRPr="00201D52" w:rsidRDefault="00000000">
      <w:pPr>
        <w:spacing w:after="194"/>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StressCode is a three-part informational coding system that connects environmental stress contexts, molecular stress-response pathways, and imaging-visible manifestations into one reusable annotation structure. The three components are the </w:t>
      </w:r>
      <w:r w:rsidRPr="00201D52">
        <w:rPr>
          <w:rFonts w:ascii="Times New Roman" w:hAnsi="Times New Roman" w:cs="Times New Roman"/>
          <w:bCs/>
          <w:color w:val="000000" w:themeColor="text1"/>
        </w:rPr>
        <w:t>Environment Code (E-Code),</w:t>
      </w:r>
      <w:r w:rsidRPr="00201D52">
        <w:rPr>
          <w:rFonts w:ascii="Times New Roman" w:hAnsi="Times New Roman" w:cs="Times New Roman"/>
          <w:color w:val="000000" w:themeColor="text1"/>
        </w:rPr>
        <w:t xml:space="preserve"> which identifies the stressor or environmental context; the </w:t>
      </w:r>
      <w:r w:rsidRPr="00201D52">
        <w:rPr>
          <w:rFonts w:ascii="Times New Roman" w:hAnsi="Times New Roman" w:cs="Times New Roman"/>
          <w:bCs/>
          <w:color w:val="000000" w:themeColor="text1"/>
        </w:rPr>
        <w:t>Molecular Code (M-Code),</w:t>
      </w:r>
      <w:r w:rsidRPr="00201D52">
        <w:rPr>
          <w:rFonts w:ascii="Times New Roman" w:hAnsi="Times New Roman" w:cs="Times New Roman"/>
          <w:color w:val="000000" w:themeColor="text1"/>
        </w:rPr>
        <w:t xml:space="preserve"> which identifies the stress-response pathway activated by the stressor; and the </w:t>
      </w:r>
      <w:r w:rsidRPr="00201D52">
        <w:rPr>
          <w:rFonts w:ascii="Times New Roman" w:hAnsi="Times New Roman" w:cs="Times New Roman"/>
          <w:bCs/>
          <w:color w:val="000000" w:themeColor="text1"/>
        </w:rPr>
        <w:t>Imaging Code (I-Code),</w:t>
      </w:r>
      <w:r w:rsidRPr="00201D52">
        <w:rPr>
          <w:rFonts w:ascii="Times New Roman" w:hAnsi="Times New Roman" w:cs="Times New Roman"/>
          <w:color w:val="000000" w:themeColor="text1"/>
        </w:rPr>
        <w:t xml:space="preserve"> which identifies the imaging-visible phenotype associated with the pathway and maps it to a tissue location. Together, these three components form a StressCode annotation: E-Code + M-Code + I-Code = StressCode Annotation.</w:t>
      </w:r>
    </w:p>
    <w:p w14:paraId="2E3EC801" w14:textId="77777777" w:rsidR="0086321C" w:rsidRPr="00201D52" w:rsidRDefault="00000000">
      <w:pPr>
        <w:spacing w:after="194"/>
        <w:ind w:left="-5"/>
        <w:rPr>
          <w:rFonts w:ascii="Times New Roman" w:hAnsi="Times New Roman" w:cs="Times New Roman"/>
          <w:color w:val="000000" w:themeColor="text1"/>
        </w:rPr>
      </w:pPr>
      <w:r w:rsidRPr="00201D52">
        <w:rPr>
          <w:rFonts w:ascii="Times New Roman" w:hAnsi="Times New Roman" w:cs="Times New Roman"/>
          <w:color w:val="000000" w:themeColor="text1"/>
        </w:rPr>
        <w:t>Tumor microenvironmental stress arises from the coordinated activation of biological programs that enable cancer cells to survive under oxygen limitation, nutrient deprivation, immune pressure, oxidative injury, and metabolic demand. Key programs include hypoxia signaling, glycolytic metabolism, angiogenic remodeling, reactive oxygen species (ROS) response, and TNF-α/NF-κB inflammatory signaling. These programs are biologically interdependent rather than isolated modules, motivating representation of tumor stress as a coordinated multidimensional biological state. Prior pan-cancer transcriptomic analyses support co-activation of these programs as part of a broader stress-adaptation landscape implicated in tumor aggressiveness, therapeutic resistance, and adverse clinical behavior (Hanahan, 2022; SánchezVega et al., 2018).</w:t>
      </w:r>
    </w:p>
    <w:p w14:paraId="398B99D1" w14:textId="77777777" w:rsidR="0086321C" w:rsidRPr="00201D52" w:rsidRDefault="00000000">
      <w:pPr>
        <w:pStyle w:val="Heading2"/>
        <w:ind w:left="406" w:hanging="421"/>
        <w:rPr>
          <w:rFonts w:ascii="Times New Roman" w:hAnsi="Times New Roman" w:cs="Times New Roman"/>
          <w:color w:val="000000" w:themeColor="text1"/>
          <w:sz w:val="24"/>
        </w:rPr>
      </w:pPr>
      <w:r w:rsidRPr="00201D52">
        <w:rPr>
          <w:rFonts w:ascii="Times New Roman" w:hAnsi="Times New Roman" w:cs="Times New Roman"/>
          <w:color w:val="000000" w:themeColor="text1"/>
          <w:sz w:val="24"/>
        </w:rPr>
        <w:t>The Problem of Cohort-Relative Scoring</w:t>
      </w:r>
    </w:p>
    <w:p w14:paraId="3B98BD65" w14:textId="77777777" w:rsidR="0086321C" w:rsidRPr="00201D52" w:rsidRDefault="00000000">
      <w:pPr>
        <w:spacing w:after="282"/>
        <w:ind w:left="-5"/>
        <w:rPr>
          <w:rFonts w:ascii="Times New Roman" w:hAnsi="Times New Roman" w:cs="Times New Roman"/>
          <w:color w:val="000000" w:themeColor="text1"/>
        </w:rPr>
      </w:pPr>
      <w:r w:rsidRPr="00201D52">
        <w:rPr>
          <w:rFonts w:ascii="Times New Roman" w:hAnsi="Times New Roman" w:cs="Times New Roman"/>
          <w:color w:val="000000" w:themeColor="text1"/>
        </w:rPr>
        <w:t>A further limitation concerns portability. Gene set variation analysis (GSVA; Hänzelmann et al., 2013) uses cohort-level information from the input expression matrix when estimating pathway activity, so a sample's score may depend on the cohort in which it is embedded. Adding or removing samples can alter pathway scores for otherwise identical molecular profiles. Single-sample gene set enrichment analysis (ssGSEA; Barbie et al., 2009) partially addresses cohort dependence by computing enrichment from within-sample gene ranks. However, single-sample computability alone does not guarantee cross-study comparability: rank-based scores remain sensitive to preprocessing, gene coverage, platform effects, and calibration. A tumor stress coordinate intended for portable single-sample use therefore requires a locked gene universe, pre-specified biological axes, fixed scoring functions, and a frozen reference-standardization rule (Toro-Domínguez et al., 2025).</w:t>
      </w:r>
    </w:p>
    <w:p w14:paraId="6DA696B1" w14:textId="77777777" w:rsidR="0086321C" w:rsidRPr="00201D52" w:rsidRDefault="00000000">
      <w:pPr>
        <w:pStyle w:val="Heading2"/>
        <w:ind w:left="406" w:hanging="421"/>
        <w:rPr>
          <w:rFonts w:ascii="Times New Roman" w:hAnsi="Times New Roman" w:cs="Times New Roman"/>
          <w:color w:val="000000" w:themeColor="text1"/>
          <w:sz w:val="24"/>
        </w:rPr>
      </w:pPr>
      <w:r w:rsidRPr="00201D52">
        <w:rPr>
          <w:rFonts w:ascii="Times New Roman" w:hAnsi="Times New Roman" w:cs="Times New Roman"/>
          <w:color w:val="000000" w:themeColor="text1"/>
          <w:sz w:val="24"/>
        </w:rPr>
        <w:t xml:space="preserve">Mathematical </w:t>
      </w:r>
      <w:r w:rsidR="00414B42" w:rsidRPr="00201D52">
        <w:rPr>
          <w:rFonts w:ascii="Times New Roman" w:hAnsi="Times New Roman" w:cs="Times New Roman"/>
          <w:color w:val="000000" w:themeColor="text1"/>
          <w:sz w:val="24"/>
        </w:rPr>
        <w:t xml:space="preserve">Requirements </w:t>
      </w:r>
    </w:p>
    <w:p w14:paraId="2AEFFDB0" w14:textId="77777777" w:rsidR="0086321C" w:rsidRPr="00201D52" w:rsidRDefault="00000000">
      <w:pPr>
        <w:spacing w:after="194"/>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We argue that a mathematically rigorous tumor stress coordinate should satisfy five formal </w:t>
      </w:r>
      <w:r w:rsidR="00800480">
        <w:rPr>
          <w:rFonts w:ascii="Times New Roman" w:hAnsi="Times New Roman" w:cs="Times New Roman"/>
          <w:color w:val="000000" w:themeColor="text1"/>
        </w:rPr>
        <w:t>requirements</w:t>
      </w:r>
      <w:r w:rsidRPr="00201D52">
        <w:rPr>
          <w:rFonts w:ascii="Times New Roman" w:hAnsi="Times New Roman" w:cs="Times New Roman"/>
          <w:color w:val="000000" w:themeColor="text1"/>
        </w:rPr>
        <w:t xml:space="preserve">: (1) axis-wise biological interpretability each coordinate dimension is indexed by a pre-specified, biologically curated gene set; (2) exact decomposability, the scalar summary is recoverable as the sum of per-axis contributions attributable to named biological programs; (3) single-sample computability once the scoring specification is locked, the coordinate assigned to an individual sample is independent of target-cohort composition, size, and ordering; (4) fixed-reference comparability scores from different cohorts are interpretable on the same calibrated scale </w:t>
      </w:r>
      <w:r w:rsidRPr="00201D52">
        <w:rPr>
          <w:rFonts w:ascii="Times New Roman" w:hAnsi="Times New Roman" w:cs="Times New Roman"/>
          <w:color w:val="000000" w:themeColor="text1"/>
        </w:rPr>
        <w:lastRenderedPageBreak/>
        <w:t>once preprocessing, gene universe, scoring functions, and reference parameters are fixed; and (5) outcome independence in construction pathways, weights, and calibration parameters are not selected or optimized using downstream clinical outcomes. Standard pathway-scoring methods, latent factor models, and outcome-trained signatures generally do not jointly guarantee all five without additional specification.</w:t>
      </w:r>
    </w:p>
    <w:p w14:paraId="53E4064E" w14:textId="77777777" w:rsidR="0086321C" w:rsidRPr="00201D52" w:rsidRDefault="00000000">
      <w:pPr>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The five </w:t>
      </w:r>
      <w:r w:rsidR="00800480">
        <w:rPr>
          <w:rFonts w:ascii="Times New Roman" w:hAnsi="Times New Roman" w:cs="Times New Roman"/>
          <w:color w:val="000000" w:themeColor="text1"/>
        </w:rPr>
        <w:t xml:space="preserve">requirements </w:t>
      </w:r>
      <w:r w:rsidRPr="00201D52">
        <w:rPr>
          <w:rFonts w:ascii="Times New Roman" w:hAnsi="Times New Roman" w:cs="Times New Roman"/>
          <w:color w:val="000000" w:themeColor="text1"/>
        </w:rPr>
        <w:t xml:space="preserve">apply without modification to any biological domain in which coordinated stress-response axes can be specified a priori from established biology, not only oncology. </w:t>
      </w:r>
    </w:p>
    <w:p w14:paraId="6DD2AF1B" w14:textId="77777777" w:rsidR="0086321C" w:rsidRPr="00201D52" w:rsidRDefault="00000000">
      <w:pPr>
        <w:pStyle w:val="Heading2"/>
        <w:ind w:left="406" w:hanging="421"/>
        <w:rPr>
          <w:rFonts w:ascii="Times New Roman" w:hAnsi="Times New Roman" w:cs="Times New Roman"/>
          <w:color w:val="000000" w:themeColor="text1"/>
          <w:sz w:val="24"/>
        </w:rPr>
      </w:pPr>
      <w:r w:rsidRPr="00201D52">
        <w:rPr>
          <w:rFonts w:ascii="Times New Roman" w:hAnsi="Times New Roman" w:cs="Times New Roman"/>
          <w:color w:val="000000" w:themeColor="text1"/>
          <w:sz w:val="24"/>
        </w:rPr>
        <w:t>Contribution of This Paper</w:t>
      </w:r>
    </w:p>
    <w:p w14:paraId="469497AB" w14:textId="77777777" w:rsidR="00CD3823" w:rsidRPr="00201D52" w:rsidRDefault="00CD3823" w:rsidP="00CD3823">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201D52">
        <w:rPr>
          <w:rFonts w:ascii="Times New Roman" w:eastAsia="Times New Roman" w:hAnsi="Times New Roman" w:cs="Times New Roman"/>
          <w:color w:val="000000" w:themeColor="text1"/>
          <w:kern w:val="0"/>
          <w:lang w:bidi="ar-SA"/>
          <w14:ligatures w14:val="none"/>
        </w:rPr>
        <w:t xml:space="preserve">StressCode represents each tumor sample as a profile of pathway-level stress activity. Let </w:t>
      </w:r>
      <m:oMath>
        <m:r>
          <w:rPr>
            <w:rFonts w:ascii="Cambria Math" w:eastAsia="Times New Roman" w:hAnsi="Cambria Math" w:cs="Times New Roman"/>
            <w:color w:val="000000" w:themeColor="text1"/>
            <w:kern w:val="0"/>
            <w:lang w:bidi="ar-SA"/>
            <w14:ligatures w14:val="none"/>
          </w:rPr>
          <m:t>X</m:t>
        </m:r>
      </m:oMath>
      <w:r w:rsidR="00414B42" w:rsidRPr="00201D52">
        <w:rPr>
          <w:rFonts w:ascii="Times New Roman" w:eastAsia="Times New Roman" w:hAnsi="Times New Roman" w:cs="Times New Roman"/>
          <w:color w:val="000000" w:themeColor="text1"/>
          <w:kern w:val="0"/>
          <w:lang w:bidi="ar-SA"/>
          <w14:ligatures w14:val="none"/>
        </w:rPr>
        <w:t xml:space="preserve"> </w:t>
      </w:r>
      <w:r w:rsidRPr="00201D52">
        <w:rPr>
          <w:rFonts w:ascii="Times New Roman" w:eastAsia="Times New Roman" w:hAnsi="Times New Roman" w:cs="Times New Roman"/>
          <w:color w:val="000000" w:themeColor="text1"/>
          <w:kern w:val="0"/>
          <w:lang w:bidi="ar-SA"/>
          <w14:ligatures w14:val="none"/>
        </w:rPr>
        <w:t xml:space="preserve">denote the molecular measurement space and let </w:t>
      </w:r>
      <m:oMath>
        <m:r>
          <m:rPr>
            <m:sty m:val="p"/>
          </m:rPr>
          <w:rPr>
            <w:rFonts w:ascii="Cambria Math" w:eastAsia="Times New Roman" w:hAnsi="Cambria Math" w:cs="Times New Roman"/>
            <w:color w:val="000000" w:themeColor="text1"/>
            <w:kern w:val="0"/>
            <w:lang w:bidi="ar-SA"/>
            <w14:ligatures w14:val="none"/>
          </w:rPr>
          <m:t>Π</m:t>
        </m:r>
        <m:r>
          <w:rPr>
            <w:rFonts w:ascii="Cambria Math" w:eastAsia="Times New Roman" w:hAnsi="Cambria Math" w:cs="Times New Roman"/>
            <w:color w:val="000000" w:themeColor="text1"/>
            <w:kern w:val="0"/>
            <w:lang w:bidi="ar-SA"/>
            <w14:ligatures w14:val="none"/>
          </w:rPr>
          <m:t>=</m:t>
        </m:r>
        <m:d>
          <m:dPr>
            <m:begChr m:val="{"/>
            <m:sepChr m:val=","/>
            <m:end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P</m:t>
                </m:r>
              </m:e>
              <m:sub>
                <m:r>
                  <w:rPr>
                    <w:rFonts w:ascii="Cambria Math" w:eastAsia="Times New Roman" w:hAnsi="Cambria Math" w:cs="Times New Roman"/>
                    <w:color w:val="000000" w:themeColor="text1"/>
                    <w:kern w:val="0"/>
                    <w:lang w:bidi="ar-SA"/>
                    <w14:ligatures w14:val="none"/>
                  </w:rPr>
                  <m:t>1</m:t>
                </m:r>
              </m:sub>
            </m:sSub>
          </m:e>
          <m:e>
            <m:r>
              <w:rPr>
                <w:rFonts w:ascii="Cambria Math" w:eastAsia="Times New Roman" w:hAnsi="Cambria Math" w:cs="Times New Roman"/>
                <w:color w:val="000000" w:themeColor="text1"/>
                <w:kern w:val="0"/>
                <w:lang w:bidi="ar-SA"/>
                <w14:ligatures w14:val="none"/>
              </w:rPr>
              <m:t>…</m:t>
            </m:r>
          </m:e>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P</m:t>
                </m:r>
              </m:e>
              <m:sub>
                <m:r>
                  <w:rPr>
                    <w:rFonts w:ascii="Cambria Math" w:eastAsia="Times New Roman" w:hAnsi="Cambria Math" w:cs="Times New Roman"/>
                    <w:color w:val="000000" w:themeColor="text1"/>
                    <w:kern w:val="0"/>
                    <w:lang w:bidi="ar-SA"/>
                    <w14:ligatures w14:val="none"/>
                  </w:rPr>
                  <m:t>K</m:t>
                </m:r>
              </m:sub>
            </m:sSub>
          </m:e>
        </m:d>
      </m:oMath>
      <w:r w:rsidRPr="00201D52">
        <w:rPr>
          <w:rFonts w:ascii="Times New Roman" w:eastAsia="Times New Roman" w:hAnsi="Times New Roman" w:cs="Times New Roman"/>
          <w:color w:val="000000" w:themeColor="text1"/>
          <w:kern w:val="0"/>
          <w:lang w:bidi="ar-SA"/>
          <w14:ligatures w14:val="none"/>
        </w:rPr>
        <w:t xml:space="preserve">represent a curated set of stress-related pathways. For each pathway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P</m:t>
            </m:r>
          </m:e>
          <m:sub>
            <m:r>
              <w:rPr>
                <w:rFonts w:ascii="Cambria Math" w:eastAsia="Times New Roman" w:hAnsi="Cambria Math" w:cs="Times New Roman"/>
                <w:color w:val="000000" w:themeColor="text1"/>
                <w:kern w:val="0"/>
                <w:lang w:bidi="ar-SA"/>
                <w14:ligatures w14:val="none"/>
              </w:rPr>
              <m:t>k</m:t>
            </m:r>
          </m:sub>
        </m:sSub>
      </m:oMath>
      <w:r w:rsidRPr="00201D52">
        <w:rPr>
          <w:rFonts w:ascii="Times New Roman" w:eastAsia="Times New Roman" w:hAnsi="Times New Roman" w:cs="Times New Roman"/>
          <w:color w:val="000000" w:themeColor="text1"/>
          <w:kern w:val="0"/>
          <w:lang w:bidi="ar-SA"/>
          <w14:ligatures w14:val="none"/>
        </w:rPr>
        <w:t xml:space="preserve">, a pre-specified scorer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S</m:t>
            </m:r>
          </m:e>
          <m:sub>
            <m:r>
              <w:rPr>
                <w:rFonts w:ascii="Cambria Math" w:eastAsia="Times New Roman" w:hAnsi="Cambria Math" w:cs="Times New Roman"/>
                <w:color w:val="000000" w:themeColor="text1"/>
                <w:kern w:val="0"/>
                <w:lang w:bidi="ar-SA"/>
                <w14:ligatures w14:val="none"/>
              </w:rPr>
              <m:t>k</m:t>
            </m:r>
          </m:sub>
        </m:sSub>
      </m:oMath>
      <w:r w:rsidRPr="00201D52">
        <w:rPr>
          <w:rFonts w:ascii="Times New Roman" w:eastAsia="Times New Roman" w:hAnsi="Times New Roman" w:cs="Times New Roman"/>
          <w:color w:val="000000" w:themeColor="text1"/>
          <w:kern w:val="0"/>
          <w:lang w:bidi="ar-SA"/>
          <w14:ligatures w14:val="none"/>
        </w:rPr>
        <w:t xml:space="preserve">maps a molecular profile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 xml:space="preserve">i </m:t>
            </m:r>
          </m:sub>
        </m:sSub>
      </m:oMath>
      <w:r w:rsidRPr="00201D52">
        <w:rPr>
          <w:rFonts w:ascii="Times New Roman" w:eastAsia="Times New Roman" w:hAnsi="Times New Roman" w:cs="Times New Roman"/>
          <w:color w:val="000000" w:themeColor="text1"/>
          <w:kern w:val="0"/>
          <w:lang w:bidi="ar-SA"/>
          <w14:ligatures w14:val="none"/>
        </w:rPr>
        <w:t>to a pathway activity score. The resulting Composite Stress Coordinate is:</w:t>
      </w:r>
    </w:p>
    <w:p w14:paraId="4D8B5483" w14:textId="77777777" w:rsidR="00CD3823" w:rsidRPr="00201D52" w:rsidRDefault="00000000" w:rsidP="00CD3823">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Sub>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m:t>Ψ</m:t>
          </m:r>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d>
                <m:dPr>
                  <m:sep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S</m:t>
                      </m:r>
                    </m:e>
                    <m:sub>
                      <m:r>
                        <w:rPr>
                          <w:rFonts w:ascii="Cambria Math" w:eastAsia="Times New Roman" w:hAnsi="Cambria Math" w:cs="Times New Roman"/>
                          <w:color w:val="000000" w:themeColor="text1"/>
                          <w:kern w:val="0"/>
                          <w:lang w:bidi="ar-SA"/>
                          <w14:ligatures w14:val="none"/>
                        </w:rPr>
                        <m:t>1</m:t>
                      </m:r>
                    </m:sub>
                  </m:sSub>
                </m:e>
                <m:e>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e>
                <m:e>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S</m:t>
                      </m:r>
                    </m:e>
                    <m:sub>
                      <m:r>
                        <w:rPr>
                          <w:rFonts w:ascii="Cambria Math" w:eastAsia="Times New Roman" w:hAnsi="Cambria Math" w:cs="Times New Roman"/>
                          <w:color w:val="000000" w:themeColor="text1"/>
                          <w:kern w:val="0"/>
                          <w:lang w:bidi="ar-SA"/>
                          <w14:ligatures w14:val="none"/>
                        </w:rPr>
                        <m:t>K</m:t>
                      </m:r>
                    </m:sub>
                  </m:sSub>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e>
              </m:d>
            </m:e>
            <m:sup>
              <m:r>
                <w:rPr>
                  <w:rFonts w:ascii="Cambria Math" w:eastAsia="Times New Roman" w:hAnsi="Cambria Math" w:cs="Times New Roman"/>
                  <w:color w:val="000000" w:themeColor="text1"/>
                  <w:kern w:val="0"/>
                  <w:lang w:bidi="ar-SA"/>
                  <w14:ligatures w14:val="none"/>
                </w:rPr>
                <m:t>T</m:t>
              </m:r>
            </m:sup>
          </m:sSup>
          <m:r>
            <m:rPr>
              <m:sty m:val="p"/>
            </m:rPr>
            <w:rPr>
              <w:rFonts w:ascii="Cambria Math" w:eastAsia="Times New Roman" w:hAnsi="Cambria Math" w:cs="Times New Roman"/>
              <w:color w:val="000000" w:themeColor="text1"/>
              <w:kern w:val="0"/>
              <w:lang w:bidi="ar-SA"/>
              <w14:ligatures w14:val="none"/>
            </w:rPr>
            <w:br/>
          </m:r>
        </m:oMath>
      </m:oMathPara>
    </w:p>
    <w:p w14:paraId="7535F3D0" w14:textId="77777777" w:rsidR="00CD3823" w:rsidRPr="00201D52" w:rsidRDefault="00CD3823" w:rsidP="00CD3823">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201D52">
        <w:rPr>
          <w:rFonts w:ascii="Times New Roman" w:eastAsia="Times New Roman" w:hAnsi="Times New Roman" w:cs="Times New Roman"/>
          <w:color w:val="000000" w:themeColor="text1"/>
          <w:kern w:val="0"/>
          <w:lang w:bidi="ar-SA"/>
          <w14:ligatures w14:val="none"/>
        </w:rPr>
        <w:t xml:space="preserve">To support comparison across datasets,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Sub>
      </m:oMath>
      <w:r w:rsidRPr="00201D52">
        <w:rPr>
          <w:rFonts w:ascii="Times New Roman" w:eastAsia="Times New Roman" w:hAnsi="Times New Roman" w:cs="Times New Roman"/>
          <w:color w:val="000000" w:themeColor="text1"/>
          <w:kern w:val="0"/>
          <w:lang w:bidi="ar-SA"/>
          <w14:ligatures w14:val="none"/>
        </w:rPr>
        <w:t xml:space="preserve">is calibrated using a fixed reference-standardization map, </w:t>
      </w:r>
      <m:oMath>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oMath>
      <w:r w:rsidRPr="00201D52">
        <w:rPr>
          <w:rFonts w:ascii="Times New Roman" w:eastAsia="Times New Roman" w:hAnsi="Times New Roman" w:cs="Times New Roman"/>
          <w:color w:val="000000" w:themeColor="text1"/>
          <w:kern w:val="0"/>
          <w:lang w:bidi="ar-SA"/>
          <w14:ligatures w14:val="none"/>
        </w:rPr>
        <w:t xml:space="preserve">, producing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up>
            <m:r>
              <w:rPr>
                <w:rFonts w:ascii="Cambria Math" w:eastAsia="Times New Roman" w:hAnsi="Cambria Math" w:cs="Times New Roman"/>
                <w:color w:val="000000" w:themeColor="text1"/>
                <w:kern w:val="0"/>
                <w:lang w:bidi="ar-SA"/>
                <w14:ligatures w14:val="none"/>
              </w:rPr>
              <m:t>*</m:t>
            </m:r>
          </m:sup>
        </m:sSubSup>
      </m:oMath>
      <w:r w:rsidRPr="00201D52">
        <w:rPr>
          <w:rFonts w:ascii="Times New Roman" w:eastAsia="Times New Roman" w:hAnsi="Times New Roman" w:cs="Times New Roman"/>
          <w:color w:val="000000" w:themeColor="text1"/>
          <w:kern w:val="0"/>
          <w:lang w:bidi="ar-SA"/>
          <w14:ligatures w14:val="none"/>
        </w:rPr>
        <w:t>. When a scalar summary is useful, the Tumor Composite Stress Index is defined as:</w:t>
      </w:r>
    </w:p>
    <w:p w14:paraId="31D764AE" w14:textId="77777777" w:rsidR="00CD3823" w:rsidRPr="00201D52" w:rsidRDefault="00CD3823" w:rsidP="00CD3823">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TCSI</m:t>
          </m:r>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d>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w</m:t>
              </m:r>
            </m:e>
            <m:sup>
              <m:r>
                <w:rPr>
                  <w:rFonts w:ascii="Cambria Math" w:eastAsia="Times New Roman" w:hAnsi="Cambria Math" w:cs="Times New Roman"/>
                  <w:color w:val="000000" w:themeColor="text1"/>
                  <w:kern w:val="0"/>
                  <w:lang w:bidi="ar-SA"/>
                  <w14:ligatures w14:val="none"/>
                </w:rPr>
                <m:t>T</m:t>
              </m:r>
            </m:sup>
          </m:sSup>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up>
              <m:r>
                <w:rPr>
                  <w:rFonts w:ascii="Cambria Math" w:eastAsia="Times New Roman" w:hAnsi="Cambria Math" w:cs="Times New Roman"/>
                  <w:color w:val="000000" w:themeColor="text1"/>
                  <w:kern w:val="0"/>
                  <w:lang w:bidi="ar-SA"/>
                  <w14:ligatures w14:val="none"/>
                </w:rPr>
                <m:t>*</m:t>
              </m:r>
            </m:sup>
          </m:sSubSup>
          <m:r>
            <m:rPr>
              <m:sty m:val="p"/>
            </m:rPr>
            <w:rPr>
              <w:rFonts w:ascii="Cambria Math" w:eastAsia="Times New Roman" w:hAnsi="Cambria Math" w:cs="Times New Roman"/>
              <w:color w:val="000000" w:themeColor="text1"/>
              <w:kern w:val="0"/>
              <w:lang w:bidi="ar-SA"/>
              <w14:ligatures w14:val="none"/>
            </w:rPr>
            <w:br/>
          </m:r>
        </m:oMath>
      </m:oMathPara>
    </w:p>
    <w:p w14:paraId="2F3E3344" w14:textId="77777777" w:rsidR="00CD3823" w:rsidRPr="00201D52" w:rsidRDefault="00CD3823" w:rsidP="00CD3823">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sidRPr="00201D52">
        <w:rPr>
          <w:rFonts w:ascii="Times New Roman" w:eastAsia="Times New Roman" w:hAnsi="Times New Roman" w:cs="Times New Roman"/>
          <w:color w:val="000000" w:themeColor="text1"/>
          <w:kern w:val="0"/>
          <w:lang w:bidi="ar-SA"/>
          <w14:ligatures w14:val="none"/>
        </w:rPr>
        <w:t xml:space="preserve">with equal weights </w:t>
      </w:r>
      <m:oMath>
        <m:r>
          <w:rPr>
            <w:rFonts w:ascii="Cambria Math" w:eastAsia="Times New Roman" w:hAnsi="Cambria Math" w:cs="Times New Roman"/>
            <w:color w:val="000000" w:themeColor="text1"/>
            <w:kern w:val="0"/>
            <w:lang w:bidi="ar-SA"/>
            <w14:ligatures w14:val="none"/>
          </w:rPr>
          <m:t>w=</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1</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 xml:space="preserve"> </m:t>
        </m:r>
      </m:oMath>
      <w:r w:rsidRPr="00201D52">
        <w:rPr>
          <w:rFonts w:ascii="Times New Roman" w:eastAsia="Times New Roman" w:hAnsi="Times New Roman" w:cs="Times New Roman"/>
          <w:color w:val="000000" w:themeColor="text1"/>
          <w:kern w:val="0"/>
          <w:lang w:bidi="ar-SA"/>
          <w14:ligatures w14:val="none"/>
        </w:rPr>
        <w:t>by default, unless an alternative weighting scheme is defined in a version-controlled StressCode specification.</w:t>
      </w:r>
    </w:p>
    <w:p w14:paraId="00417932" w14:textId="77777777" w:rsidR="0086321C" w:rsidRPr="00201D52" w:rsidRDefault="00000000">
      <w:pPr>
        <w:spacing w:after="282"/>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This paper introduces the Composite Stress Index (CSI) as a general, disease-agnostic framework for quantifying coordinated biological stress, and defines the Tumor Composite Stress Index (TCSI) as its oncology-specific instantiation. The formal operator is developed by defining five mathematical objects: the molecular measurement space, the stress pathway family, the admissible stress-axis scorers, the frozen reference-standardization map, and the scalar functional whose composition defines an operator under a locked, versioned specification F corresponding to TCSI-v1. Once F is fixed, the operator maps an individual molecular profile to a reference-standardized stress coordinate and scalar index without using target-cohort composition or any downstream clinical outcome. We establish axis-wise interpretability, exact decomposability, single-sample computability, fixed-reference comparability, monotonicity under coordinate-wise increases, and extensibility to multiscale mappings. We further establish spectral equivalence between the equal-weight TCSI direction and the first principal-component direction under standardized compound-symmetric covariance, derive an analytical noise-attenuation result under an independent residual-noise model, and extend the scalar operator to spatial transcriptomics. Section 1.5 develops the </w:t>
      </w:r>
      <w:r w:rsidRPr="00201D52">
        <w:rPr>
          <w:rFonts w:ascii="Times New Roman" w:hAnsi="Times New Roman" w:cs="Times New Roman"/>
          <w:color w:val="000000" w:themeColor="text1"/>
        </w:rPr>
        <w:lastRenderedPageBreak/>
        <w:t>ontological structure of the CSI framework; Section 1.6 formalizes the data model perspective and its alignment with FAIR principles.</w:t>
      </w:r>
    </w:p>
    <w:p w14:paraId="6AD31D32" w14:textId="77777777" w:rsidR="0086321C" w:rsidRDefault="00000000">
      <w:pPr>
        <w:pStyle w:val="Heading2"/>
        <w:ind w:left="406" w:hanging="421"/>
        <w:rPr>
          <w:rFonts w:ascii="Times New Roman" w:hAnsi="Times New Roman" w:cs="Times New Roman"/>
          <w:color w:val="000000" w:themeColor="text1"/>
          <w:sz w:val="24"/>
        </w:rPr>
      </w:pPr>
      <w:r w:rsidRPr="00201D52">
        <w:rPr>
          <w:rFonts w:ascii="Times New Roman" w:hAnsi="Times New Roman" w:cs="Times New Roman"/>
          <w:color w:val="000000" w:themeColor="text1"/>
          <w:sz w:val="24"/>
        </w:rPr>
        <w:t>A Disease-Agnostic Ontology of Stress Information</w:t>
      </w:r>
    </w:p>
    <w:p w14:paraId="4014038C" w14:textId="77777777" w:rsidR="001924E3" w:rsidRDefault="001924E3" w:rsidP="001924E3">
      <w:pPr>
        <w:pStyle w:val="NormalWeb"/>
        <w:rPr>
          <w:color w:val="000000"/>
        </w:rPr>
      </w:pPr>
      <w:r>
        <w:rPr>
          <w:color w:val="000000"/>
        </w:rPr>
        <w:t xml:space="preserve">The Composite Stress Index </w:t>
      </w:r>
      <m:oMath>
        <m:r>
          <w:rPr>
            <w:rFonts w:ascii="Cambria Math" w:hAnsi="Cambria Math"/>
          </w:rPr>
          <m:t xml:space="preserve">CSI </m:t>
        </m:r>
      </m:oMath>
      <w:r>
        <w:rPr>
          <w:color w:val="000000"/>
        </w:rPr>
        <w:t>framework is not restricted to a single disease type, biological context, or methodological approach to stress biology. More fundamentally, it provides a disease-agnostic ontology for organizing, classifying, relating, and interpreting biological stress information across scales.</w:t>
      </w:r>
    </w:p>
    <w:p w14:paraId="5AD8E7CD" w14:textId="77777777" w:rsidR="001924E3" w:rsidRDefault="001924E3" w:rsidP="001924E3">
      <w:pPr>
        <w:pStyle w:val="NormalWeb"/>
        <w:rPr>
          <w:color w:val="000000"/>
        </w:rPr>
      </w:pPr>
      <w:r>
        <w:rPr>
          <w:color w:val="000000"/>
        </w:rPr>
        <w:t xml:space="preserve">In the language of formal knowledge representation, an ontology is a structured specification of the entities within a domain, the categories to which those entities belong, and the semantic relationships that connect them </w:t>
      </w:r>
      <m:oMath>
        <m:r>
          <w:rPr>
            <w:rFonts w:ascii="Cambria Math" w:hAnsi="Cambria Math"/>
          </w:rPr>
          <m:t>Gruber,1993;Smithetal.,2007</m:t>
        </m:r>
      </m:oMath>
      <w:r>
        <w:rPr>
          <w:color w:val="000000"/>
        </w:rPr>
        <w:t xml:space="preserve">. Within the CSI framework, the relevant domain is </w:t>
      </w:r>
      <w:r w:rsidRPr="001924E3">
        <w:rPr>
          <w:rStyle w:val="Strong"/>
          <w:b w:val="0"/>
          <w:bCs w:val="0"/>
          <w:color w:val="000000"/>
        </w:rPr>
        <w:t>biological stress response</w:t>
      </w:r>
      <w:r>
        <w:rPr>
          <w:color w:val="000000"/>
        </w:rPr>
        <w:t xml:space="preserve">. This domain spans three interconnected organizational levels: </w:t>
      </w:r>
      <w:r w:rsidRPr="001924E3">
        <w:rPr>
          <w:rStyle w:val="Strong"/>
          <w:b w:val="0"/>
          <w:bCs w:val="0"/>
          <w:color w:val="000000"/>
        </w:rPr>
        <w:t>environmental stress inputs</w:t>
      </w:r>
      <w:r w:rsidRPr="001924E3">
        <w:rPr>
          <w:b/>
          <w:bCs/>
          <w:color w:val="000000"/>
        </w:rPr>
        <w:t xml:space="preserve">, </w:t>
      </w:r>
      <w:r w:rsidRPr="001924E3">
        <w:rPr>
          <w:rStyle w:val="Strong"/>
          <w:b w:val="0"/>
          <w:bCs w:val="0"/>
          <w:color w:val="000000"/>
        </w:rPr>
        <w:t>molecular stress-response processes</w:t>
      </w:r>
      <w:r w:rsidRPr="001924E3">
        <w:rPr>
          <w:b/>
          <w:bCs/>
          <w:color w:val="000000"/>
        </w:rPr>
        <w:t xml:space="preserve">, </w:t>
      </w:r>
      <w:r w:rsidRPr="001924E3">
        <w:rPr>
          <w:color w:val="000000"/>
        </w:rPr>
        <w:t xml:space="preserve">and </w:t>
      </w:r>
      <w:r w:rsidRPr="001924E3">
        <w:rPr>
          <w:rStyle w:val="Strong"/>
          <w:b w:val="0"/>
          <w:bCs w:val="0"/>
          <w:color w:val="000000"/>
        </w:rPr>
        <w:t>observable phenotypic outputs</w:t>
      </w:r>
      <w:r w:rsidRPr="001924E3">
        <w:rPr>
          <w:b/>
          <w:bCs/>
          <w:color w:val="000000"/>
        </w:rPr>
        <w:t>.</w:t>
      </w:r>
    </w:p>
    <w:p w14:paraId="4E418A6C" w14:textId="77777777" w:rsidR="001924E3" w:rsidRDefault="001924E3" w:rsidP="001924E3">
      <w:pPr>
        <w:pStyle w:val="NormalWeb"/>
        <w:rPr>
          <w:color w:val="000000"/>
        </w:rPr>
      </w:pPr>
      <w:r>
        <w:rPr>
          <w:color w:val="000000"/>
        </w:rPr>
        <w:t>Environmental stress inputs are perturbations that impose adaptive demand on a biological system. These may include oxygen deprivation, metabolic limitation, oxidative burden, inflammatory cytokine exposure, vascular insufficiency, nutrient stress, therapeutic pressure, or other adverse microenvironmental conditions. Molecular stress-response processes are the cellular programs by which biological systems detect, transduce, and adapt to these perturbations. In the present implementation of CSI, these processes are represented by five standard-form transcriptional stress axes: hypoxia signaling, glycolytic metabolic reprogramming, angiogenic remodeling, reactive oxygen species response, and TNF-</w:t>
      </w:r>
      <m:oMath>
        <m:r>
          <w:rPr>
            <w:rFonts w:ascii="Cambria Math" w:hAnsi="Cambria Math"/>
          </w:rPr>
          <m:t>α</m:t>
        </m:r>
      </m:oMath>
      <w:r>
        <w:rPr>
          <w:color w:val="000000"/>
        </w:rPr>
        <w:t>/NF-</w:t>
      </w:r>
      <m:oMath>
        <m:r>
          <w:rPr>
            <w:rFonts w:ascii="Cambria Math" w:hAnsi="Cambria Math"/>
          </w:rPr>
          <m:t>κ</m:t>
        </m:r>
      </m:oMath>
      <w:r>
        <w:rPr>
          <w:color w:val="000000"/>
        </w:rPr>
        <w:t>B inflammatory signaling. Observable phenotypic outputs are the measurable downstream manifestations of stress-state organization, including imaging phenotypes, histopathologic features, treatment response patterns, disease progression, survival outcomes, and other clinical endpoints.</w:t>
      </w:r>
    </w:p>
    <w:p w14:paraId="4368411A" w14:textId="77777777" w:rsidR="001924E3" w:rsidRDefault="001924E3" w:rsidP="001924E3">
      <w:pPr>
        <w:pStyle w:val="NormalWeb"/>
        <w:rPr>
          <w:color w:val="000000"/>
        </w:rPr>
      </w:pPr>
      <w:r>
        <w:rPr>
          <w:color w:val="000000"/>
        </w:rPr>
        <w:t xml:space="preserve">Thus, CSI treats stress not as a single isolated variable, but as a structured information space. Each sample is represented by a vector of stress-axis activation values, defining its position within transcriptional stress space. The magnitude of this vector reflects overall stress burden, while its direction reflects the dominant composition of the stress state. This allows biological systems to be </w:t>
      </w:r>
      <w:proofErr w:type="spellStart"/>
      <w:r>
        <w:rPr>
          <w:color w:val="000000"/>
        </w:rPr>
        <w:t>phenotyped</w:t>
      </w:r>
      <w:proofErr w:type="spellEnd"/>
      <w:r>
        <w:rPr>
          <w:color w:val="000000"/>
        </w:rPr>
        <w:t>, stratified, and compared according to stress burden and stress direction without requiring outcome-supervised training. Downstream associations with imaging features, molecular subtypes, therapeutic response, or clinical outcomes can then be evaluated as consequences of stress-state organization rather than as prerequisites for defining the stress states themselves.</w:t>
      </w:r>
    </w:p>
    <w:p w14:paraId="1196638E" w14:textId="77777777" w:rsidR="001924E3" w:rsidRDefault="001924E3" w:rsidP="001924E3">
      <w:pPr>
        <w:pStyle w:val="NormalWeb"/>
        <w:rPr>
          <w:color w:val="000000"/>
        </w:rPr>
      </w:pPr>
      <w:r>
        <w:rPr>
          <w:color w:val="000000"/>
        </w:rPr>
        <w:t>In this sense, the CSI framework functions as both a quantitative scoring system and a formal ontology of biological stress information. It defines the relevant entities, organizes them across biological scales, specifies their relationships, and provides a disease-agnostic structure for linking environmental perturbation, molecular adaptation, and observable phenotype.</w:t>
      </w:r>
    </w:p>
    <w:p w14:paraId="517601A5" w14:textId="77777777" w:rsidR="001924E3" w:rsidRPr="001924E3" w:rsidRDefault="001924E3" w:rsidP="001924E3">
      <w:pPr>
        <w:rPr>
          <w:lang w:bidi="ar-SA"/>
        </w:rPr>
      </w:pPr>
    </w:p>
    <w:p w14:paraId="372A0696" w14:textId="77777777" w:rsidR="0086321C" w:rsidRPr="00201D52" w:rsidRDefault="00000000">
      <w:pPr>
        <w:pStyle w:val="Heading3"/>
        <w:ind w:left="531" w:hanging="546"/>
        <w:rPr>
          <w:rFonts w:ascii="Times New Roman" w:hAnsi="Times New Roman" w:cs="Times New Roman"/>
          <w:color w:val="000000" w:themeColor="text1"/>
        </w:rPr>
      </w:pPr>
      <w:r w:rsidRPr="00201D52">
        <w:rPr>
          <w:rFonts w:ascii="Times New Roman" w:hAnsi="Times New Roman" w:cs="Times New Roman"/>
          <w:color w:val="000000" w:themeColor="text1"/>
        </w:rPr>
        <w:lastRenderedPageBreak/>
        <w:t xml:space="preserve">The Three-Layer </w:t>
      </w:r>
      <w:r w:rsidR="00BA06DA">
        <w:rPr>
          <w:rFonts w:ascii="Times New Roman" w:hAnsi="Times New Roman" w:cs="Times New Roman"/>
          <w:color w:val="000000" w:themeColor="text1"/>
        </w:rPr>
        <w:t xml:space="preserve">Network </w:t>
      </w:r>
    </w:p>
    <w:p w14:paraId="624B74B1" w14:textId="77777777" w:rsidR="00373B25" w:rsidRPr="00201D52" w:rsidRDefault="00000000">
      <w:pPr>
        <w:spacing w:after="194"/>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The three-layer </w:t>
      </w:r>
      <w:r w:rsidR="00BA06DA">
        <w:rPr>
          <w:rFonts w:ascii="Times New Roman" w:hAnsi="Times New Roman" w:cs="Times New Roman"/>
          <w:color w:val="000000" w:themeColor="text1"/>
        </w:rPr>
        <w:t xml:space="preserve">network </w:t>
      </w:r>
      <w:r w:rsidRPr="00201D52">
        <w:rPr>
          <w:rFonts w:ascii="Times New Roman" w:hAnsi="Times New Roman" w:cs="Times New Roman"/>
          <w:color w:val="000000" w:themeColor="text1"/>
        </w:rPr>
        <w:t xml:space="preserve">maps directly onto the </w:t>
      </w:r>
      <w:proofErr w:type="spellStart"/>
      <w:r w:rsidRPr="00201D52">
        <w:rPr>
          <w:rFonts w:ascii="Times New Roman" w:hAnsi="Times New Roman" w:cs="Times New Roman"/>
          <w:bCs/>
          <w:color w:val="000000" w:themeColor="text1"/>
        </w:rPr>
        <w:t>StressCode</w:t>
      </w:r>
      <w:proofErr w:type="spellEnd"/>
      <w:r w:rsidRPr="00201D52">
        <w:rPr>
          <w:rFonts w:ascii="Times New Roman" w:hAnsi="Times New Roman" w:cs="Times New Roman"/>
          <w:color w:val="000000" w:themeColor="text1"/>
        </w:rPr>
        <w:t xml:space="preserve"> three-part informational coding system. Layer 1 (Environmental Stress Code) corresponds to the </w:t>
      </w:r>
      <w:r w:rsidRPr="00201D52">
        <w:rPr>
          <w:rFonts w:ascii="Times New Roman" w:hAnsi="Times New Roman" w:cs="Times New Roman"/>
          <w:bCs/>
          <w:color w:val="000000" w:themeColor="text1"/>
        </w:rPr>
        <w:t>E-Code (Environment Code),</w:t>
      </w:r>
      <w:r w:rsidRPr="00201D52">
        <w:rPr>
          <w:rFonts w:ascii="Times New Roman" w:hAnsi="Times New Roman" w:cs="Times New Roman"/>
          <w:color w:val="000000" w:themeColor="text1"/>
        </w:rPr>
        <w:t xml:space="preserve"> which identifies the stressor or environmental context driving biological stress. Layer 2 (Molecular Stress-Response Code) corresponds to the </w:t>
      </w:r>
      <w:r w:rsidRPr="00201D52">
        <w:rPr>
          <w:rFonts w:ascii="Times New Roman" w:hAnsi="Times New Roman" w:cs="Times New Roman"/>
          <w:bCs/>
          <w:color w:val="000000" w:themeColor="text1"/>
        </w:rPr>
        <w:t>M-Code (Molecular Code</w:t>
      </w:r>
      <w:r w:rsidRPr="00201D52">
        <w:rPr>
          <w:rFonts w:ascii="Times New Roman" w:hAnsi="Times New Roman" w:cs="Times New Roman"/>
          <w:b/>
          <w:color w:val="000000" w:themeColor="text1"/>
        </w:rPr>
        <w:t>)</w:t>
      </w:r>
      <w:r w:rsidRPr="00201D52">
        <w:rPr>
          <w:rFonts w:ascii="Times New Roman" w:hAnsi="Times New Roman" w:cs="Times New Roman"/>
          <w:color w:val="000000" w:themeColor="text1"/>
        </w:rPr>
        <w:t xml:space="preserve">, which identifies the specific stress-response pathway activated in response to that context. Layer 3 (Phenotypic Output Code) corresponds to the </w:t>
      </w:r>
      <w:r w:rsidRPr="00201D52">
        <w:rPr>
          <w:rFonts w:ascii="Times New Roman" w:hAnsi="Times New Roman" w:cs="Times New Roman"/>
          <w:bCs/>
          <w:color w:val="000000" w:themeColor="text1"/>
        </w:rPr>
        <w:t>I-Code (Imaging Code),</w:t>
      </w:r>
      <w:r w:rsidRPr="00201D52">
        <w:rPr>
          <w:rFonts w:ascii="Times New Roman" w:hAnsi="Times New Roman" w:cs="Times New Roman"/>
          <w:color w:val="000000" w:themeColor="text1"/>
        </w:rPr>
        <w:t xml:space="preserve"> which identifies the imaging-visible phenotype through which the activated pathway manifests in tissue. The combination of all three codes for a given sample or region constitutes a complete </w:t>
      </w:r>
      <w:r w:rsidRPr="00201D52">
        <w:rPr>
          <w:rFonts w:ascii="Times New Roman" w:hAnsi="Times New Roman" w:cs="Times New Roman"/>
          <w:bCs/>
          <w:color w:val="000000" w:themeColor="text1"/>
        </w:rPr>
        <w:t>StressCode annotation</w:t>
      </w:r>
      <w:r w:rsidRPr="00201D52">
        <w:rPr>
          <w:rFonts w:ascii="Times New Roman" w:hAnsi="Times New Roman" w:cs="Times New Roman"/>
          <w:color w:val="000000" w:themeColor="text1"/>
        </w:rPr>
        <w:t xml:space="preserve"> (E-Code + M-Code + I-Code = StressCode Annotation).</w:t>
      </w:r>
    </w:p>
    <w:p w14:paraId="03C8A018" w14:textId="77777777" w:rsidR="0086321C" w:rsidRPr="00201D52" w:rsidRDefault="00000000">
      <w:pPr>
        <w:spacing w:after="194"/>
        <w:ind w:left="-5"/>
        <w:rPr>
          <w:rFonts w:ascii="Times New Roman" w:hAnsi="Times New Roman" w:cs="Times New Roman"/>
          <w:color w:val="000000" w:themeColor="text1"/>
        </w:rPr>
      </w:pPr>
      <w:r w:rsidRPr="00201D52">
        <w:rPr>
          <w:rFonts w:ascii="Times New Roman" w:hAnsi="Times New Roman" w:cs="Times New Roman"/>
          <w:color w:val="000000" w:themeColor="text1"/>
        </w:rPr>
        <w:t>Layer 1 — Environmental Stress Code (Input Domain). The first ontological layer defines the external and microenvironmental stress conditions that constitute the inputs to the biological stress-response system. In the GBM tumor microenvironment, the dominant stressors are hypoxia, vascular dysfunction, and immune pressure.</w:t>
      </w:r>
    </w:p>
    <w:p w14:paraId="42B25A83" w14:textId="77777777" w:rsidR="0086321C" w:rsidRPr="00201D52" w:rsidRDefault="00000000">
      <w:pPr>
        <w:spacing w:after="194"/>
        <w:ind w:left="-5"/>
        <w:rPr>
          <w:rFonts w:ascii="Times New Roman" w:hAnsi="Times New Roman" w:cs="Times New Roman"/>
          <w:color w:val="000000" w:themeColor="text1"/>
        </w:rPr>
      </w:pPr>
      <w:r w:rsidRPr="00201D52">
        <w:rPr>
          <w:rFonts w:ascii="Times New Roman" w:hAnsi="Times New Roman" w:cs="Times New Roman"/>
          <w:color w:val="000000" w:themeColor="text1"/>
        </w:rPr>
        <w:t xml:space="preserve">Layer 2 — Molecular Stress-Response Code (Process Domain). The second ontological layer defines the molecular biological pathways through which cells and tissues detect and respond to stress inputs. In TCSI-v1, the five </w:t>
      </w:r>
      <w:r w:rsidR="00BA06DA">
        <w:rPr>
          <w:rFonts w:ascii="Times New Roman" w:hAnsi="Times New Roman" w:cs="Times New Roman"/>
          <w:color w:val="000000" w:themeColor="text1"/>
        </w:rPr>
        <w:t xml:space="preserve">standard-form </w:t>
      </w:r>
      <w:r w:rsidRPr="00201D52">
        <w:rPr>
          <w:rFonts w:ascii="Times New Roman" w:hAnsi="Times New Roman" w:cs="Times New Roman"/>
          <w:color w:val="000000" w:themeColor="text1"/>
        </w:rPr>
        <w:t>stress axes</w:t>
      </w:r>
      <w:r w:rsidR="00BA06DA">
        <w:rPr>
          <w:rFonts w:ascii="Times New Roman" w:hAnsi="Times New Roman" w:cs="Times New Roman"/>
          <w:color w:val="000000" w:themeColor="text1"/>
        </w:rPr>
        <w:t xml:space="preserve"> are</w:t>
      </w:r>
      <w:r w:rsidR="00545C89" w:rsidRPr="00201D52">
        <w:rPr>
          <w:rFonts w:ascii="Times New Roman" w:hAnsi="Times New Roman" w:cs="Times New Roman"/>
          <w:color w:val="000000" w:themeColor="text1"/>
        </w:rPr>
        <w:t xml:space="preserve"> </w:t>
      </w:r>
      <w:r w:rsidRPr="00201D52">
        <w:rPr>
          <w:rFonts w:ascii="Times New Roman" w:hAnsi="Times New Roman" w:cs="Times New Roman"/>
          <w:color w:val="000000" w:themeColor="text1"/>
        </w:rPr>
        <w:t>hypoxia signaling, glycolytic metabolic reprogramming, angiogenic remodeling, ROS response, and TNF-α/NF-</w:t>
      </w:r>
      <w:proofErr w:type="spellStart"/>
      <w:r w:rsidRPr="00201D52">
        <w:rPr>
          <w:rFonts w:ascii="Times New Roman" w:hAnsi="Times New Roman" w:cs="Times New Roman"/>
          <w:color w:val="000000" w:themeColor="text1"/>
        </w:rPr>
        <w:t>κB</w:t>
      </w:r>
      <w:proofErr w:type="spellEnd"/>
      <w:r w:rsidRPr="00201D52">
        <w:rPr>
          <w:rFonts w:ascii="Times New Roman" w:hAnsi="Times New Roman" w:cs="Times New Roman"/>
          <w:color w:val="000000" w:themeColor="text1"/>
        </w:rPr>
        <w:t xml:space="preserve"> inflammatory signaling</w:t>
      </w:r>
      <w:r w:rsidR="00BA06DA">
        <w:rPr>
          <w:rFonts w:ascii="Times New Roman" w:hAnsi="Times New Roman" w:cs="Times New Roman"/>
          <w:color w:val="000000" w:themeColor="text1"/>
        </w:rPr>
        <w:t xml:space="preserve">, which </w:t>
      </w:r>
      <w:r w:rsidRPr="00201D52">
        <w:rPr>
          <w:rFonts w:ascii="Times New Roman" w:hAnsi="Times New Roman" w:cs="Times New Roman"/>
          <w:color w:val="000000" w:themeColor="text1"/>
        </w:rPr>
        <w:t>constitute the five process entities. Each process entity is operationalized by a prespecified, biologically curated gene set.</w:t>
      </w:r>
    </w:p>
    <w:p w14:paraId="4F472A5B" w14:textId="77777777" w:rsidR="0086321C" w:rsidRPr="00201D52" w:rsidRDefault="00000000">
      <w:pPr>
        <w:spacing w:after="194"/>
        <w:ind w:left="-5"/>
        <w:rPr>
          <w:rFonts w:ascii="Times New Roman" w:hAnsi="Times New Roman" w:cs="Times New Roman"/>
          <w:color w:val="000000" w:themeColor="text1"/>
        </w:rPr>
      </w:pPr>
      <w:r w:rsidRPr="00201D52">
        <w:rPr>
          <w:rFonts w:ascii="Times New Roman" w:hAnsi="Times New Roman" w:cs="Times New Roman"/>
          <w:color w:val="000000" w:themeColor="text1"/>
        </w:rPr>
        <w:t>Layer 3 — Phenotypic Output Code (Observable Domain). The third ontological layer defines the observable phenotypic outputs through which stress states are expressed as measurable biological or clinical entities. These include imaging phenotypes such as contrast enhancement, perfusion abnormality, and diffusion restriction; histological features; and clinical outcomes such as treatment response and radioresistance.</w:t>
      </w:r>
    </w:p>
    <w:p w14:paraId="7830CBEF" w14:textId="77777777" w:rsidR="00F3792D" w:rsidRPr="00201D52" w:rsidRDefault="00000000" w:rsidP="00F3792D">
      <w:pPr>
        <w:spacing w:after="203"/>
        <w:ind w:left="-5"/>
        <w:rPr>
          <w:rFonts w:ascii="Times New Roman" w:hAnsi="Times New Roman" w:cs="Times New Roman"/>
          <w:color w:val="000000" w:themeColor="text1"/>
        </w:rPr>
      </w:pPr>
      <w:r w:rsidRPr="00201D52">
        <w:rPr>
          <w:rFonts w:ascii="Times New Roman" w:hAnsi="Times New Roman" w:cs="Times New Roman"/>
          <w:color w:val="000000" w:themeColor="text1"/>
        </w:rPr>
        <w:t>The three-layer structure can be represented as a directed information-flow schema: Environmental Stress Inputs → Molecular Stress-Response Pathways → Observable Phenotypic Outputs → Clinical Outcomes.</w:t>
      </w:r>
    </w:p>
    <w:p w14:paraId="030C78BA" w14:textId="77777777" w:rsidR="00373B25" w:rsidRDefault="00000000">
      <w:pPr>
        <w:spacing w:after="194"/>
        <w:ind w:left="-5"/>
        <w:rPr>
          <w:rFonts w:ascii="Times New Roman" w:hAnsi="Times New Roman" w:cs="Times New Roman"/>
          <w:color w:val="000000" w:themeColor="text1"/>
        </w:rPr>
      </w:pPr>
      <w:r w:rsidRPr="00201D52">
        <w:rPr>
          <w:rFonts w:ascii="Times New Roman" w:hAnsi="Times New Roman" w:cs="Times New Roman"/>
          <w:bCs/>
          <w:color w:val="000000" w:themeColor="text1"/>
        </w:rPr>
        <w:t>StressCode Annotation Example: E-Code</w:t>
      </w:r>
      <w:r w:rsidRPr="00201D52">
        <w:rPr>
          <w:rFonts w:ascii="Times New Roman" w:hAnsi="Times New Roman" w:cs="Times New Roman"/>
          <w:b/>
          <w:color w:val="000000" w:themeColor="text1"/>
        </w:rPr>
        <w:t xml:space="preserve">: </w:t>
      </w:r>
      <w:r w:rsidRPr="00201D52">
        <w:rPr>
          <w:rFonts w:ascii="Times New Roman" w:hAnsi="Times New Roman" w:cs="Times New Roman"/>
          <w:color w:val="000000" w:themeColor="text1"/>
        </w:rPr>
        <w:t xml:space="preserve">Hypoxic tumor microenvironment. </w:t>
      </w:r>
      <w:r w:rsidRPr="00201D52">
        <w:rPr>
          <w:rFonts w:ascii="Times New Roman" w:hAnsi="Times New Roman" w:cs="Times New Roman"/>
          <w:bCs/>
          <w:color w:val="000000" w:themeColor="text1"/>
        </w:rPr>
        <w:t>M-Code:</w:t>
      </w:r>
      <w:r w:rsidRPr="00201D52">
        <w:rPr>
          <w:rFonts w:ascii="Times New Roman" w:hAnsi="Times New Roman" w:cs="Times New Roman"/>
          <w:b/>
          <w:color w:val="000000" w:themeColor="text1"/>
        </w:rPr>
        <w:t xml:space="preserve"> </w:t>
      </w:r>
      <w:r w:rsidRPr="00201D52">
        <w:rPr>
          <w:rFonts w:ascii="Times New Roman" w:hAnsi="Times New Roman" w:cs="Times New Roman"/>
          <w:color w:val="000000" w:themeColor="text1"/>
        </w:rPr>
        <w:t xml:space="preserve">HIF-1α / VEGF signaling. </w:t>
      </w:r>
      <w:r w:rsidRPr="00201D52">
        <w:rPr>
          <w:rFonts w:ascii="Times New Roman" w:hAnsi="Times New Roman" w:cs="Times New Roman"/>
          <w:bCs/>
          <w:color w:val="000000" w:themeColor="text1"/>
        </w:rPr>
        <w:t>I-Code:</w:t>
      </w:r>
      <w:r w:rsidRPr="00201D52">
        <w:rPr>
          <w:rFonts w:ascii="Times New Roman" w:hAnsi="Times New Roman" w:cs="Times New Roman"/>
          <w:b/>
          <w:color w:val="000000" w:themeColor="text1"/>
        </w:rPr>
        <w:t xml:space="preserve"> </w:t>
      </w:r>
      <w:r w:rsidRPr="00201D52">
        <w:rPr>
          <w:rFonts w:ascii="Times New Roman" w:hAnsi="Times New Roman" w:cs="Times New Roman"/>
          <w:color w:val="000000" w:themeColor="text1"/>
        </w:rPr>
        <w:t xml:space="preserve">Central necrosis and elevated rCBV in tumor core. </w:t>
      </w:r>
      <w:r w:rsidRPr="00201D52">
        <w:rPr>
          <w:rFonts w:ascii="Times New Roman" w:hAnsi="Times New Roman" w:cs="Times New Roman"/>
          <w:bCs/>
          <w:color w:val="000000" w:themeColor="text1"/>
        </w:rPr>
        <w:t>Combined annotation:</w:t>
      </w:r>
      <w:r w:rsidRPr="00201D52">
        <w:rPr>
          <w:rFonts w:ascii="Times New Roman" w:hAnsi="Times New Roman" w:cs="Times New Roman"/>
          <w:b/>
          <w:color w:val="000000" w:themeColor="text1"/>
        </w:rPr>
        <w:t xml:space="preserve"> </w:t>
      </w:r>
      <w:r w:rsidRPr="00201D52">
        <w:rPr>
          <w:rFonts w:ascii="Times New Roman" w:hAnsi="Times New Roman" w:cs="Times New Roman"/>
          <w:color w:val="000000" w:themeColor="text1"/>
        </w:rPr>
        <w:t xml:space="preserve">Hypoxic tumor microenvironment → HIF-1α/VEGF signaling → central necrosis/elevated rCBV in tumor core. This annotation captures </w:t>
      </w:r>
      <w:r>
        <w:rPr>
          <w:rFonts w:ascii="Times New Roman" w:hAnsi="Times New Roman" w:cs="Times New Roman"/>
          <w:color w:val="000000" w:themeColor="text1"/>
        </w:rPr>
        <w:t>a complete stress-information unit: a hypoxic tumor environment may activate HIF-1α and VEGF-related stress pathways, which may appear on imaging as necrosis and abnormal perfusion in the tumor core.</w:t>
      </w:r>
    </w:p>
    <w:p w14:paraId="10803670" w14:textId="77777777" w:rsidR="00BB7520" w:rsidRDefault="00000000">
      <w:r>
        <w:t>The CSI ontology comprises five formal components: entities, classes, relationships, attributes, and rules. Together, these components specify the complete semantic structure of the stress-information domain, providing a machine-readable and biologically grounded representation of stress biology that is independent of any single disease context.</w:t>
      </w:r>
    </w:p>
    <w:p w14:paraId="21B52961" w14:textId="77777777" w:rsidR="00BB7520" w:rsidRDefault="00000000">
      <w:r w:rsidRPr="00FA11C3">
        <w:rPr>
          <w:bCs/>
        </w:rPr>
        <w:lastRenderedPageBreak/>
        <w:t>Entities</w:t>
      </w:r>
      <w:r>
        <w:rPr>
          <w:b/>
        </w:rPr>
        <w:t xml:space="preserve"> </w:t>
      </w:r>
      <w:r>
        <w:t>are the discrete objects within the stress-information domain: environmental stress inputs (hypoxia, nutrient deprivation, vascular insufficiency, oxidative burden, cytokine exposure); molecular stress-response processes (the five axis programs HYP, GLY, ANG, ROS, INF); measured scores (axis scores, composite stress burden, dominant phenotype label); observable phenotypes (imaging features, histological findings); and clinical outcomes (survival, progression, treatment response).</w:t>
      </w:r>
    </w:p>
    <w:p w14:paraId="3E012BAE" w14:textId="77777777" w:rsidR="00BB7520" w:rsidRDefault="00000000">
      <w:r w:rsidRPr="00FA11C3">
        <w:rPr>
          <w:bCs/>
        </w:rPr>
        <w:t>Classes</w:t>
      </w:r>
      <w:r>
        <w:rPr>
          <w:b/>
        </w:rPr>
        <w:t xml:space="preserve"> </w:t>
      </w:r>
      <w:r>
        <w:t>group entities by ontological role: the Input Class contains environmental stressors; the Molecular Process Class contains transcriptional stress-response programs; the Score Class contains quantitative representations of process activation; and the Phenotype-Outcome Class contains observable manifestations and clinical endpoints.</w:t>
      </w:r>
    </w:p>
    <w:p w14:paraId="4DF589F4" w14:textId="77777777" w:rsidR="00BB7520" w:rsidRDefault="00000000">
      <w:r w:rsidRPr="00FA11C3">
        <w:rPr>
          <w:bCs/>
        </w:rPr>
        <w:t>Relationships</w:t>
      </w:r>
      <w:r>
        <w:rPr>
          <w:b/>
        </w:rPr>
        <w:t xml:space="preserve"> </w:t>
      </w:r>
      <w:r>
        <w:t>define directed connections between entities and are enumerated in Table X (CSI Ontology Relationship Structure).</w:t>
      </w:r>
    </w:p>
    <w:p w14:paraId="5FBA2404" w14:textId="77777777" w:rsidR="00BB7520" w:rsidRDefault="00000000">
      <w:r>
        <w:t>Table: CSI Ontology Relationship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4A0" w:firstRow="1" w:lastRow="0" w:firstColumn="1" w:lastColumn="0" w:noHBand="0" w:noVBand="1"/>
      </w:tblPr>
      <w:tblGrid>
        <w:gridCol w:w="2297"/>
        <w:gridCol w:w="1700"/>
        <w:gridCol w:w="3051"/>
      </w:tblGrid>
      <w:tr w:rsidR="00BB7520" w14:paraId="6F2EEEA9" w14:textId="77777777">
        <w:trPr>
          <w:cantSplit/>
        </w:trPr>
        <w:tc>
          <w:tcPr>
            <w:tcW w:w="0" w:type="auto"/>
          </w:tcPr>
          <w:p w14:paraId="03048725" w14:textId="77777777" w:rsidR="00BB7520" w:rsidRDefault="00000000">
            <w:r>
              <w:rPr>
                <w:b/>
              </w:rPr>
              <w:t>Entity A</w:t>
            </w:r>
          </w:p>
        </w:tc>
        <w:tc>
          <w:tcPr>
            <w:tcW w:w="0" w:type="auto"/>
          </w:tcPr>
          <w:p w14:paraId="5FC15A2D" w14:textId="77777777" w:rsidR="00BB7520" w:rsidRDefault="00000000">
            <w:r>
              <w:rPr>
                <w:b/>
              </w:rPr>
              <w:t>Relationship</w:t>
            </w:r>
          </w:p>
        </w:tc>
        <w:tc>
          <w:tcPr>
            <w:tcW w:w="0" w:type="auto"/>
          </w:tcPr>
          <w:p w14:paraId="17AD51FC" w14:textId="77777777" w:rsidR="00BB7520" w:rsidRDefault="00000000">
            <w:r>
              <w:rPr>
                <w:b/>
              </w:rPr>
              <w:t>Entity B</w:t>
            </w:r>
          </w:p>
        </w:tc>
      </w:tr>
      <w:tr w:rsidR="00BB7520" w14:paraId="045537DE" w14:textId="77777777">
        <w:trPr>
          <w:cantSplit/>
        </w:trPr>
        <w:tc>
          <w:tcPr>
            <w:tcW w:w="0" w:type="auto"/>
          </w:tcPr>
          <w:p w14:paraId="7686B97C" w14:textId="77777777" w:rsidR="00BB7520" w:rsidRDefault="00000000">
            <w:r>
              <w:t>Hypoxia input</w:t>
            </w:r>
          </w:p>
        </w:tc>
        <w:tc>
          <w:tcPr>
            <w:tcW w:w="0" w:type="auto"/>
          </w:tcPr>
          <w:p w14:paraId="2986C010" w14:textId="77777777" w:rsidR="00BB7520" w:rsidRDefault="00000000">
            <w:r>
              <w:t>activates</w:t>
            </w:r>
          </w:p>
        </w:tc>
        <w:tc>
          <w:tcPr>
            <w:tcW w:w="0" w:type="auto"/>
          </w:tcPr>
          <w:p w14:paraId="3182DC96" w14:textId="77777777" w:rsidR="00BB7520" w:rsidRDefault="00000000">
            <w:r>
              <w:t>HYP axis</w:t>
            </w:r>
          </w:p>
        </w:tc>
      </w:tr>
      <w:tr w:rsidR="00BB7520" w14:paraId="36F0F666" w14:textId="77777777">
        <w:trPr>
          <w:cantSplit/>
        </w:trPr>
        <w:tc>
          <w:tcPr>
            <w:tcW w:w="0" w:type="auto"/>
          </w:tcPr>
          <w:p w14:paraId="544CFD2A" w14:textId="77777777" w:rsidR="00BB7520" w:rsidRDefault="00000000">
            <w:r>
              <w:t>Metabolic pressure</w:t>
            </w:r>
          </w:p>
        </w:tc>
        <w:tc>
          <w:tcPr>
            <w:tcW w:w="0" w:type="auto"/>
          </w:tcPr>
          <w:p w14:paraId="289912F8" w14:textId="77777777" w:rsidR="00BB7520" w:rsidRDefault="00000000">
            <w:r>
              <w:t>activates</w:t>
            </w:r>
          </w:p>
        </w:tc>
        <w:tc>
          <w:tcPr>
            <w:tcW w:w="0" w:type="auto"/>
          </w:tcPr>
          <w:p w14:paraId="13797E5A" w14:textId="77777777" w:rsidR="00BB7520" w:rsidRDefault="00000000">
            <w:r>
              <w:t>GLY axis</w:t>
            </w:r>
          </w:p>
        </w:tc>
      </w:tr>
      <w:tr w:rsidR="00BB7520" w14:paraId="7D7B82B9" w14:textId="77777777">
        <w:trPr>
          <w:cantSplit/>
        </w:trPr>
        <w:tc>
          <w:tcPr>
            <w:tcW w:w="0" w:type="auto"/>
          </w:tcPr>
          <w:p w14:paraId="55296744" w14:textId="77777777" w:rsidR="00BB7520" w:rsidRDefault="00000000">
            <w:r>
              <w:t>Vascular insufficiency</w:t>
            </w:r>
          </w:p>
        </w:tc>
        <w:tc>
          <w:tcPr>
            <w:tcW w:w="0" w:type="auto"/>
          </w:tcPr>
          <w:p w14:paraId="306B8F18" w14:textId="77777777" w:rsidR="00BB7520" w:rsidRDefault="00000000">
            <w:r>
              <w:t>activates</w:t>
            </w:r>
          </w:p>
        </w:tc>
        <w:tc>
          <w:tcPr>
            <w:tcW w:w="0" w:type="auto"/>
          </w:tcPr>
          <w:p w14:paraId="295D5B12" w14:textId="77777777" w:rsidR="00BB7520" w:rsidRDefault="00000000">
            <w:r>
              <w:t>ANG axis</w:t>
            </w:r>
          </w:p>
        </w:tc>
      </w:tr>
      <w:tr w:rsidR="00BB7520" w14:paraId="6BF3D161" w14:textId="77777777">
        <w:trPr>
          <w:cantSplit/>
        </w:trPr>
        <w:tc>
          <w:tcPr>
            <w:tcW w:w="0" w:type="auto"/>
          </w:tcPr>
          <w:p w14:paraId="0652F476" w14:textId="77777777" w:rsidR="00BB7520" w:rsidRDefault="00000000">
            <w:r>
              <w:t>Oxidative burden</w:t>
            </w:r>
          </w:p>
        </w:tc>
        <w:tc>
          <w:tcPr>
            <w:tcW w:w="0" w:type="auto"/>
          </w:tcPr>
          <w:p w14:paraId="37791315" w14:textId="77777777" w:rsidR="00BB7520" w:rsidRDefault="00000000">
            <w:r>
              <w:t>activates</w:t>
            </w:r>
          </w:p>
        </w:tc>
        <w:tc>
          <w:tcPr>
            <w:tcW w:w="0" w:type="auto"/>
          </w:tcPr>
          <w:p w14:paraId="3ADDD9A8" w14:textId="77777777" w:rsidR="00BB7520" w:rsidRDefault="00000000">
            <w:r>
              <w:t>ROS axis</w:t>
            </w:r>
          </w:p>
        </w:tc>
      </w:tr>
      <w:tr w:rsidR="00BB7520" w14:paraId="134BC11A" w14:textId="77777777">
        <w:trPr>
          <w:cantSplit/>
        </w:trPr>
        <w:tc>
          <w:tcPr>
            <w:tcW w:w="0" w:type="auto"/>
          </w:tcPr>
          <w:p w14:paraId="03B45DCB" w14:textId="77777777" w:rsidR="00BB7520" w:rsidRDefault="00000000">
            <w:r>
              <w:t>Cytokine exposure</w:t>
            </w:r>
          </w:p>
        </w:tc>
        <w:tc>
          <w:tcPr>
            <w:tcW w:w="0" w:type="auto"/>
          </w:tcPr>
          <w:p w14:paraId="397EE946" w14:textId="77777777" w:rsidR="00BB7520" w:rsidRDefault="00000000">
            <w:r>
              <w:t>activates</w:t>
            </w:r>
          </w:p>
        </w:tc>
        <w:tc>
          <w:tcPr>
            <w:tcW w:w="0" w:type="auto"/>
          </w:tcPr>
          <w:p w14:paraId="54C7E291" w14:textId="77777777" w:rsidR="00BB7520" w:rsidRDefault="00000000">
            <w:r>
              <w:t>INF axis</w:t>
            </w:r>
          </w:p>
        </w:tc>
      </w:tr>
      <w:tr w:rsidR="00BB7520" w14:paraId="32A587FA" w14:textId="77777777">
        <w:trPr>
          <w:cantSplit/>
        </w:trPr>
        <w:tc>
          <w:tcPr>
            <w:tcW w:w="0" w:type="auto"/>
          </w:tcPr>
          <w:p w14:paraId="5C3BAF8D" w14:textId="77777777" w:rsidR="00BB7520" w:rsidRDefault="00000000">
            <w:r>
              <w:t>HYP axis</w:t>
            </w:r>
          </w:p>
        </w:tc>
        <w:tc>
          <w:tcPr>
            <w:tcW w:w="0" w:type="auto"/>
          </w:tcPr>
          <w:p w14:paraId="78CA9B65" w14:textId="77777777" w:rsidR="00BB7520" w:rsidRDefault="00000000">
            <w:r>
              <w:t>contributes to</w:t>
            </w:r>
          </w:p>
        </w:tc>
        <w:tc>
          <w:tcPr>
            <w:tcW w:w="0" w:type="auto"/>
          </w:tcPr>
          <w:p w14:paraId="0FB87678" w14:textId="77777777" w:rsidR="00BB7520" w:rsidRDefault="00000000">
            <w:r>
              <w:t>Composite Stress Index</w:t>
            </w:r>
          </w:p>
        </w:tc>
      </w:tr>
      <w:tr w:rsidR="00BB7520" w14:paraId="2DC5834E" w14:textId="77777777">
        <w:trPr>
          <w:cantSplit/>
        </w:trPr>
        <w:tc>
          <w:tcPr>
            <w:tcW w:w="0" w:type="auto"/>
          </w:tcPr>
          <w:p w14:paraId="135E4602" w14:textId="77777777" w:rsidR="00BB7520" w:rsidRDefault="00000000">
            <w:r>
              <w:t>GLY axis</w:t>
            </w:r>
          </w:p>
        </w:tc>
        <w:tc>
          <w:tcPr>
            <w:tcW w:w="0" w:type="auto"/>
          </w:tcPr>
          <w:p w14:paraId="22B07972" w14:textId="77777777" w:rsidR="00BB7520" w:rsidRDefault="00000000">
            <w:r>
              <w:t>contributes to</w:t>
            </w:r>
          </w:p>
        </w:tc>
        <w:tc>
          <w:tcPr>
            <w:tcW w:w="0" w:type="auto"/>
          </w:tcPr>
          <w:p w14:paraId="672FBF29" w14:textId="77777777" w:rsidR="00BB7520" w:rsidRDefault="00000000">
            <w:r>
              <w:t>Composite Stress Index</w:t>
            </w:r>
          </w:p>
        </w:tc>
      </w:tr>
      <w:tr w:rsidR="00BB7520" w14:paraId="37C4A27E" w14:textId="77777777">
        <w:trPr>
          <w:cantSplit/>
        </w:trPr>
        <w:tc>
          <w:tcPr>
            <w:tcW w:w="0" w:type="auto"/>
          </w:tcPr>
          <w:p w14:paraId="0D4B0109" w14:textId="77777777" w:rsidR="00BB7520" w:rsidRDefault="00000000">
            <w:r>
              <w:t>ANG axis</w:t>
            </w:r>
          </w:p>
        </w:tc>
        <w:tc>
          <w:tcPr>
            <w:tcW w:w="0" w:type="auto"/>
          </w:tcPr>
          <w:p w14:paraId="11736481" w14:textId="77777777" w:rsidR="00BB7520" w:rsidRDefault="00000000">
            <w:r>
              <w:t>contributes to</w:t>
            </w:r>
          </w:p>
        </w:tc>
        <w:tc>
          <w:tcPr>
            <w:tcW w:w="0" w:type="auto"/>
          </w:tcPr>
          <w:p w14:paraId="12E35F1D" w14:textId="77777777" w:rsidR="00BB7520" w:rsidRDefault="00000000">
            <w:r>
              <w:t>Composite Stress Index</w:t>
            </w:r>
          </w:p>
        </w:tc>
      </w:tr>
      <w:tr w:rsidR="00BB7520" w14:paraId="22920117" w14:textId="77777777">
        <w:trPr>
          <w:cantSplit/>
        </w:trPr>
        <w:tc>
          <w:tcPr>
            <w:tcW w:w="0" w:type="auto"/>
          </w:tcPr>
          <w:p w14:paraId="0D9A9624" w14:textId="77777777" w:rsidR="00BB7520" w:rsidRDefault="00000000">
            <w:r>
              <w:t>ROS axis</w:t>
            </w:r>
          </w:p>
        </w:tc>
        <w:tc>
          <w:tcPr>
            <w:tcW w:w="0" w:type="auto"/>
          </w:tcPr>
          <w:p w14:paraId="7E7E98CC" w14:textId="77777777" w:rsidR="00BB7520" w:rsidRDefault="00000000">
            <w:r>
              <w:t>contributes to</w:t>
            </w:r>
          </w:p>
        </w:tc>
        <w:tc>
          <w:tcPr>
            <w:tcW w:w="0" w:type="auto"/>
          </w:tcPr>
          <w:p w14:paraId="59B8D360" w14:textId="77777777" w:rsidR="00BB7520" w:rsidRDefault="00000000">
            <w:r>
              <w:t>Composite Stress Index</w:t>
            </w:r>
          </w:p>
        </w:tc>
      </w:tr>
      <w:tr w:rsidR="00BB7520" w14:paraId="2CB7A0BF" w14:textId="77777777">
        <w:trPr>
          <w:cantSplit/>
        </w:trPr>
        <w:tc>
          <w:tcPr>
            <w:tcW w:w="0" w:type="auto"/>
          </w:tcPr>
          <w:p w14:paraId="56408275" w14:textId="77777777" w:rsidR="00BB7520" w:rsidRDefault="00000000">
            <w:r>
              <w:t>INF axis</w:t>
            </w:r>
          </w:p>
        </w:tc>
        <w:tc>
          <w:tcPr>
            <w:tcW w:w="0" w:type="auto"/>
          </w:tcPr>
          <w:p w14:paraId="03D997B4" w14:textId="77777777" w:rsidR="00BB7520" w:rsidRDefault="00000000">
            <w:r>
              <w:t>contributes to</w:t>
            </w:r>
          </w:p>
        </w:tc>
        <w:tc>
          <w:tcPr>
            <w:tcW w:w="0" w:type="auto"/>
          </w:tcPr>
          <w:p w14:paraId="4D9D75A9" w14:textId="77777777" w:rsidR="00BB7520" w:rsidRDefault="00000000">
            <w:r>
              <w:t>Composite Stress Index</w:t>
            </w:r>
          </w:p>
        </w:tc>
      </w:tr>
      <w:tr w:rsidR="00BB7520" w14:paraId="65CC4343" w14:textId="77777777">
        <w:trPr>
          <w:cantSplit/>
        </w:trPr>
        <w:tc>
          <w:tcPr>
            <w:tcW w:w="0" w:type="auto"/>
          </w:tcPr>
          <w:p w14:paraId="1B9E9CC0" w14:textId="77777777" w:rsidR="00BB7520" w:rsidRDefault="00000000">
            <w:r>
              <w:t>CSI magnitude</w:t>
            </w:r>
          </w:p>
        </w:tc>
        <w:tc>
          <w:tcPr>
            <w:tcW w:w="0" w:type="auto"/>
          </w:tcPr>
          <w:p w14:paraId="2EF031AA" w14:textId="77777777" w:rsidR="00BB7520" w:rsidRDefault="00000000">
            <w:r>
              <w:t>defines</w:t>
            </w:r>
          </w:p>
        </w:tc>
        <w:tc>
          <w:tcPr>
            <w:tcW w:w="0" w:type="auto"/>
          </w:tcPr>
          <w:p w14:paraId="4FAE1E46" w14:textId="77777777" w:rsidR="00BB7520" w:rsidRDefault="00000000">
            <w:r>
              <w:t>stress burden tier</w:t>
            </w:r>
          </w:p>
        </w:tc>
      </w:tr>
      <w:tr w:rsidR="00BB7520" w14:paraId="3E1C648D" w14:textId="77777777">
        <w:trPr>
          <w:cantSplit/>
        </w:trPr>
        <w:tc>
          <w:tcPr>
            <w:tcW w:w="0" w:type="auto"/>
          </w:tcPr>
          <w:p w14:paraId="683D4764" w14:textId="77777777" w:rsidR="00BB7520" w:rsidRDefault="00000000">
            <w:r>
              <w:lastRenderedPageBreak/>
              <w:t>Highest axis score</w:t>
            </w:r>
          </w:p>
        </w:tc>
        <w:tc>
          <w:tcPr>
            <w:tcW w:w="0" w:type="auto"/>
          </w:tcPr>
          <w:p w14:paraId="11E8B04E" w14:textId="77777777" w:rsidR="00BB7520" w:rsidRDefault="00000000">
            <w:r>
              <w:t>defines</w:t>
            </w:r>
          </w:p>
        </w:tc>
        <w:tc>
          <w:tcPr>
            <w:tcW w:w="0" w:type="auto"/>
          </w:tcPr>
          <w:p w14:paraId="26C0662C" w14:textId="77777777" w:rsidR="00BB7520" w:rsidRDefault="00000000">
            <w:r>
              <w:t>dominant stress phenotype</w:t>
            </w:r>
          </w:p>
        </w:tc>
      </w:tr>
      <w:tr w:rsidR="00BB7520" w14:paraId="0C3454A6" w14:textId="77777777">
        <w:trPr>
          <w:cantSplit/>
        </w:trPr>
        <w:tc>
          <w:tcPr>
            <w:tcW w:w="0" w:type="auto"/>
          </w:tcPr>
          <w:p w14:paraId="624A4266" w14:textId="77777777" w:rsidR="00BB7520" w:rsidRDefault="00000000">
            <w:r>
              <w:t>Stress phenotype</w:t>
            </w:r>
          </w:p>
        </w:tc>
        <w:tc>
          <w:tcPr>
            <w:tcW w:w="0" w:type="auto"/>
          </w:tcPr>
          <w:p w14:paraId="55E22057" w14:textId="77777777" w:rsidR="00BB7520" w:rsidRDefault="00000000">
            <w:r>
              <w:t>measured by</w:t>
            </w:r>
          </w:p>
        </w:tc>
        <w:tc>
          <w:tcPr>
            <w:tcW w:w="0" w:type="auto"/>
          </w:tcPr>
          <w:p w14:paraId="5EFF88EA" w14:textId="77777777" w:rsidR="00BB7520" w:rsidRDefault="00000000">
            <w:r>
              <w:t>transcriptional axis scores</w:t>
            </w:r>
          </w:p>
        </w:tc>
      </w:tr>
      <w:tr w:rsidR="00BB7520" w14:paraId="631571B6" w14:textId="77777777">
        <w:trPr>
          <w:cantSplit/>
        </w:trPr>
        <w:tc>
          <w:tcPr>
            <w:tcW w:w="0" w:type="auto"/>
          </w:tcPr>
          <w:p w14:paraId="4EA01D66" w14:textId="77777777" w:rsidR="00BB7520" w:rsidRDefault="00000000">
            <w:r>
              <w:t>Stress phenotype</w:t>
            </w:r>
          </w:p>
        </w:tc>
        <w:tc>
          <w:tcPr>
            <w:tcW w:w="0" w:type="auto"/>
          </w:tcPr>
          <w:p w14:paraId="6F94BBA0" w14:textId="77777777" w:rsidR="00BB7520" w:rsidRDefault="00000000">
            <w:r>
              <w:t>associates with</w:t>
            </w:r>
          </w:p>
        </w:tc>
        <w:tc>
          <w:tcPr>
            <w:tcW w:w="0" w:type="auto"/>
          </w:tcPr>
          <w:p w14:paraId="37EEE6B5" w14:textId="77777777" w:rsidR="00BB7520" w:rsidRDefault="00000000">
            <w:r>
              <w:t>imaging and clinical outcome</w:t>
            </w:r>
          </w:p>
        </w:tc>
      </w:tr>
    </w:tbl>
    <w:p w14:paraId="48B849A7" w14:textId="77777777" w:rsidR="00BB7520" w:rsidRDefault="00000000">
      <w:r w:rsidRPr="00FA11C3">
        <w:rPr>
          <w:bCs/>
        </w:rPr>
        <w:t>Attributes</w:t>
      </w:r>
      <w:r>
        <w:rPr>
          <w:b/>
        </w:rPr>
        <w:t xml:space="preserve"> </w:t>
      </w:r>
      <w:r>
        <w:t>describe properties of entities: magnitude (total stress burden scalar); direction (unit vector in stress-axis space); dominance (identity of the highest-scoring axis); tier (ordinal burden classification); tissue context (bulk, single-cell, or spatial measurement unit); and axis entropy (distributional spread of activation across axes).</w:t>
      </w:r>
    </w:p>
    <w:p w14:paraId="60EE7324" w14:textId="77777777" w:rsidR="00BB7520" w:rsidRDefault="00000000">
      <w:r w:rsidRPr="00FA11C3">
        <w:rPr>
          <w:bCs/>
        </w:rPr>
        <w:t xml:space="preserve">Rules </w:t>
      </w:r>
      <w:r>
        <w:t>specify how quantitative outputs are derived from scores: the tier assignment rule maps a sample's percentile rank on the composite CSI distribution to an ordinal tier; the dominance assignment rule identifies the highest reference-standardized axis score as the dominant phenotype, with a tie-handling procedure for cases where two or more axes differ by less than a pre-specified tolerance δ; and the mixed-phenotype rule assigns a combined phenotype label when two or more axes simultaneously exceed the 75th percentile of the reference distribution.</w:t>
      </w:r>
    </w:p>
    <w:p w14:paraId="36C4265D" w14:textId="77777777" w:rsidR="00BB7520" w:rsidRDefault="00000000">
      <w:r>
        <w:rPr>
          <w:b/>
        </w:rPr>
        <w:t xml:space="preserve">Evidence links </w:t>
      </w:r>
      <w:r>
        <w:t>connect each axis to its biological justification: HYP is grounded in HIF-1α transcriptional target biology; GLY in the Warburg effect and AMPK-related metabolic reprogramming; ANG in VEGF-VEGFR signaling and endothelial activation; ROS in NRF2-KEAP1 antioxidant response; and INF in canonical NF-κB and TNFα cytokine signaling. Each axis gene set is drawn from the MSigDB Hallmark collection, locked at a named release version, and selected on mechanistic grounds prior to any outcome analysis.</w:t>
      </w:r>
    </w:p>
    <w:p w14:paraId="1E00820C" w14:textId="77777777" w:rsidR="00F3792D" w:rsidRPr="00F3792D" w:rsidRDefault="00F3792D" w:rsidP="00F3792D">
      <w:pPr>
        <w:pStyle w:val="Heading2"/>
        <w:numPr>
          <w:ilvl w:val="0"/>
          <w:numId w:val="0"/>
        </w:numPr>
        <w:rPr>
          <w:rFonts w:ascii="Times New Roman" w:eastAsia="Times New Roman" w:hAnsi="Times New Roman" w:cs="Times New Roman"/>
          <w:color w:val="000000"/>
        </w:rPr>
      </w:pPr>
      <w:r w:rsidRPr="00F3792D">
        <w:rPr>
          <w:rStyle w:val="Strong"/>
          <w:b/>
          <w:bCs w:val="0"/>
          <w:color w:val="000000"/>
        </w:rPr>
        <w:t>CSI Ontology Terms</w:t>
      </w: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2989"/>
        <w:gridCol w:w="4988"/>
      </w:tblGrid>
      <w:tr w:rsidR="00F3792D" w14:paraId="2ADF2E0E" w14:textId="77777777" w:rsidTr="00FA11C3">
        <w:trPr>
          <w:cantSplit/>
          <w:tblHeader/>
          <w:tblCellSpacing w:w="15" w:type="dxa"/>
        </w:trPr>
        <w:tc>
          <w:tcPr>
            <w:tcW w:w="0" w:type="auto"/>
            <w:vAlign w:val="center"/>
            <w:hideMark/>
          </w:tcPr>
          <w:p w14:paraId="1489CC0C" w14:textId="77777777" w:rsidR="00F3792D" w:rsidRPr="00FA11C3" w:rsidRDefault="00F3792D">
            <w:pPr>
              <w:jc w:val="center"/>
              <w:rPr>
                <w:rFonts w:ascii="Times New Roman" w:hAnsi="Times New Roman" w:cs="Times New Roman"/>
                <w:b/>
                <w:bCs/>
                <w:color w:val="auto"/>
              </w:rPr>
            </w:pPr>
            <w:r w:rsidRPr="00FA11C3">
              <w:rPr>
                <w:rFonts w:ascii="Times New Roman" w:hAnsi="Times New Roman" w:cs="Times New Roman"/>
                <w:b/>
                <w:bCs/>
              </w:rPr>
              <w:t>Ontology level</w:t>
            </w:r>
          </w:p>
        </w:tc>
        <w:tc>
          <w:tcPr>
            <w:tcW w:w="0" w:type="auto"/>
            <w:vAlign w:val="center"/>
            <w:hideMark/>
          </w:tcPr>
          <w:p w14:paraId="056598FE" w14:textId="77777777" w:rsidR="00F3792D" w:rsidRPr="00FA11C3" w:rsidRDefault="00F3792D">
            <w:pPr>
              <w:jc w:val="center"/>
              <w:rPr>
                <w:rFonts w:ascii="Times New Roman" w:hAnsi="Times New Roman" w:cs="Times New Roman"/>
                <w:b/>
                <w:bCs/>
              </w:rPr>
            </w:pPr>
            <w:r w:rsidRPr="00FA11C3">
              <w:rPr>
                <w:rFonts w:ascii="Times New Roman" w:hAnsi="Times New Roman" w:cs="Times New Roman"/>
                <w:b/>
                <w:bCs/>
              </w:rPr>
              <w:t>Entity class</w:t>
            </w:r>
          </w:p>
        </w:tc>
        <w:tc>
          <w:tcPr>
            <w:tcW w:w="4943" w:type="dxa"/>
            <w:vAlign w:val="center"/>
            <w:hideMark/>
          </w:tcPr>
          <w:p w14:paraId="25AAF755" w14:textId="77777777" w:rsidR="00F3792D" w:rsidRPr="00FA11C3" w:rsidRDefault="00F3792D">
            <w:pPr>
              <w:jc w:val="center"/>
              <w:rPr>
                <w:rFonts w:ascii="Times New Roman" w:hAnsi="Times New Roman" w:cs="Times New Roman"/>
                <w:b/>
                <w:bCs/>
              </w:rPr>
            </w:pPr>
            <w:r w:rsidRPr="00FA11C3">
              <w:rPr>
                <w:rFonts w:ascii="Times New Roman" w:hAnsi="Times New Roman" w:cs="Times New Roman"/>
                <w:b/>
                <w:bCs/>
              </w:rPr>
              <w:t>CSI representation</w:t>
            </w:r>
          </w:p>
        </w:tc>
      </w:tr>
      <w:tr w:rsidR="00F3792D" w14:paraId="7A769A45" w14:textId="77777777" w:rsidTr="00FA11C3">
        <w:trPr>
          <w:cantSplit/>
          <w:tblCellSpacing w:w="15" w:type="dxa"/>
        </w:trPr>
        <w:tc>
          <w:tcPr>
            <w:tcW w:w="0" w:type="auto"/>
            <w:vAlign w:val="center"/>
            <w:hideMark/>
          </w:tcPr>
          <w:p w14:paraId="4EF68F13" w14:textId="77777777" w:rsidR="00F3792D" w:rsidRPr="00FA11C3" w:rsidRDefault="00F3792D">
            <w:pPr>
              <w:jc w:val="left"/>
              <w:rPr>
                <w:rFonts w:ascii="Times New Roman" w:hAnsi="Times New Roman" w:cs="Times New Roman"/>
              </w:rPr>
            </w:pPr>
            <w:r w:rsidRPr="00FA11C3">
              <w:rPr>
                <w:rStyle w:val="Strong"/>
                <w:rFonts w:ascii="Times New Roman" w:hAnsi="Times New Roman" w:cs="Times New Roman"/>
              </w:rPr>
              <w:t>Input level</w:t>
            </w:r>
          </w:p>
        </w:tc>
        <w:tc>
          <w:tcPr>
            <w:tcW w:w="0" w:type="auto"/>
            <w:vAlign w:val="center"/>
            <w:hideMark/>
          </w:tcPr>
          <w:p w14:paraId="63DBAA63" w14:textId="77777777" w:rsidR="00F3792D" w:rsidRPr="00FA11C3" w:rsidRDefault="00F3792D">
            <w:pPr>
              <w:rPr>
                <w:rFonts w:ascii="Times New Roman" w:hAnsi="Times New Roman" w:cs="Times New Roman"/>
              </w:rPr>
            </w:pPr>
            <w:r w:rsidRPr="00FA11C3">
              <w:rPr>
                <w:rFonts w:ascii="Times New Roman" w:hAnsi="Times New Roman" w:cs="Times New Roman"/>
              </w:rPr>
              <w:t>Environmental stress input</w:t>
            </w:r>
          </w:p>
        </w:tc>
        <w:tc>
          <w:tcPr>
            <w:tcW w:w="4943" w:type="dxa"/>
            <w:vAlign w:val="center"/>
            <w:hideMark/>
          </w:tcPr>
          <w:p w14:paraId="7D2473AC" w14:textId="77777777" w:rsidR="00F3792D" w:rsidRPr="00FA11C3" w:rsidRDefault="00F3792D">
            <w:pPr>
              <w:rPr>
                <w:rFonts w:ascii="Times New Roman" w:hAnsi="Times New Roman" w:cs="Times New Roman"/>
              </w:rPr>
            </w:pPr>
            <w:r w:rsidRPr="00FA11C3">
              <w:rPr>
                <w:rFonts w:ascii="Times New Roman" w:hAnsi="Times New Roman" w:cs="Times New Roman"/>
              </w:rPr>
              <w:t>Hypoxia, nutrient/metabolic pressure, vascular insufficiency, oxidative burden, inflammatory cytokine exposure</w:t>
            </w:r>
          </w:p>
        </w:tc>
      </w:tr>
      <w:tr w:rsidR="00F3792D" w14:paraId="273FDB79" w14:textId="77777777" w:rsidTr="00FA11C3">
        <w:trPr>
          <w:cantSplit/>
          <w:tblCellSpacing w:w="15" w:type="dxa"/>
        </w:trPr>
        <w:tc>
          <w:tcPr>
            <w:tcW w:w="0" w:type="auto"/>
            <w:vAlign w:val="center"/>
            <w:hideMark/>
          </w:tcPr>
          <w:p w14:paraId="330954F5" w14:textId="77777777" w:rsidR="00F3792D" w:rsidRPr="00FA11C3" w:rsidRDefault="00F3792D">
            <w:pPr>
              <w:rPr>
                <w:rFonts w:ascii="Times New Roman" w:hAnsi="Times New Roman" w:cs="Times New Roman"/>
              </w:rPr>
            </w:pPr>
            <w:r w:rsidRPr="00FA11C3">
              <w:rPr>
                <w:rStyle w:val="Strong"/>
                <w:rFonts w:ascii="Times New Roman" w:hAnsi="Times New Roman" w:cs="Times New Roman"/>
              </w:rPr>
              <w:t>Process level</w:t>
            </w:r>
          </w:p>
        </w:tc>
        <w:tc>
          <w:tcPr>
            <w:tcW w:w="0" w:type="auto"/>
            <w:vAlign w:val="center"/>
            <w:hideMark/>
          </w:tcPr>
          <w:p w14:paraId="080D19A4" w14:textId="77777777" w:rsidR="00F3792D" w:rsidRPr="00FA11C3" w:rsidRDefault="00F3792D">
            <w:pPr>
              <w:rPr>
                <w:rFonts w:ascii="Times New Roman" w:hAnsi="Times New Roman" w:cs="Times New Roman"/>
              </w:rPr>
            </w:pPr>
            <w:r w:rsidRPr="00FA11C3">
              <w:rPr>
                <w:rFonts w:ascii="Times New Roman" w:hAnsi="Times New Roman" w:cs="Times New Roman"/>
              </w:rPr>
              <w:t>Molecular stress-response process</w:t>
            </w:r>
          </w:p>
        </w:tc>
        <w:tc>
          <w:tcPr>
            <w:tcW w:w="4943" w:type="dxa"/>
            <w:vAlign w:val="center"/>
            <w:hideMark/>
          </w:tcPr>
          <w:p w14:paraId="799D6BDC" w14:textId="77777777" w:rsidR="00F3792D" w:rsidRPr="00FA11C3" w:rsidRDefault="00F3792D">
            <w:pPr>
              <w:rPr>
                <w:rFonts w:ascii="Times New Roman" w:hAnsi="Times New Roman" w:cs="Times New Roman"/>
              </w:rPr>
            </w:pPr>
            <w:r w:rsidRPr="00FA11C3">
              <w:rPr>
                <w:rFonts w:ascii="Times New Roman" w:hAnsi="Times New Roman" w:cs="Times New Roman"/>
              </w:rPr>
              <w:t>HYP, GLY, ANG, ROS, INF</w:t>
            </w:r>
          </w:p>
        </w:tc>
      </w:tr>
      <w:tr w:rsidR="00F3792D" w14:paraId="52BDEB6D" w14:textId="77777777" w:rsidTr="00FA11C3">
        <w:trPr>
          <w:cantSplit/>
          <w:trHeight w:val="285"/>
          <w:tblCellSpacing w:w="15" w:type="dxa"/>
        </w:trPr>
        <w:tc>
          <w:tcPr>
            <w:tcW w:w="0" w:type="auto"/>
            <w:vAlign w:val="center"/>
            <w:hideMark/>
          </w:tcPr>
          <w:p w14:paraId="57D370DF" w14:textId="77777777" w:rsidR="00F3792D" w:rsidRPr="00FA11C3" w:rsidRDefault="00F3792D">
            <w:pPr>
              <w:rPr>
                <w:rFonts w:ascii="Times New Roman" w:hAnsi="Times New Roman" w:cs="Times New Roman"/>
              </w:rPr>
            </w:pPr>
            <w:r w:rsidRPr="00FA11C3">
              <w:rPr>
                <w:rStyle w:val="Strong"/>
                <w:rFonts w:ascii="Times New Roman" w:hAnsi="Times New Roman" w:cs="Times New Roman"/>
              </w:rPr>
              <w:t>Output level</w:t>
            </w:r>
          </w:p>
        </w:tc>
        <w:tc>
          <w:tcPr>
            <w:tcW w:w="0" w:type="auto"/>
            <w:vAlign w:val="center"/>
            <w:hideMark/>
          </w:tcPr>
          <w:p w14:paraId="659DF287" w14:textId="77777777" w:rsidR="00F3792D" w:rsidRPr="00FA11C3" w:rsidRDefault="00F3792D">
            <w:pPr>
              <w:rPr>
                <w:rFonts w:ascii="Times New Roman" w:hAnsi="Times New Roman" w:cs="Times New Roman"/>
              </w:rPr>
            </w:pPr>
            <w:r w:rsidRPr="00FA11C3">
              <w:rPr>
                <w:rFonts w:ascii="Times New Roman" w:hAnsi="Times New Roman" w:cs="Times New Roman"/>
              </w:rPr>
              <w:t>Observable phenotype</w:t>
            </w:r>
          </w:p>
        </w:tc>
        <w:tc>
          <w:tcPr>
            <w:tcW w:w="4943" w:type="dxa"/>
            <w:vAlign w:val="center"/>
            <w:hideMark/>
          </w:tcPr>
          <w:p w14:paraId="776E04E0" w14:textId="77777777" w:rsidR="00F3792D" w:rsidRPr="00FA11C3" w:rsidRDefault="00F3792D">
            <w:pPr>
              <w:rPr>
                <w:rFonts w:ascii="Times New Roman" w:hAnsi="Times New Roman" w:cs="Times New Roman"/>
              </w:rPr>
            </w:pPr>
            <w:r w:rsidRPr="00FA11C3">
              <w:rPr>
                <w:rFonts w:ascii="Times New Roman" w:hAnsi="Times New Roman" w:cs="Times New Roman"/>
              </w:rPr>
              <w:t>Imaging phenotype, clinical outcome, treatment response, survival, progression</w:t>
            </w:r>
          </w:p>
        </w:tc>
      </w:tr>
    </w:tbl>
    <w:p w14:paraId="5AFD9D92" w14:textId="77777777" w:rsidR="00F3792D" w:rsidRDefault="00F3792D" w:rsidP="00F3792D">
      <w:pPr>
        <w:rPr>
          <w:vanish/>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4"/>
        <w:gridCol w:w="3809"/>
        <w:gridCol w:w="4510"/>
      </w:tblGrid>
      <w:tr w:rsidR="00F3792D" w14:paraId="2E8E98AD" w14:textId="77777777" w:rsidTr="00F3792D">
        <w:trPr>
          <w:cantSplit/>
          <w:tblHeader/>
          <w:tblCellSpacing w:w="15" w:type="dxa"/>
        </w:trPr>
        <w:tc>
          <w:tcPr>
            <w:tcW w:w="0" w:type="auto"/>
            <w:vAlign w:val="center"/>
            <w:hideMark/>
          </w:tcPr>
          <w:p w14:paraId="4E92D63C" w14:textId="77777777" w:rsidR="00F3792D" w:rsidRPr="00FA11C3" w:rsidRDefault="00F3792D">
            <w:pPr>
              <w:jc w:val="center"/>
              <w:rPr>
                <w:rFonts w:ascii="Times New Roman" w:hAnsi="Times New Roman" w:cs="Times New Roman"/>
                <w:b/>
                <w:bCs/>
                <w:color w:val="auto"/>
              </w:rPr>
            </w:pPr>
            <w:r w:rsidRPr="00FA11C3">
              <w:rPr>
                <w:rFonts w:ascii="Times New Roman" w:hAnsi="Times New Roman" w:cs="Times New Roman"/>
                <w:b/>
                <w:bCs/>
              </w:rPr>
              <w:t>CSI code</w:t>
            </w:r>
          </w:p>
        </w:tc>
        <w:tc>
          <w:tcPr>
            <w:tcW w:w="0" w:type="auto"/>
            <w:vAlign w:val="center"/>
            <w:hideMark/>
          </w:tcPr>
          <w:p w14:paraId="7231A0B9" w14:textId="77777777" w:rsidR="00F3792D" w:rsidRPr="00FA11C3" w:rsidRDefault="00F3792D">
            <w:pPr>
              <w:jc w:val="center"/>
              <w:rPr>
                <w:rFonts w:ascii="Times New Roman" w:hAnsi="Times New Roman" w:cs="Times New Roman"/>
                <w:b/>
                <w:bCs/>
              </w:rPr>
            </w:pPr>
            <w:r w:rsidRPr="00FA11C3">
              <w:rPr>
                <w:rFonts w:ascii="Times New Roman" w:hAnsi="Times New Roman" w:cs="Times New Roman"/>
                <w:b/>
                <w:bCs/>
              </w:rPr>
              <w:t>Ontology entity</w:t>
            </w:r>
          </w:p>
        </w:tc>
        <w:tc>
          <w:tcPr>
            <w:tcW w:w="0" w:type="auto"/>
            <w:vAlign w:val="center"/>
            <w:hideMark/>
          </w:tcPr>
          <w:p w14:paraId="74EFCCBE" w14:textId="77777777" w:rsidR="00F3792D" w:rsidRPr="00FA11C3" w:rsidRDefault="00F3792D">
            <w:pPr>
              <w:jc w:val="center"/>
              <w:rPr>
                <w:rFonts w:ascii="Times New Roman" w:hAnsi="Times New Roman" w:cs="Times New Roman"/>
                <w:b/>
                <w:bCs/>
              </w:rPr>
            </w:pPr>
            <w:r w:rsidRPr="00FA11C3">
              <w:rPr>
                <w:rFonts w:ascii="Times New Roman" w:hAnsi="Times New Roman" w:cs="Times New Roman"/>
                <w:b/>
                <w:bCs/>
              </w:rPr>
              <w:t>Biological interpretation</w:t>
            </w:r>
          </w:p>
        </w:tc>
      </w:tr>
      <w:tr w:rsidR="00F3792D" w14:paraId="69397C4C" w14:textId="77777777" w:rsidTr="00F3792D">
        <w:trPr>
          <w:cantSplit/>
          <w:tblCellSpacing w:w="15" w:type="dxa"/>
        </w:trPr>
        <w:tc>
          <w:tcPr>
            <w:tcW w:w="0" w:type="auto"/>
            <w:vAlign w:val="center"/>
            <w:hideMark/>
          </w:tcPr>
          <w:p w14:paraId="2F83DDDF" w14:textId="77777777" w:rsidR="00F3792D" w:rsidRPr="00FA11C3" w:rsidRDefault="00F3792D">
            <w:pPr>
              <w:jc w:val="left"/>
              <w:rPr>
                <w:rFonts w:ascii="Times New Roman" w:hAnsi="Times New Roman" w:cs="Times New Roman"/>
              </w:rPr>
            </w:pPr>
            <w:r w:rsidRPr="00FA11C3">
              <w:rPr>
                <w:rStyle w:val="Strong"/>
                <w:rFonts w:ascii="Times New Roman" w:hAnsi="Times New Roman" w:cs="Times New Roman"/>
              </w:rPr>
              <w:t>HYP</w:t>
            </w:r>
          </w:p>
        </w:tc>
        <w:tc>
          <w:tcPr>
            <w:tcW w:w="0" w:type="auto"/>
            <w:vAlign w:val="center"/>
            <w:hideMark/>
          </w:tcPr>
          <w:p w14:paraId="70E37040" w14:textId="77777777" w:rsidR="00F3792D" w:rsidRPr="00FA11C3" w:rsidRDefault="00F3792D">
            <w:pPr>
              <w:rPr>
                <w:rFonts w:ascii="Times New Roman" w:hAnsi="Times New Roman" w:cs="Times New Roman"/>
              </w:rPr>
            </w:pPr>
            <w:r w:rsidRPr="00FA11C3">
              <w:rPr>
                <w:rFonts w:ascii="Times New Roman" w:hAnsi="Times New Roman" w:cs="Times New Roman"/>
              </w:rPr>
              <w:t>Hypoxia signaling</w:t>
            </w:r>
          </w:p>
        </w:tc>
        <w:tc>
          <w:tcPr>
            <w:tcW w:w="0" w:type="auto"/>
            <w:vAlign w:val="center"/>
            <w:hideMark/>
          </w:tcPr>
          <w:p w14:paraId="605648F3" w14:textId="77777777" w:rsidR="00F3792D" w:rsidRPr="00FA11C3" w:rsidRDefault="00F3792D">
            <w:pPr>
              <w:rPr>
                <w:rFonts w:ascii="Times New Roman" w:hAnsi="Times New Roman" w:cs="Times New Roman"/>
              </w:rPr>
            </w:pPr>
            <w:r w:rsidRPr="00FA11C3">
              <w:rPr>
                <w:rFonts w:ascii="Times New Roman" w:hAnsi="Times New Roman" w:cs="Times New Roman"/>
              </w:rPr>
              <w:t>Response to oxygen deprivation</w:t>
            </w:r>
          </w:p>
        </w:tc>
      </w:tr>
      <w:tr w:rsidR="00F3792D" w14:paraId="1D2B5CE5" w14:textId="77777777" w:rsidTr="00F3792D">
        <w:trPr>
          <w:cantSplit/>
          <w:tblCellSpacing w:w="15" w:type="dxa"/>
        </w:trPr>
        <w:tc>
          <w:tcPr>
            <w:tcW w:w="0" w:type="auto"/>
            <w:vAlign w:val="center"/>
            <w:hideMark/>
          </w:tcPr>
          <w:p w14:paraId="5D6270A2" w14:textId="77777777" w:rsidR="00F3792D" w:rsidRPr="00FA11C3" w:rsidRDefault="00F3792D">
            <w:pPr>
              <w:rPr>
                <w:rFonts w:ascii="Times New Roman" w:hAnsi="Times New Roman" w:cs="Times New Roman"/>
              </w:rPr>
            </w:pPr>
            <w:r w:rsidRPr="00FA11C3">
              <w:rPr>
                <w:rStyle w:val="Strong"/>
                <w:rFonts w:ascii="Times New Roman" w:hAnsi="Times New Roman" w:cs="Times New Roman"/>
              </w:rPr>
              <w:lastRenderedPageBreak/>
              <w:t>GLY</w:t>
            </w:r>
          </w:p>
        </w:tc>
        <w:tc>
          <w:tcPr>
            <w:tcW w:w="0" w:type="auto"/>
            <w:vAlign w:val="center"/>
            <w:hideMark/>
          </w:tcPr>
          <w:p w14:paraId="2487EED0" w14:textId="77777777" w:rsidR="00F3792D" w:rsidRPr="00FA11C3" w:rsidRDefault="00F3792D">
            <w:pPr>
              <w:rPr>
                <w:rFonts w:ascii="Times New Roman" w:hAnsi="Times New Roman" w:cs="Times New Roman"/>
              </w:rPr>
            </w:pPr>
            <w:r w:rsidRPr="00FA11C3">
              <w:rPr>
                <w:rFonts w:ascii="Times New Roman" w:hAnsi="Times New Roman" w:cs="Times New Roman"/>
              </w:rPr>
              <w:t>Glycolytic metabolic reprogramming</w:t>
            </w:r>
          </w:p>
        </w:tc>
        <w:tc>
          <w:tcPr>
            <w:tcW w:w="0" w:type="auto"/>
            <w:vAlign w:val="center"/>
            <w:hideMark/>
          </w:tcPr>
          <w:p w14:paraId="0DE173FD" w14:textId="77777777" w:rsidR="00F3792D" w:rsidRPr="00FA11C3" w:rsidRDefault="00F3792D">
            <w:pPr>
              <w:rPr>
                <w:rFonts w:ascii="Times New Roman" w:hAnsi="Times New Roman" w:cs="Times New Roman"/>
              </w:rPr>
            </w:pPr>
            <w:r w:rsidRPr="00FA11C3">
              <w:rPr>
                <w:rFonts w:ascii="Times New Roman" w:hAnsi="Times New Roman" w:cs="Times New Roman"/>
              </w:rPr>
              <w:t>Metabolic adaptation and glycolytic shift</w:t>
            </w:r>
          </w:p>
        </w:tc>
      </w:tr>
      <w:tr w:rsidR="00F3792D" w14:paraId="5530F79F" w14:textId="77777777" w:rsidTr="00F3792D">
        <w:trPr>
          <w:cantSplit/>
          <w:tblCellSpacing w:w="15" w:type="dxa"/>
        </w:trPr>
        <w:tc>
          <w:tcPr>
            <w:tcW w:w="0" w:type="auto"/>
            <w:vAlign w:val="center"/>
            <w:hideMark/>
          </w:tcPr>
          <w:p w14:paraId="23978892" w14:textId="77777777" w:rsidR="00F3792D" w:rsidRPr="00FA11C3" w:rsidRDefault="00F3792D">
            <w:pPr>
              <w:rPr>
                <w:rFonts w:ascii="Times New Roman" w:hAnsi="Times New Roman" w:cs="Times New Roman"/>
              </w:rPr>
            </w:pPr>
            <w:r w:rsidRPr="00FA11C3">
              <w:rPr>
                <w:rStyle w:val="Strong"/>
                <w:rFonts w:ascii="Times New Roman" w:hAnsi="Times New Roman" w:cs="Times New Roman"/>
              </w:rPr>
              <w:t>ANG</w:t>
            </w:r>
          </w:p>
        </w:tc>
        <w:tc>
          <w:tcPr>
            <w:tcW w:w="0" w:type="auto"/>
            <w:vAlign w:val="center"/>
            <w:hideMark/>
          </w:tcPr>
          <w:p w14:paraId="075F188B" w14:textId="77777777" w:rsidR="00F3792D" w:rsidRPr="00FA11C3" w:rsidRDefault="00F3792D">
            <w:pPr>
              <w:rPr>
                <w:rFonts w:ascii="Times New Roman" w:hAnsi="Times New Roman" w:cs="Times New Roman"/>
              </w:rPr>
            </w:pPr>
            <w:r w:rsidRPr="00FA11C3">
              <w:rPr>
                <w:rFonts w:ascii="Times New Roman" w:hAnsi="Times New Roman" w:cs="Times New Roman"/>
              </w:rPr>
              <w:t>Angiogenic remodeling</w:t>
            </w:r>
          </w:p>
        </w:tc>
        <w:tc>
          <w:tcPr>
            <w:tcW w:w="0" w:type="auto"/>
            <w:vAlign w:val="center"/>
            <w:hideMark/>
          </w:tcPr>
          <w:p w14:paraId="663D3541" w14:textId="77777777" w:rsidR="00F3792D" w:rsidRPr="00FA11C3" w:rsidRDefault="00F3792D">
            <w:pPr>
              <w:rPr>
                <w:rFonts w:ascii="Times New Roman" w:hAnsi="Times New Roman" w:cs="Times New Roman"/>
              </w:rPr>
            </w:pPr>
            <w:r w:rsidRPr="00FA11C3">
              <w:rPr>
                <w:rFonts w:ascii="Times New Roman" w:hAnsi="Times New Roman" w:cs="Times New Roman"/>
              </w:rPr>
              <w:t>Vascular adaptation and remodeling</w:t>
            </w:r>
          </w:p>
        </w:tc>
      </w:tr>
      <w:tr w:rsidR="00F3792D" w14:paraId="4229AAE7" w14:textId="77777777" w:rsidTr="00F3792D">
        <w:trPr>
          <w:cantSplit/>
          <w:tblCellSpacing w:w="15" w:type="dxa"/>
        </w:trPr>
        <w:tc>
          <w:tcPr>
            <w:tcW w:w="0" w:type="auto"/>
            <w:vAlign w:val="center"/>
            <w:hideMark/>
          </w:tcPr>
          <w:p w14:paraId="52987603" w14:textId="77777777" w:rsidR="00F3792D" w:rsidRPr="00FA11C3" w:rsidRDefault="00F3792D">
            <w:pPr>
              <w:rPr>
                <w:rFonts w:ascii="Times New Roman" w:hAnsi="Times New Roman" w:cs="Times New Roman"/>
              </w:rPr>
            </w:pPr>
            <w:r w:rsidRPr="00FA11C3">
              <w:rPr>
                <w:rStyle w:val="Strong"/>
                <w:rFonts w:ascii="Times New Roman" w:hAnsi="Times New Roman" w:cs="Times New Roman"/>
              </w:rPr>
              <w:t>ROS</w:t>
            </w:r>
          </w:p>
        </w:tc>
        <w:tc>
          <w:tcPr>
            <w:tcW w:w="0" w:type="auto"/>
            <w:vAlign w:val="center"/>
            <w:hideMark/>
          </w:tcPr>
          <w:p w14:paraId="3DF43678" w14:textId="77777777" w:rsidR="00F3792D" w:rsidRPr="00FA11C3" w:rsidRDefault="00F3792D">
            <w:pPr>
              <w:rPr>
                <w:rFonts w:ascii="Times New Roman" w:hAnsi="Times New Roman" w:cs="Times New Roman"/>
              </w:rPr>
            </w:pPr>
            <w:r w:rsidRPr="00FA11C3">
              <w:rPr>
                <w:rFonts w:ascii="Times New Roman" w:hAnsi="Times New Roman" w:cs="Times New Roman"/>
              </w:rPr>
              <w:t>Reactive oxygen species response</w:t>
            </w:r>
          </w:p>
        </w:tc>
        <w:tc>
          <w:tcPr>
            <w:tcW w:w="0" w:type="auto"/>
            <w:vAlign w:val="center"/>
            <w:hideMark/>
          </w:tcPr>
          <w:p w14:paraId="5CDA6A37" w14:textId="77777777" w:rsidR="00F3792D" w:rsidRPr="00FA11C3" w:rsidRDefault="00F3792D">
            <w:pPr>
              <w:rPr>
                <w:rFonts w:ascii="Times New Roman" w:hAnsi="Times New Roman" w:cs="Times New Roman"/>
              </w:rPr>
            </w:pPr>
            <w:r w:rsidRPr="00FA11C3">
              <w:rPr>
                <w:rFonts w:ascii="Times New Roman" w:hAnsi="Times New Roman" w:cs="Times New Roman"/>
              </w:rPr>
              <w:t>Oxidative stress adaptation</w:t>
            </w:r>
          </w:p>
        </w:tc>
      </w:tr>
      <w:tr w:rsidR="00F3792D" w14:paraId="1BAE3147" w14:textId="77777777" w:rsidTr="00F3792D">
        <w:trPr>
          <w:cantSplit/>
          <w:tblCellSpacing w:w="15" w:type="dxa"/>
        </w:trPr>
        <w:tc>
          <w:tcPr>
            <w:tcW w:w="0" w:type="auto"/>
            <w:vAlign w:val="center"/>
            <w:hideMark/>
          </w:tcPr>
          <w:p w14:paraId="538E4179" w14:textId="77777777" w:rsidR="00F3792D" w:rsidRPr="00FA11C3" w:rsidRDefault="00F3792D">
            <w:pPr>
              <w:rPr>
                <w:rFonts w:ascii="Times New Roman" w:hAnsi="Times New Roman" w:cs="Times New Roman"/>
              </w:rPr>
            </w:pPr>
            <w:r w:rsidRPr="00FA11C3">
              <w:rPr>
                <w:rStyle w:val="Strong"/>
                <w:rFonts w:ascii="Times New Roman" w:hAnsi="Times New Roman" w:cs="Times New Roman"/>
              </w:rPr>
              <w:t>INF</w:t>
            </w:r>
          </w:p>
        </w:tc>
        <w:tc>
          <w:tcPr>
            <w:tcW w:w="0" w:type="auto"/>
            <w:vAlign w:val="center"/>
            <w:hideMark/>
          </w:tcPr>
          <w:p w14:paraId="1372ABD5" w14:textId="77777777" w:rsidR="00F3792D" w:rsidRPr="00FA11C3" w:rsidRDefault="00F3792D">
            <w:pPr>
              <w:rPr>
                <w:rFonts w:ascii="Times New Roman" w:hAnsi="Times New Roman" w:cs="Times New Roman"/>
              </w:rPr>
            </w:pPr>
            <w:r w:rsidRPr="00FA11C3">
              <w:rPr>
                <w:rFonts w:ascii="Times New Roman" w:hAnsi="Times New Roman" w:cs="Times New Roman"/>
              </w:rPr>
              <w:t>TNF-</w:t>
            </w:r>
            <m:oMath>
              <m:r>
                <w:rPr>
                  <w:rFonts w:ascii="Cambria Math" w:hAnsi="Cambria Math" w:cs="Times New Roman"/>
                </w:rPr>
                <m:t>α</m:t>
              </m:r>
            </m:oMath>
            <w:r w:rsidRPr="00FA11C3">
              <w:rPr>
                <w:rFonts w:ascii="Times New Roman" w:hAnsi="Times New Roman" w:cs="Times New Roman"/>
              </w:rPr>
              <w:t>/NF-</w:t>
            </w:r>
            <m:oMath>
              <m:r>
                <w:rPr>
                  <w:rFonts w:ascii="Cambria Math" w:hAnsi="Cambria Math" w:cs="Times New Roman"/>
                </w:rPr>
                <m:t>κ</m:t>
              </m:r>
            </m:oMath>
            <w:r w:rsidRPr="00FA11C3">
              <w:rPr>
                <w:rFonts w:ascii="Times New Roman" w:hAnsi="Times New Roman" w:cs="Times New Roman"/>
              </w:rPr>
              <w:t>B inflammatory signaling</w:t>
            </w:r>
          </w:p>
        </w:tc>
        <w:tc>
          <w:tcPr>
            <w:tcW w:w="0" w:type="auto"/>
            <w:vAlign w:val="center"/>
            <w:hideMark/>
          </w:tcPr>
          <w:p w14:paraId="3136BAEF" w14:textId="77777777" w:rsidR="00F3792D" w:rsidRPr="00FA11C3" w:rsidRDefault="00F3792D">
            <w:pPr>
              <w:rPr>
                <w:rFonts w:ascii="Times New Roman" w:hAnsi="Times New Roman" w:cs="Times New Roman"/>
              </w:rPr>
            </w:pPr>
            <w:r w:rsidRPr="00FA11C3">
              <w:rPr>
                <w:rFonts w:ascii="Times New Roman" w:hAnsi="Times New Roman" w:cs="Times New Roman"/>
              </w:rPr>
              <w:t>Cytokine-driven inflammatory stress response</w:t>
            </w:r>
          </w:p>
        </w:tc>
      </w:tr>
    </w:tbl>
    <w:p w14:paraId="04A52B17" w14:textId="77777777" w:rsidR="00F3792D" w:rsidRDefault="00F3792D">
      <w:pPr>
        <w:spacing w:after="194"/>
        <w:ind w:left="-5"/>
        <w:rPr>
          <w:rFonts w:ascii="Times New Roman" w:hAnsi="Times New Roman" w:cs="Times New Roman"/>
          <w:color w:val="000000" w:themeColor="text1"/>
        </w:rPr>
      </w:pPr>
    </w:p>
    <w:p w14:paraId="4F72D0F8" w14:textId="77777777" w:rsidR="00F3792D" w:rsidRPr="00CA61FE" w:rsidRDefault="00F3792D">
      <w:pPr>
        <w:spacing w:after="194"/>
        <w:ind w:left="-5"/>
        <w:rPr>
          <w:rFonts w:ascii="Times New Roman" w:hAnsi="Times New Roman" w:cs="Times New Roman"/>
          <w:color w:val="000000" w:themeColor="text1"/>
        </w:rPr>
      </w:pPr>
    </w:p>
    <w:p w14:paraId="02C79C1B" w14:textId="77777777" w:rsidR="0086321C" w:rsidRPr="00CA61FE" w:rsidRDefault="00000000">
      <w:pPr>
        <w:pStyle w:val="Heading3"/>
        <w:spacing w:after="0"/>
        <w:ind w:left="531" w:hanging="546"/>
        <w:rPr>
          <w:rFonts w:ascii="Times New Roman" w:hAnsi="Times New Roman" w:cs="Times New Roman"/>
          <w:color w:val="000000" w:themeColor="text1"/>
        </w:rPr>
      </w:pPr>
      <w:r>
        <w:rPr>
          <w:rFonts w:ascii="Times New Roman" w:hAnsi="Times New Roman" w:cs="Times New Roman"/>
          <w:color w:val="000000" w:themeColor="text1"/>
        </w:rPr>
        <w:t>Ontological Roles of CSI and TCSI</w:t>
      </w:r>
    </w:p>
    <w:tbl>
      <w:tblPr>
        <w:tblStyle w:val="TableGrid"/>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0" w:type="dxa"/>
          <w:left w:w="110" w:type="dxa"/>
          <w:right w:w="56" w:type="dxa"/>
        </w:tblCellMar>
        <w:tblLook w:val="04A0" w:firstRow="1" w:lastRow="0" w:firstColumn="1" w:lastColumn="0" w:noHBand="0" w:noVBand="1"/>
      </w:tblPr>
      <w:tblGrid>
        <w:gridCol w:w="1872"/>
        <w:gridCol w:w="1872"/>
        <w:gridCol w:w="1872"/>
        <w:gridCol w:w="1872"/>
        <w:gridCol w:w="1872"/>
      </w:tblGrid>
      <w:tr w:rsidR="0086321C" w:rsidRPr="00CA61FE" w14:paraId="0DD6EE77" w14:textId="77777777" w:rsidTr="00CA61FE">
        <w:trPr>
          <w:cantSplit/>
          <w:trHeight w:val="855"/>
        </w:trPr>
        <w:tc>
          <w:tcPr>
            <w:tcW w:w="1872" w:type="dxa"/>
            <w:shd w:val="clear" w:color="auto" w:fill="FFFFFF" w:themeFill="background1"/>
          </w:tcPr>
          <w:p w14:paraId="3EBC5B66"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Instantiation</w:t>
            </w:r>
          </w:p>
        </w:tc>
        <w:tc>
          <w:tcPr>
            <w:tcW w:w="1872" w:type="dxa"/>
            <w:shd w:val="clear" w:color="auto" w:fill="FFFFFF" w:themeFill="background1"/>
          </w:tcPr>
          <w:p w14:paraId="5B0B3C9C"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Ontological Role</w:t>
            </w:r>
          </w:p>
        </w:tc>
        <w:tc>
          <w:tcPr>
            <w:tcW w:w="1872" w:type="dxa"/>
            <w:shd w:val="clear" w:color="auto" w:fill="FFFFFF" w:themeFill="background1"/>
          </w:tcPr>
          <w:p w14:paraId="5921145F"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Layer 1: </w:t>
            </w:r>
          </w:p>
          <w:p w14:paraId="65176956"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Dominant </w:t>
            </w:r>
          </w:p>
          <w:p w14:paraId="4E30E680"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Stressors</w:t>
            </w:r>
          </w:p>
        </w:tc>
        <w:tc>
          <w:tcPr>
            <w:tcW w:w="1872" w:type="dxa"/>
            <w:shd w:val="clear" w:color="auto" w:fill="FFFFFF" w:themeFill="background1"/>
          </w:tcPr>
          <w:p w14:paraId="4507A9AC"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Layer 2: </w:t>
            </w:r>
          </w:p>
          <w:p w14:paraId="5204F7E9"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Molecular </w:t>
            </w:r>
          </w:p>
          <w:p w14:paraId="23A789FA"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Process Axes</w:t>
            </w:r>
          </w:p>
        </w:tc>
        <w:tc>
          <w:tcPr>
            <w:tcW w:w="1872" w:type="dxa"/>
            <w:shd w:val="clear" w:color="auto" w:fill="FFFFFF" w:themeFill="background1"/>
          </w:tcPr>
          <w:p w14:paraId="6D64F79C"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Layer 3: </w:t>
            </w:r>
          </w:p>
          <w:p w14:paraId="557C19ED"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Primary </w:t>
            </w:r>
          </w:p>
          <w:p w14:paraId="14FB757D"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Observables</w:t>
            </w:r>
          </w:p>
        </w:tc>
      </w:tr>
      <w:tr w:rsidR="0086321C" w:rsidRPr="00CA61FE" w14:paraId="10A51C08" w14:textId="77777777" w:rsidTr="00CA61FE">
        <w:trPr>
          <w:cantSplit/>
          <w:trHeight w:val="1416"/>
        </w:trPr>
        <w:tc>
          <w:tcPr>
            <w:tcW w:w="1872" w:type="dxa"/>
            <w:shd w:val="clear" w:color="auto" w:fill="FFFFFF" w:themeFill="background1"/>
          </w:tcPr>
          <w:p w14:paraId="09870B99"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CSI</w:t>
            </w:r>
          </w:p>
        </w:tc>
        <w:tc>
          <w:tcPr>
            <w:tcW w:w="1872" w:type="dxa"/>
            <w:shd w:val="clear" w:color="auto" w:fill="FFFFFF" w:themeFill="background1"/>
          </w:tcPr>
          <w:p w14:paraId="1CD4A12F"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General stress information structure; disease-agnostic parent ontology</w:t>
            </w:r>
          </w:p>
        </w:tc>
        <w:tc>
          <w:tcPr>
            <w:tcW w:w="1872" w:type="dxa"/>
            <w:shd w:val="clear" w:color="auto" w:fill="FFFFFF" w:themeFill="background1"/>
          </w:tcPr>
          <w:p w14:paraId="24384F2F"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Any biologically </w:t>
            </w:r>
          </w:p>
          <w:p w14:paraId="1F428003" w14:textId="77777777" w:rsidR="0086321C" w:rsidRPr="00CA61FE" w:rsidRDefault="00000000">
            <w:pPr>
              <w:spacing w:after="0" w:line="259" w:lineRule="auto"/>
              <w:ind w:left="0" w:right="22" w:firstLine="0"/>
              <w:jc w:val="left"/>
              <w:rPr>
                <w:rFonts w:ascii="Times New Roman" w:hAnsi="Times New Roman" w:cs="Times New Roman"/>
                <w:color w:val="000000" w:themeColor="text1"/>
              </w:rPr>
            </w:pPr>
            <w:r>
              <w:rPr>
                <w:rFonts w:ascii="Times New Roman" w:hAnsi="Times New Roman" w:cs="Times New Roman"/>
                <w:color w:val="000000" w:themeColor="text1"/>
              </w:rPr>
              <w:t>specified stressor</w:t>
            </w:r>
          </w:p>
        </w:tc>
        <w:tc>
          <w:tcPr>
            <w:tcW w:w="1872" w:type="dxa"/>
            <w:shd w:val="clear" w:color="auto" w:fill="FFFFFF" w:themeFill="background1"/>
          </w:tcPr>
          <w:p w14:paraId="5535C6EF" w14:textId="77777777" w:rsidR="0086321C" w:rsidRPr="00CA61FE" w:rsidRDefault="00000000">
            <w:pPr>
              <w:spacing w:after="0" w:line="259" w:lineRule="auto"/>
              <w:ind w:left="0" w:right="2" w:firstLine="0"/>
              <w:jc w:val="left"/>
              <w:rPr>
                <w:rFonts w:ascii="Times New Roman" w:hAnsi="Times New Roman" w:cs="Times New Roman"/>
                <w:color w:val="000000" w:themeColor="text1"/>
              </w:rPr>
            </w:pPr>
            <w:r>
              <w:rPr>
                <w:rFonts w:ascii="Times New Roman" w:hAnsi="Times New Roman" w:cs="Times New Roman"/>
                <w:color w:val="000000" w:themeColor="text1"/>
              </w:rPr>
              <w:t>Any a priori curated stress response gene set family</w:t>
            </w:r>
          </w:p>
        </w:tc>
        <w:tc>
          <w:tcPr>
            <w:tcW w:w="1872" w:type="dxa"/>
            <w:shd w:val="clear" w:color="auto" w:fill="FFFFFF" w:themeFill="background1"/>
          </w:tcPr>
          <w:p w14:paraId="0B1DA27B" w14:textId="77777777" w:rsidR="0086321C" w:rsidRPr="00CA61FE" w:rsidRDefault="00000000">
            <w:pPr>
              <w:spacing w:after="0" w:line="22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Any validated molecular, imaging, or clinical </w:t>
            </w:r>
          </w:p>
          <w:p w14:paraId="0AEF127E"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phenotype</w:t>
            </w:r>
          </w:p>
        </w:tc>
      </w:tr>
      <w:tr w:rsidR="0086321C" w:rsidRPr="00CA61FE" w14:paraId="2566E8D3" w14:textId="77777777" w:rsidTr="00CA61FE">
        <w:trPr>
          <w:cantSplit/>
          <w:trHeight w:val="2226"/>
        </w:trPr>
        <w:tc>
          <w:tcPr>
            <w:tcW w:w="1872" w:type="dxa"/>
            <w:shd w:val="clear" w:color="auto" w:fill="FFFFFF" w:themeFill="background1"/>
          </w:tcPr>
          <w:p w14:paraId="2931117C"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TCSI</w:t>
            </w:r>
          </w:p>
        </w:tc>
        <w:tc>
          <w:tcPr>
            <w:tcW w:w="1872" w:type="dxa"/>
            <w:shd w:val="clear" w:color="auto" w:fill="FFFFFF" w:themeFill="background1"/>
          </w:tcPr>
          <w:p w14:paraId="5A788CD3" w14:textId="77777777" w:rsidR="0086321C" w:rsidRPr="00CA61FE" w:rsidRDefault="00000000">
            <w:pPr>
              <w:spacing w:after="0" w:line="226" w:lineRule="auto"/>
              <w:ind w:left="0" w:right="14"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Tumor-specific stress information structure; oncology domain </w:t>
            </w:r>
          </w:p>
          <w:p w14:paraId="5DBF5F21"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instantiation</w:t>
            </w:r>
          </w:p>
        </w:tc>
        <w:tc>
          <w:tcPr>
            <w:tcW w:w="1872" w:type="dxa"/>
            <w:shd w:val="clear" w:color="auto" w:fill="FFFFFF" w:themeFill="background1"/>
          </w:tcPr>
          <w:p w14:paraId="11B16516" w14:textId="77777777" w:rsidR="0086321C" w:rsidRPr="00CA61FE" w:rsidRDefault="00000000">
            <w:pPr>
              <w:spacing w:after="0" w:line="22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Hypoxia, vascular dysfunction, nutrient </w:t>
            </w:r>
          </w:p>
          <w:p w14:paraId="5D7FA647"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limitation, immune pressure</w:t>
            </w:r>
          </w:p>
        </w:tc>
        <w:tc>
          <w:tcPr>
            <w:tcW w:w="1872" w:type="dxa"/>
            <w:shd w:val="clear" w:color="auto" w:fill="FFFFFF" w:themeFill="background1"/>
          </w:tcPr>
          <w:p w14:paraId="051ACEDC"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Hypoxia, </w:t>
            </w:r>
          </w:p>
          <w:p w14:paraId="707E71F6"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Angiogenesis, Glycolysis, ROS response, TNFα/NF-κB inflammation</w:t>
            </w:r>
          </w:p>
        </w:tc>
        <w:tc>
          <w:tcPr>
            <w:tcW w:w="1872" w:type="dxa"/>
            <w:shd w:val="clear" w:color="auto" w:fill="FFFFFF" w:themeFill="background1"/>
          </w:tcPr>
          <w:p w14:paraId="3DE6D25E" w14:textId="77777777" w:rsidR="0086321C" w:rsidRPr="00CA61FE" w:rsidRDefault="00000000">
            <w:pPr>
              <w:spacing w:after="0" w:line="22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Transcriptomic stress coordinates; spatial stress fields; </w:t>
            </w:r>
          </w:p>
          <w:p w14:paraId="5B213E7B"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radiogenomic imaging alignment</w:t>
            </w:r>
          </w:p>
        </w:tc>
      </w:tr>
    </w:tbl>
    <w:p w14:paraId="77FEAEF4" w14:textId="77777777" w:rsidR="0086321C" w:rsidRPr="00CA61FE" w:rsidRDefault="00000000">
      <w:pPr>
        <w:spacing w:after="720"/>
        <w:ind w:left="-5"/>
        <w:rPr>
          <w:rFonts w:ascii="Times New Roman" w:hAnsi="Times New Roman" w:cs="Times New Roman"/>
          <w:color w:val="000000" w:themeColor="text1"/>
        </w:rPr>
      </w:pPr>
      <w:r>
        <w:rPr>
          <w:rFonts w:ascii="Times New Roman" w:hAnsi="Times New Roman" w:cs="Times New Roman"/>
          <w:color w:val="000000" w:themeColor="text1"/>
        </w:rPr>
        <w:t>Table 3. Ontological characterization of CSI and TCSI across the three layers of the stress information ontology.</w:t>
      </w:r>
    </w:p>
    <w:p w14:paraId="008AD1B6" w14:textId="77777777" w:rsidR="0086321C" w:rsidRPr="00CA61FE" w:rsidRDefault="00000000">
      <w:pPr>
        <w:pStyle w:val="Heading3"/>
        <w:ind w:left="531" w:hanging="546"/>
        <w:rPr>
          <w:rFonts w:ascii="Times New Roman" w:hAnsi="Times New Roman" w:cs="Times New Roman"/>
          <w:color w:val="000000" w:themeColor="text1"/>
        </w:rPr>
      </w:pPr>
      <w:r>
        <w:rPr>
          <w:rFonts w:ascii="Times New Roman" w:hAnsi="Times New Roman" w:cs="Times New Roman"/>
          <w:color w:val="000000" w:themeColor="text1"/>
        </w:rPr>
        <w:t>Disease-Agnostic Scope</w:t>
      </w:r>
    </w:p>
    <w:p w14:paraId="689BEB63"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 xml:space="preserve">The ontological structure of the CSI framework is explicitly disease-agnostic. GBM serves as the primary test case because it exhibits strong co-activation of all five </w:t>
      </w:r>
      <w:r w:rsidR="00BA06DA">
        <w:rPr>
          <w:rFonts w:ascii="Times New Roman" w:hAnsi="Times New Roman" w:cs="Times New Roman"/>
          <w:color w:val="000000" w:themeColor="text1"/>
        </w:rPr>
        <w:t xml:space="preserve">established pathways of the </w:t>
      </w:r>
      <w:r>
        <w:rPr>
          <w:rFonts w:ascii="Times New Roman" w:hAnsi="Times New Roman" w:cs="Times New Roman"/>
          <w:color w:val="000000" w:themeColor="text1"/>
        </w:rPr>
        <w:t xml:space="preserve">TCSI stress axes. However, the three-layer ontological </w:t>
      </w:r>
      <w:r w:rsidR="00BA06DA">
        <w:rPr>
          <w:rFonts w:ascii="Times New Roman" w:hAnsi="Times New Roman" w:cs="Times New Roman"/>
          <w:color w:val="000000" w:themeColor="text1"/>
        </w:rPr>
        <w:t xml:space="preserve">network </w:t>
      </w:r>
      <w:r>
        <w:rPr>
          <w:rFonts w:ascii="Times New Roman" w:hAnsi="Times New Roman" w:cs="Times New Roman"/>
          <w:color w:val="000000" w:themeColor="text1"/>
        </w:rPr>
        <w:t>and the CSI mathematical operator do not depend on GBM-specific biology. The same Layer 1 → Layer 2 → Layer 3 information-flow schema applies to any biological context in which coordinated stress-response axes can be specified a priori from established domain knowledge.</w:t>
      </w:r>
      <w:r>
        <w:t xml:space="preserve"> The CSI framework is evaluated in this paper within the context of cancer as a primary test case. The three-layer ontological structure, </w:t>
      </w:r>
      <w:r>
        <w:lastRenderedPageBreak/>
        <w:t>mathematical operator, and locked scoring specification apply without modification to any biological domain in which coordinated stress-response axes can be specified a priori from established biology; domain-specific validation in non-oncologic contexts is deferred to subsequent work in this series.</w:t>
      </w:r>
    </w:p>
    <w:p w14:paraId="40A21E9D" w14:textId="77777777" w:rsidR="0086321C" w:rsidRPr="00CA61FE" w:rsidRDefault="00000000" w:rsidP="00201D52">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CSI/TCSI as a FAIR-Aligned Data Model</w:t>
      </w:r>
    </w:p>
    <w:p w14:paraId="267D56B0" w14:textId="77777777" w:rsidR="0086321C" w:rsidRPr="00CA61FE" w:rsidRDefault="00000000">
      <w:pPr>
        <w:spacing w:after="0"/>
        <w:ind w:left="-5"/>
        <w:rPr>
          <w:rFonts w:ascii="Times New Roman" w:hAnsi="Times New Roman" w:cs="Times New Roman"/>
          <w:color w:val="000000" w:themeColor="text1"/>
        </w:rPr>
      </w:pPr>
      <w:r>
        <w:rPr>
          <w:rFonts w:ascii="Times New Roman" w:hAnsi="Times New Roman" w:cs="Times New Roman"/>
          <w:color w:val="000000" w:themeColor="text1"/>
        </w:rPr>
        <w:t>The Composite Stress Index framework is simultaneously an operational data model for representing, organizing, and linking cancer research outputs across studies, institutions, and disease contexts. By specifying a fixed set of core entities, typed relationship terms, and minimum metadata requirements, CSI/TCSI provides a disease-agnostic stress-information data model</w:t>
      </w:r>
      <w:r w:rsidR="00FF629E">
        <w:rPr>
          <w:rFonts w:ascii="Times New Roman" w:hAnsi="Times New Roman" w:cs="Times New Roman"/>
          <w:color w:val="000000" w:themeColor="text1"/>
        </w:rPr>
        <w:t xml:space="preserve">, </w:t>
      </w:r>
      <w:r>
        <w:rPr>
          <w:rFonts w:ascii="Times New Roman" w:hAnsi="Times New Roman" w:cs="Times New Roman"/>
          <w:color w:val="000000" w:themeColor="text1"/>
        </w:rPr>
        <w:t>a structured vocabulary and schema capable of functioning as a cross-domain semantic bridge between genomic, imaging, clinical, and mechanistic data.</w:t>
      </w:r>
    </w:p>
    <w:tbl>
      <w:tblPr>
        <w:tblStyle w:val="TableGrid"/>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9" w:type="dxa"/>
          <w:left w:w="110" w:type="dxa"/>
          <w:right w:w="115" w:type="dxa"/>
        </w:tblCellMar>
        <w:tblLook w:val="04A0" w:firstRow="1" w:lastRow="0" w:firstColumn="1" w:lastColumn="0" w:noHBand="0" w:noVBand="1"/>
      </w:tblPr>
      <w:tblGrid>
        <w:gridCol w:w="4680"/>
        <w:gridCol w:w="4680"/>
      </w:tblGrid>
      <w:tr w:rsidR="0086321C" w:rsidRPr="00CA61FE" w14:paraId="1884B8C3" w14:textId="77777777" w:rsidTr="00CA61FE">
        <w:trPr>
          <w:cantSplit/>
          <w:trHeight w:val="309"/>
        </w:trPr>
        <w:tc>
          <w:tcPr>
            <w:tcW w:w="4680" w:type="dxa"/>
          </w:tcPr>
          <w:p w14:paraId="317355C3"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Entity Class</w:t>
            </w:r>
          </w:p>
        </w:tc>
        <w:tc>
          <w:tcPr>
            <w:tcW w:w="4680" w:type="dxa"/>
          </w:tcPr>
          <w:p w14:paraId="30ADD9AE"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Definition</w:t>
            </w:r>
          </w:p>
        </w:tc>
      </w:tr>
      <w:tr w:rsidR="0086321C" w:rsidRPr="00CA61FE" w14:paraId="5901A48E" w14:textId="77777777" w:rsidTr="00CA61FE">
        <w:trPr>
          <w:cantSplit/>
          <w:trHeight w:val="1150"/>
        </w:trPr>
        <w:tc>
          <w:tcPr>
            <w:tcW w:w="4680" w:type="dxa"/>
            <w:shd w:val="clear" w:color="auto" w:fill="FFFFFF" w:themeFill="background1"/>
          </w:tcPr>
          <w:p w14:paraId="36B0CE6F"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Stress Source</w:t>
            </w:r>
          </w:p>
        </w:tc>
        <w:tc>
          <w:tcPr>
            <w:tcW w:w="4680" w:type="dxa"/>
            <w:shd w:val="clear" w:color="auto" w:fill="FFFFFF" w:themeFill="background1"/>
          </w:tcPr>
          <w:p w14:paraId="37EC37A4" w14:textId="77777777" w:rsidR="0086321C" w:rsidRPr="00CA61FE" w:rsidRDefault="00000000">
            <w:pPr>
              <w:spacing w:after="0" w:line="22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Any exogenous or endogenous agent or condition that imposes a perturbation </w:t>
            </w:r>
          </w:p>
          <w:p w14:paraId="7C1F54B5"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sufficient to elicit a coordinated stress response</w:t>
            </w:r>
          </w:p>
        </w:tc>
      </w:tr>
      <w:tr w:rsidR="0086321C" w:rsidRPr="00CA61FE" w14:paraId="02E4C2E7" w14:textId="77777777" w:rsidTr="00CA61FE">
        <w:trPr>
          <w:cantSplit/>
          <w:trHeight w:val="1125"/>
        </w:trPr>
        <w:tc>
          <w:tcPr>
            <w:tcW w:w="4680" w:type="dxa"/>
            <w:shd w:val="clear" w:color="auto" w:fill="FFFFFF" w:themeFill="background1"/>
          </w:tcPr>
          <w:p w14:paraId="2F12BEB8"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Stress Signal</w:t>
            </w:r>
          </w:p>
        </w:tc>
        <w:tc>
          <w:tcPr>
            <w:tcW w:w="4680" w:type="dxa"/>
            <w:shd w:val="clear" w:color="auto" w:fill="FFFFFF" w:themeFill="background1"/>
          </w:tcPr>
          <w:p w14:paraId="7D2B583B"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A measurable molecular, cellular, or physiological indicator that encodes information about the magnitude, type, or duration of stress</w:t>
            </w:r>
          </w:p>
        </w:tc>
      </w:tr>
      <w:tr w:rsidR="0086321C" w:rsidRPr="00CA61FE" w14:paraId="2BCEE035" w14:textId="77777777" w:rsidTr="00CA61FE">
        <w:trPr>
          <w:cantSplit/>
          <w:trHeight w:val="571"/>
        </w:trPr>
        <w:tc>
          <w:tcPr>
            <w:tcW w:w="4680" w:type="dxa"/>
            <w:shd w:val="clear" w:color="auto" w:fill="FFFFFF" w:themeFill="background1"/>
          </w:tcPr>
          <w:p w14:paraId="1D15C7F3"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Stress-Response Pathway</w:t>
            </w:r>
          </w:p>
        </w:tc>
        <w:tc>
          <w:tcPr>
            <w:tcW w:w="4680" w:type="dxa"/>
            <w:shd w:val="clear" w:color="auto" w:fill="FFFFFF" w:themeFill="background1"/>
          </w:tcPr>
          <w:p w14:paraId="67A47950"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A canonical biological cascade or regulatory network activated by stress signals</w:t>
            </w:r>
          </w:p>
        </w:tc>
      </w:tr>
      <w:tr w:rsidR="0086321C" w:rsidRPr="00CA61FE" w14:paraId="21B19610" w14:textId="77777777" w:rsidTr="00CA61FE">
        <w:trPr>
          <w:cantSplit/>
          <w:trHeight w:val="849"/>
        </w:trPr>
        <w:tc>
          <w:tcPr>
            <w:tcW w:w="4680" w:type="dxa"/>
            <w:shd w:val="clear" w:color="auto" w:fill="FFFFFF" w:themeFill="background1"/>
          </w:tcPr>
          <w:p w14:paraId="3A7C2B8B"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Tumor Stress Phenotype</w:t>
            </w:r>
          </w:p>
        </w:tc>
        <w:tc>
          <w:tcPr>
            <w:tcW w:w="4680" w:type="dxa"/>
            <w:shd w:val="clear" w:color="auto" w:fill="FFFFFF" w:themeFill="background1"/>
          </w:tcPr>
          <w:p w14:paraId="489F489D"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The composite phenotypic state emerging from integration of multiple co-active stress response pathways</w:t>
            </w:r>
          </w:p>
        </w:tc>
      </w:tr>
      <w:tr w:rsidR="0086321C" w:rsidRPr="00CA61FE" w14:paraId="46AB0BA9" w14:textId="77777777" w:rsidTr="00CA61FE">
        <w:trPr>
          <w:cantSplit/>
          <w:trHeight w:val="848"/>
        </w:trPr>
        <w:tc>
          <w:tcPr>
            <w:tcW w:w="4680" w:type="dxa"/>
            <w:shd w:val="clear" w:color="auto" w:fill="FFFFFF" w:themeFill="background1"/>
          </w:tcPr>
          <w:p w14:paraId="34D6B449"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Imaging Phenotype</w:t>
            </w:r>
          </w:p>
        </w:tc>
        <w:tc>
          <w:tcPr>
            <w:tcW w:w="4680" w:type="dxa"/>
            <w:shd w:val="clear" w:color="auto" w:fill="FFFFFF" w:themeFill="background1"/>
          </w:tcPr>
          <w:p w14:paraId="2BCF3182"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A quantitative descriptor from diagnostic imaging serving as a non-invasive proxy for underlying biological stress</w:t>
            </w:r>
          </w:p>
        </w:tc>
      </w:tr>
      <w:tr w:rsidR="0086321C" w:rsidRPr="00CA61FE" w14:paraId="7003814D" w14:textId="77777777" w:rsidTr="00CA61FE">
        <w:trPr>
          <w:cantSplit/>
          <w:trHeight w:val="573"/>
        </w:trPr>
        <w:tc>
          <w:tcPr>
            <w:tcW w:w="4680" w:type="dxa"/>
            <w:shd w:val="clear" w:color="auto" w:fill="FFFFFF" w:themeFill="background1"/>
          </w:tcPr>
          <w:p w14:paraId="2AEB3E85"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Treatment Exposure</w:t>
            </w:r>
          </w:p>
        </w:tc>
        <w:tc>
          <w:tcPr>
            <w:tcW w:w="4680" w:type="dxa"/>
            <w:shd w:val="clear" w:color="auto" w:fill="FFFFFF" w:themeFill="background1"/>
          </w:tcPr>
          <w:p w14:paraId="1DCA2BEA"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A therapeutic intervention characterized by modality, dose, timing, and fractionation</w:t>
            </w:r>
          </w:p>
        </w:tc>
      </w:tr>
      <w:tr w:rsidR="0086321C" w:rsidRPr="00CA61FE" w14:paraId="1BCFBDBA" w14:textId="77777777" w:rsidTr="00CA61FE">
        <w:trPr>
          <w:cantSplit/>
          <w:trHeight w:val="848"/>
        </w:trPr>
        <w:tc>
          <w:tcPr>
            <w:tcW w:w="4680" w:type="dxa"/>
            <w:shd w:val="clear" w:color="auto" w:fill="FFFFFF" w:themeFill="background1"/>
          </w:tcPr>
          <w:p w14:paraId="51846A3F"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Outcome</w:t>
            </w:r>
          </w:p>
        </w:tc>
        <w:tc>
          <w:tcPr>
            <w:tcW w:w="4680" w:type="dxa"/>
            <w:shd w:val="clear" w:color="auto" w:fill="FFFFFF" w:themeFill="background1"/>
          </w:tcPr>
          <w:p w14:paraId="5FECD5B7"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A measurable clinical or biological endpoint reflecting the net consequence of treatment and stress phenotype interaction</w:t>
            </w:r>
          </w:p>
        </w:tc>
      </w:tr>
      <w:tr w:rsidR="0086321C" w:rsidRPr="00CA61FE" w14:paraId="624971F9" w14:textId="77777777" w:rsidTr="00CA61FE">
        <w:trPr>
          <w:cantSplit/>
          <w:trHeight w:val="851"/>
        </w:trPr>
        <w:tc>
          <w:tcPr>
            <w:tcW w:w="4680" w:type="dxa"/>
            <w:shd w:val="clear" w:color="auto" w:fill="FFFFFF" w:themeFill="background1"/>
          </w:tcPr>
          <w:p w14:paraId="0BAE3FCC"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Research Output</w:t>
            </w:r>
          </w:p>
        </w:tc>
        <w:tc>
          <w:tcPr>
            <w:tcW w:w="4680" w:type="dxa"/>
            <w:shd w:val="clear" w:color="auto" w:fill="FFFFFF" w:themeFill="background1"/>
          </w:tcPr>
          <w:p w14:paraId="36D22391" w14:textId="77777777" w:rsidR="0086321C" w:rsidRPr="00CA61FE" w:rsidRDefault="00000000">
            <w:pPr>
              <w:spacing w:after="0" w:line="226"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Any data artifact, analytical result, or knowledge product generated by a study </w:t>
            </w:r>
          </w:p>
          <w:p w14:paraId="36AB3CD4"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involving the above entities</w:t>
            </w:r>
          </w:p>
        </w:tc>
      </w:tr>
    </w:tbl>
    <w:p w14:paraId="36A638F2" w14:textId="77777777" w:rsidR="0086321C" w:rsidRPr="00CA61FE" w:rsidRDefault="00000000">
      <w:pPr>
        <w:spacing w:after="712"/>
        <w:ind w:left="-5"/>
        <w:rPr>
          <w:rFonts w:ascii="Times New Roman" w:hAnsi="Times New Roman" w:cs="Times New Roman"/>
          <w:color w:val="000000" w:themeColor="text1"/>
        </w:rPr>
      </w:pPr>
      <w:r>
        <w:rPr>
          <w:rFonts w:ascii="Times New Roman" w:hAnsi="Times New Roman" w:cs="Times New Roman"/>
          <w:color w:val="000000" w:themeColor="text1"/>
        </w:rPr>
        <w:t>Table 4. Core Entity Classes of the CSI/TCSI stress-information data model (compressed).</w:t>
      </w:r>
    </w:p>
    <w:p w14:paraId="21E36D70" w14:textId="77777777" w:rsidR="0086321C" w:rsidRPr="00CA61FE" w:rsidRDefault="00000000">
      <w:pPr>
        <w:spacing w:after="194"/>
        <w:ind w:left="-5"/>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The data model is explicitly designed to support the FAIR data principles (Wilkinson et al., 2016). Findability is promoted by assigning persistent identifiers to each entity class. Accessibility is supported by open schema definitions compatible with standard knowledge graph technologies. Interoperability is achieved through a typed relationship vocabulary providing a controlled predicate set for asserting cross-study and cross-domain semantic links. Reusability is enabled by </w:t>
      </w:r>
      <w:r w:rsidR="00BA06DA">
        <w:rPr>
          <w:rFonts w:ascii="Times New Roman" w:hAnsi="Times New Roman" w:cs="Times New Roman"/>
          <w:color w:val="000000" w:themeColor="text1"/>
        </w:rPr>
        <w:t>m</w:t>
      </w:r>
      <w:r>
        <w:rPr>
          <w:rFonts w:ascii="Times New Roman" w:hAnsi="Times New Roman" w:cs="Times New Roman"/>
          <w:color w:val="000000" w:themeColor="text1"/>
        </w:rPr>
        <w:t>inimum metadata specifications ensuring that research outputs retain sufficient provenance, context, and biological annotation.</w:t>
      </w:r>
    </w:p>
    <w:p w14:paraId="2CEA2D24" w14:textId="77777777" w:rsidR="0086321C" w:rsidRPr="00CA61FE" w:rsidRDefault="00000000">
      <w:pPr>
        <w:spacing w:after="0"/>
        <w:ind w:left="-5"/>
        <w:rPr>
          <w:rFonts w:ascii="Times New Roman" w:hAnsi="Times New Roman" w:cs="Times New Roman"/>
          <w:color w:val="000000" w:themeColor="text1"/>
        </w:rPr>
      </w:pPr>
      <w:r>
        <w:rPr>
          <w:rFonts w:ascii="Times New Roman" w:hAnsi="Times New Roman" w:cs="Times New Roman"/>
          <w:color w:val="000000" w:themeColor="text1"/>
        </w:rPr>
        <w:t xml:space="preserve">The framework interfaces with existing biomedical ontologies: disease terms resolve against the </w:t>
      </w:r>
    </w:p>
    <w:p w14:paraId="2ED2948C" w14:textId="77777777" w:rsidR="0086321C" w:rsidRPr="00F3792D" w:rsidRDefault="00000000" w:rsidP="00F3792D">
      <w:pPr>
        <w:spacing w:after="0" w:line="240" w:lineRule="auto"/>
        <w:ind w:left="0" w:firstLine="0"/>
        <w:jc w:val="left"/>
        <w:rPr>
          <w:rFonts w:ascii="Times New Roman" w:eastAsia="Times New Roman" w:hAnsi="Times New Roman" w:cs="Times New Roman"/>
          <w:kern w:val="0"/>
          <w:lang w:bidi="ar-SA"/>
          <w14:ligatures w14:val="none"/>
        </w:rPr>
      </w:pPr>
      <w:r>
        <w:rPr>
          <w:rFonts w:ascii="Times New Roman" w:hAnsi="Times New Roman" w:cs="Times New Roman"/>
          <w:color w:val="000000" w:themeColor="text1"/>
        </w:rPr>
        <w:t xml:space="preserve">National Cancer Institute Thesaurus (NCIt); molecular pathway entities map to Gene Ontology (GO); phenotypic descriptors align with Human Phenotype Ontology (HPO); imaging descriptors are compatible with RadLex. </w:t>
      </w:r>
      <w:r w:rsidR="00F3792D" w:rsidRPr="00F3792D">
        <w:rPr>
          <w:rFonts w:ascii="Times New Roman" w:eastAsia="Times New Roman" w:hAnsi="Times New Roman" w:cs="Times New Roman"/>
          <w:kern w:val="0"/>
          <w:lang w:bidi="ar-SA"/>
          <w14:ligatures w14:val="none"/>
        </w:rPr>
        <w:t>The CSI framework therefore provides a disease-agnostic ontology of biological stress information, linking environmental perturbation, molecular stress-response activation, and observable phenotype through a standardized five-axis transcriptional stress space.</w:t>
      </w:r>
    </w:p>
    <w:p w14:paraId="5F9989DC" w14:textId="77777777" w:rsidR="00414B42" w:rsidRPr="00CA61FE" w:rsidRDefault="00414B42">
      <w:pPr>
        <w:ind w:left="-5"/>
        <w:rPr>
          <w:rFonts w:ascii="Times New Roman" w:hAnsi="Times New Roman" w:cs="Times New Roman"/>
          <w:color w:val="000000" w:themeColor="text1"/>
        </w:rPr>
      </w:pPr>
    </w:p>
    <w:p w14:paraId="204AB64F" w14:textId="77777777" w:rsidR="0086321C" w:rsidRPr="00CA61FE" w:rsidRDefault="00000000" w:rsidP="00414B42">
      <w:pPr>
        <w:pStyle w:val="Heading1"/>
        <w:numPr>
          <w:ilvl w:val="0"/>
          <w:numId w:val="0"/>
        </w:numPr>
        <w:rPr>
          <w:rFonts w:ascii="Times New Roman" w:hAnsi="Times New Roman" w:cs="Times New Roman"/>
          <w:color w:val="000000" w:themeColor="text1"/>
          <w:sz w:val="24"/>
        </w:rPr>
      </w:pPr>
      <w:r>
        <w:rPr>
          <w:rFonts w:ascii="Times New Roman" w:hAnsi="Times New Roman" w:cs="Times New Roman"/>
          <w:color w:val="000000" w:themeColor="text1"/>
          <w:sz w:val="24"/>
        </w:rPr>
        <w:t>Mathematical Framework</w:t>
      </w:r>
    </w:p>
    <w:p w14:paraId="6D40B210" w14:textId="77777777" w:rsidR="0086321C" w:rsidRPr="00CA61FE" w:rsidRDefault="00000000">
      <w:pPr>
        <w:spacing w:after="194"/>
        <w:ind w:left="-5"/>
        <w:rPr>
          <w:rFonts w:ascii="Times New Roman" w:hAnsi="Times New Roman" w:cs="Times New Roman"/>
          <w:color w:val="000000" w:themeColor="text1"/>
        </w:rPr>
      </w:pPr>
      <w:r>
        <w:rPr>
          <w:rFonts w:ascii="Times New Roman" w:hAnsi="Times New Roman" w:cs="Times New Roman"/>
          <w:color w:val="000000" w:themeColor="text1"/>
        </w:rPr>
        <w:t xml:space="preserve">The </w:t>
      </w:r>
      <w:r w:rsidR="00BA06DA">
        <w:rPr>
          <w:rFonts w:ascii="Times New Roman" w:hAnsi="Times New Roman" w:cs="Times New Roman"/>
          <w:color w:val="000000" w:themeColor="text1"/>
        </w:rPr>
        <w:t>Composite Stress Index (</w:t>
      </w:r>
      <w:r>
        <w:rPr>
          <w:rFonts w:ascii="Times New Roman" w:hAnsi="Times New Roman" w:cs="Times New Roman"/>
          <w:color w:val="000000" w:themeColor="text1"/>
        </w:rPr>
        <w:t>CSI</w:t>
      </w:r>
      <w:r w:rsidR="00BA06DA">
        <w:rPr>
          <w:rFonts w:ascii="Times New Roman" w:hAnsi="Times New Roman" w:cs="Times New Roman"/>
          <w:color w:val="000000" w:themeColor="text1"/>
        </w:rPr>
        <w:t>)</w:t>
      </w:r>
      <w:r>
        <w:rPr>
          <w:rFonts w:ascii="Times New Roman" w:hAnsi="Times New Roman" w:cs="Times New Roman"/>
          <w:color w:val="000000" w:themeColor="text1"/>
        </w:rPr>
        <w:t xml:space="preserve"> is a general reference-standardized framework for quantifying coordinated biological stress across tissue and disease systems. Given a locked deployment specification F, the CSI operator maps a compatible molecular profile x_raw to a reference-standardized scalar coordinate of coordinated stress-pathway activity. The framework requires a locked harmonized gene universe, a pre-specified family of biologically curated stress axes, a deterministic single-sample pathway-scoring operator, a frozen reference cohort from which centering and scaling parameters are derived, and a pre-specified projection vector. The framework is not restricted to cancer.</w:t>
      </w:r>
    </w:p>
    <w:p w14:paraId="65FC06F2" w14:textId="77777777" w:rsidR="00CD3823" w:rsidRPr="00CA61FE" w:rsidRDefault="001D2E52" w:rsidP="00CD3823">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hAnsi="Times New Roman" w:cs="Times New Roman"/>
          <w:color w:val="000000" w:themeColor="text1"/>
        </w:rPr>
        <w:t xml:space="preserve">Tumor Composite Stress Index (TCSI) is the tumor-specific implementation of CSI, in which the biological system of interest is malignant tissue, and the stress axes reflect tumor-relevant adaptive programs including hypoxia, glycolytic metabolism, angiogenesis, ROS response, and inflammatory signaling. TCSI is the primary object of analysis in this paper; all theoretical properties and simulation studies are stated for TCSI as an oncology-specific CSI instantiation. The mathematical structure applies to any CSI implementation under the same assumptions. </w:t>
      </w:r>
      <w:r>
        <w:rPr>
          <w:rFonts w:ascii="Times New Roman" w:eastAsia="Times New Roman" w:hAnsi="Times New Roman" w:cs="Times New Roman"/>
          <w:color w:val="000000" w:themeColor="text1"/>
          <w:kern w:val="0"/>
          <w:lang w:bidi="ar-SA"/>
          <w14:ligatures w14:val="none"/>
        </w:rPr>
        <w:t>Raw data are harmonized, mapped to stress-response features, adjusted for treatment-response context, and weighted to produce a treatment/stress code summary index.</w:t>
      </w:r>
    </w:p>
    <w:p w14:paraId="10A36AC7" w14:textId="77777777" w:rsidR="0086321C" w:rsidRPr="001C1F49" w:rsidRDefault="00CD3823" w:rsidP="001C1F49">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w:t>
      </w:r>
    </w:p>
    <w:p w14:paraId="6844073E" w14:textId="77777777" w:rsidR="004631A7" w:rsidRPr="00CA61F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Any deviation from these seven steps, including use of a different HGNC release, a different duplicate-handling rule, or a different transformation, defines a new harmonisation map H’ and therefore a new version of the TCSI specification. This versioning requirement applies even to seemingly minor changes, because reference-standardization parameters μ_R and σ_R are computed under the </w:t>
      </w:r>
      <w:r w:rsidR="001D2E52">
        <w:rPr>
          <w:rFonts w:ascii="Times New Roman" w:hAnsi="Times New Roman" w:cs="Times New Roman"/>
          <w:color w:val="000000" w:themeColor="text1"/>
        </w:rPr>
        <w:t>representative example</w:t>
      </w:r>
      <w:r>
        <w:rPr>
          <w:rFonts w:ascii="Times New Roman" w:hAnsi="Times New Roman" w:cs="Times New Roman"/>
          <w:color w:val="000000" w:themeColor="text1"/>
        </w:rPr>
        <w:t xml:space="preserve"> H and cannot be meaningfully applied to profiles processed under a different H’.</w:t>
      </w:r>
    </w:p>
    <w:p w14:paraId="14D6C326"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lastRenderedPageBreak/>
        <w:t xml:space="preserve">Step 7 — Pathway-scoring input format. </w:t>
      </w:r>
      <w:r>
        <w:rPr>
          <w:rFonts w:ascii="Times New Roman" w:hAnsi="Times New Roman" w:cs="Times New Roman"/>
          <w:color w:val="000000" w:themeColor="text1"/>
        </w:rPr>
        <w:t>The harmonised expression vector x = H(x_raw) is passed to each scorer S_k in the format required by the locked scorer implementation (e.g., a named numeric vector indexed by HGNC symbol for ssGSEA).</w:t>
      </w:r>
    </w:p>
    <w:p w14:paraId="0E093251"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Step 6 — Missing-gene handling. </w:t>
      </w:r>
      <w:r>
        <w:rPr>
          <w:rFonts w:ascii="Times New Roman" w:hAnsi="Times New Roman" w:cs="Times New Roman"/>
          <w:color w:val="000000" w:themeColor="text1"/>
        </w:rPr>
        <w:t>For each pathway gene set P_k, missing genes are recorded. If fewer than 75% of genes in P_k are observed, pathway scoring for axis k is flagged as unreliable and the TCSI score for that sample must be reported with this flag. Imputation is not performed in the canonical implementation.</w:t>
      </w:r>
    </w:p>
    <w:p w14:paraId="11DC1908"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Step 5 — Assay-compatibility check. </w:t>
      </w:r>
      <w:r>
        <w:rPr>
          <w:rFonts w:ascii="Times New Roman" w:hAnsi="Times New Roman" w:cs="Times New Roman"/>
          <w:color w:val="000000" w:themeColor="text1"/>
        </w:rPr>
        <w:t>The input assay type (RNA-seq counts, microarray intensity, or single-cell UMI counts) is recorded. Compatibility with the locked scorer S_k is assessed; incompatible assay types must be converted to a compatible format using a documented platform-specific normalization step that is itself locked in F.</w:t>
      </w:r>
    </w:p>
    <w:p w14:paraId="43B905F2"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Step 4 — Expression transformation. </w:t>
      </w:r>
      <w:r>
        <w:rPr>
          <w:rFonts w:ascii="Times New Roman" w:hAnsi="Times New Roman" w:cs="Times New Roman"/>
          <w:color w:val="000000" w:themeColor="text1"/>
        </w:rPr>
        <w:t>A log₂(1 + x) transformation is applied to raw count or intensity values. For pre-log-transformed inputs, the transformation is not re-applied; the transformation status must be declared in the sample-level metadata.</w:t>
      </w:r>
    </w:p>
    <w:p w14:paraId="2C25FE0A"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Step 3 — Gene universe restriction. </w:t>
      </w:r>
      <w:r>
        <w:rPr>
          <w:rFonts w:ascii="Times New Roman" w:hAnsi="Times New Roman" w:cs="Times New Roman"/>
          <w:color w:val="000000" w:themeColor="text1"/>
        </w:rPr>
        <w:t>Expression values are retained only for genes belonging to the locked gene universe G. Genes in G absent from the input data are recorded as missing and handled according to Step 6 below.</w:t>
      </w:r>
    </w:p>
    <w:p w14:paraId="488F9967"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Step 2 — Duplicate-symbol handling. </w:t>
      </w:r>
      <w:r>
        <w:rPr>
          <w:rFonts w:ascii="Times New Roman" w:hAnsi="Times New Roman" w:cs="Times New Roman"/>
          <w:color w:val="000000" w:themeColor="text1"/>
        </w:rPr>
        <w:t>When multiple probes or transcripts map to the same HGNC symbol, the probe with the highest mean expression across the reference cohort is retained; ties are broken by lexicographic ordering of probe identifier.</w:t>
      </w:r>
    </w:p>
    <w:p w14:paraId="47FCE11B"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Step 1 — Gene-identifier mapping. </w:t>
      </w:r>
      <w:r>
        <w:rPr>
          <w:rFonts w:ascii="Times New Roman" w:hAnsi="Times New Roman" w:cs="Times New Roman"/>
          <w:color w:val="000000" w:themeColor="text1"/>
        </w:rPr>
        <w:t>All gene symbols are mapped to HUGO Gene Nomenclature Committee (HGNC) approved symbols using a locked HGNC release version. Retired or alias symbols are resolved to their approved current symbol; genes not resolvable to HGNC are excluded.</w:t>
      </w:r>
    </w:p>
    <w:p w14:paraId="4B5496BC" w14:textId="77777777" w:rsidR="004631A7" w:rsidRPr="00CA61FE" w:rsidRDefault="00000000">
      <w:pPr>
        <w:rPr>
          <w:rFonts w:ascii="Times New Roman" w:hAnsi="Times New Roman" w:cs="Times New Roman"/>
          <w:color w:val="000000" w:themeColor="text1"/>
        </w:rPr>
      </w:pPr>
      <w:r>
        <w:rPr>
          <w:rFonts w:ascii="Times New Roman" w:hAnsi="Times New Roman" w:cs="Times New Roman"/>
          <w:color w:val="000000" w:themeColor="text1"/>
        </w:rPr>
        <w:t>The harmonisation operator H constitutes the first stage of the locked TCSI operator. Cross-platform comparability depends critically on consistent application of H to every sample, including both reference and target cohorts. For TCSI-v1, H is defined by the following enumerated steps, each of which must be locked in the versioned deployment specification F:</w:t>
      </w:r>
    </w:p>
    <w:p w14:paraId="0727808B" w14:textId="77777777" w:rsidR="004631A7" w:rsidRPr="00CA61FE" w:rsidRDefault="00000000" w:rsidP="00CA61FE">
      <w:pPr>
        <w:pStyle w:val="Heading2"/>
        <w:numPr>
          <w:ilvl w:val="0"/>
          <w:numId w:val="0"/>
        </w:numPr>
        <w:ind w:left="10" w:hanging="10"/>
        <w:rPr>
          <w:rFonts w:ascii="Times New Roman" w:hAnsi="Times New Roman" w:cs="Times New Roman"/>
          <w:color w:val="000000" w:themeColor="text1"/>
        </w:rPr>
      </w:pPr>
      <w:r>
        <w:rPr>
          <w:rFonts w:ascii="Times New Roman" w:hAnsi="Times New Roman" w:cs="Times New Roman"/>
          <w:color w:val="000000" w:themeColor="text1"/>
        </w:rPr>
        <w:t>Preprocessing and Harmonization Protocol for TCSI-v1</w:t>
      </w:r>
    </w:p>
    <w:p w14:paraId="117B0A99" w14:textId="77777777" w:rsidR="0086321C" w:rsidRPr="00CA61FE" w:rsidRDefault="00000000" w:rsidP="00414B42">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Notation and Core Objects</w:t>
      </w:r>
    </w:p>
    <w:p w14:paraId="3852489A" w14:textId="77777777" w:rsidR="0086321C" w:rsidRPr="00CA61FE" w:rsidRDefault="00000000">
      <w:pPr>
        <w:spacing w:after="193"/>
        <w:ind w:left="-5"/>
        <w:rPr>
          <w:rFonts w:ascii="Times New Roman" w:hAnsi="Times New Roman" w:cs="Times New Roman"/>
          <w:color w:val="000000" w:themeColor="text1"/>
        </w:rPr>
      </w:pPr>
      <w:r>
        <w:rPr>
          <w:rFonts w:ascii="Times New Roman" w:hAnsi="Times New Roman" w:cs="Times New Roman"/>
          <w:color w:val="000000" w:themeColor="text1"/>
        </w:rPr>
        <w:t xml:space="preserve">Let G denote the locked harmonized gene universe (|G| = p genes), with each gene identified under the HUGO Gene Nomenclature Committee standard. Let x_raw denote a raw transcriptomic input and x = H(x_raw) </w:t>
      </w:r>
      <w:r>
        <w:rPr>
          <w:rFonts w:ascii="Cambria Math" w:hAnsi="Cambria Math" w:cs="Cambria Math"/>
          <w:color w:val="000000" w:themeColor="text1"/>
        </w:rPr>
        <w:t>∈</w:t>
      </w:r>
      <w:r>
        <w:rPr>
          <w:rFonts w:ascii="Times New Roman" w:hAnsi="Times New Roman" w:cs="Times New Roman"/>
          <w:color w:val="000000" w:themeColor="text1"/>
        </w:rPr>
        <w:t>ℝ ^p the harmonized expression vector produced by a fixed preprocessing and harmonization operator H. The map H locks gene-identifier mapping, duplicate-symbol handling, retention of genes in G, expression transformation (e.g., log₂(1 + ·)), missing-gene rules, assay-compatibility criteria, and pathway-scoring input format. A frozen reference without a locked H does not guarantee cross-cohort portability.</w:t>
      </w:r>
    </w:p>
    <w:p w14:paraId="47B81E8D" w14:textId="77777777" w:rsidR="0086321C" w:rsidRDefault="00000000">
      <w:pPr>
        <w:spacing w:after="194"/>
        <w:ind w:left="-5"/>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Definition 2.1 (Locked pathway family). The </w:t>
      </w:r>
      <w:r w:rsidR="001D2E52">
        <w:rPr>
          <w:rFonts w:ascii="Times New Roman" w:hAnsi="Times New Roman" w:cs="Times New Roman"/>
          <w:color w:val="000000" w:themeColor="text1"/>
        </w:rPr>
        <w:t xml:space="preserve">classical </w:t>
      </w:r>
      <w:r>
        <w:rPr>
          <w:rFonts w:ascii="Times New Roman" w:hAnsi="Times New Roman" w:cs="Times New Roman"/>
          <w:color w:val="000000" w:themeColor="text1"/>
        </w:rPr>
        <w:t>pathway family is Π = {P_1, …, P_K}, with K = 5 in TCSI-v1. Each pathway is operationalized by a curated gene set drawn from the MSigDB Hallmark collection (Liberzon et al., 2015), locked at a named release version. Pathways are selected a priori from biological stress-adaptation mechanisms and not by survival association or any downstream outcome. The parameter K is fixed by ontological choice; any alteration defines a new version.</w:t>
      </w:r>
    </w:p>
    <w:p w14:paraId="7D78E28F"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Standard-Form Axis Notation. For TCSI-v1, the five stress axes are assigned the following standard-form axis codes: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9"/>
        <w:gridCol w:w="3178"/>
        <w:gridCol w:w="5536"/>
      </w:tblGrid>
      <w:tr w:rsidR="001924E3" w:rsidRPr="001924E3" w14:paraId="61225023" w14:textId="77777777" w:rsidTr="001924E3">
        <w:trPr>
          <w:cantSplit/>
          <w:tblHeader/>
          <w:tblCellSpacing w:w="15" w:type="dxa"/>
        </w:trPr>
        <w:tc>
          <w:tcPr>
            <w:tcW w:w="0" w:type="auto"/>
            <w:vAlign w:val="center"/>
            <w:hideMark/>
          </w:tcPr>
          <w:p w14:paraId="219871E6" w14:textId="77777777" w:rsidR="001924E3" w:rsidRPr="001924E3" w:rsidRDefault="001924E3" w:rsidP="001924E3">
            <w:pPr>
              <w:spacing w:after="0" w:line="240" w:lineRule="auto"/>
              <w:ind w:left="0" w:firstLine="0"/>
              <w:jc w:val="center"/>
              <w:rPr>
                <w:rFonts w:ascii="Times New Roman" w:eastAsia="Times New Roman" w:hAnsi="Times New Roman" w:cs="Times New Roman"/>
                <w:b/>
                <w:bCs/>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Code</w:t>
            </w:r>
          </w:p>
        </w:tc>
        <w:tc>
          <w:tcPr>
            <w:tcW w:w="0" w:type="auto"/>
            <w:vAlign w:val="center"/>
            <w:hideMark/>
          </w:tcPr>
          <w:p w14:paraId="7056583F" w14:textId="77777777" w:rsidR="001924E3" w:rsidRPr="001924E3" w:rsidRDefault="001924E3" w:rsidP="001924E3">
            <w:pPr>
              <w:spacing w:after="0" w:line="240" w:lineRule="auto"/>
              <w:ind w:left="0" w:firstLine="0"/>
              <w:jc w:val="center"/>
              <w:rPr>
                <w:rFonts w:ascii="Times New Roman" w:eastAsia="Times New Roman" w:hAnsi="Times New Roman" w:cs="Times New Roman"/>
                <w:b/>
                <w:bCs/>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Stress Axis</w:t>
            </w:r>
          </w:p>
        </w:tc>
        <w:tc>
          <w:tcPr>
            <w:tcW w:w="0" w:type="auto"/>
            <w:vAlign w:val="center"/>
            <w:hideMark/>
          </w:tcPr>
          <w:p w14:paraId="3B8464F8" w14:textId="77777777" w:rsidR="001924E3" w:rsidRPr="001924E3" w:rsidRDefault="001924E3" w:rsidP="001924E3">
            <w:pPr>
              <w:spacing w:after="0" w:line="240" w:lineRule="auto"/>
              <w:ind w:left="0" w:firstLine="0"/>
              <w:jc w:val="center"/>
              <w:rPr>
                <w:rFonts w:ascii="Times New Roman" w:eastAsia="Times New Roman" w:hAnsi="Times New Roman" w:cs="Times New Roman"/>
                <w:b/>
                <w:bCs/>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Biological Meaning</w:t>
            </w:r>
          </w:p>
        </w:tc>
      </w:tr>
      <w:tr w:rsidR="001924E3" w:rsidRPr="001924E3" w14:paraId="6ACAA363" w14:textId="77777777" w:rsidTr="001924E3">
        <w:trPr>
          <w:cantSplit/>
          <w:tblCellSpacing w:w="15" w:type="dxa"/>
        </w:trPr>
        <w:tc>
          <w:tcPr>
            <w:tcW w:w="0" w:type="auto"/>
            <w:vAlign w:val="center"/>
            <w:hideMark/>
          </w:tcPr>
          <w:p w14:paraId="7C694AF1"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HYP</w:t>
            </w:r>
          </w:p>
        </w:tc>
        <w:tc>
          <w:tcPr>
            <w:tcW w:w="0" w:type="auto"/>
            <w:vAlign w:val="center"/>
            <w:hideMark/>
          </w:tcPr>
          <w:p w14:paraId="6E6D05E5"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Hypoxia signaling</w:t>
            </w:r>
          </w:p>
        </w:tc>
        <w:tc>
          <w:tcPr>
            <w:tcW w:w="0" w:type="auto"/>
            <w:vAlign w:val="center"/>
            <w:hideMark/>
          </w:tcPr>
          <w:p w14:paraId="67881641"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Low-oxygen stress response; HIF-associated transcriptional activation</w:t>
            </w:r>
          </w:p>
        </w:tc>
      </w:tr>
      <w:tr w:rsidR="001924E3" w:rsidRPr="001924E3" w14:paraId="6B3958E7" w14:textId="77777777" w:rsidTr="001924E3">
        <w:trPr>
          <w:cantSplit/>
          <w:tblCellSpacing w:w="15" w:type="dxa"/>
        </w:trPr>
        <w:tc>
          <w:tcPr>
            <w:tcW w:w="0" w:type="auto"/>
            <w:vAlign w:val="center"/>
            <w:hideMark/>
          </w:tcPr>
          <w:p w14:paraId="7AEAFCC1"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GLY</w:t>
            </w:r>
          </w:p>
        </w:tc>
        <w:tc>
          <w:tcPr>
            <w:tcW w:w="0" w:type="auto"/>
            <w:vAlign w:val="center"/>
            <w:hideMark/>
          </w:tcPr>
          <w:p w14:paraId="23EF789E"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Glycolytic metabolic reprogramming</w:t>
            </w:r>
          </w:p>
        </w:tc>
        <w:tc>
          <w:tcPr>
            <w:tcW w:w="0" w:type="auto"/>
            <w:vAlign w:val="center"/>
            <w:hideMark/>
          </w:tcPr>
          <w:p w14:paraId="34F30CA8"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Shift toward glycolytic energy production under metabolic pressure</w:t>
            </w:r>
          </w:p>
        </w:tc>
      </w:tr>
      <w:tr w:rsidR="001924E3" w:rsidRPr="001924E3" w14:paraId="710C4591" w14:textId="77777777" w:rsidTr="001924E3">
        <w:trPr>
          <w:cantSplit/>
          <w:tblCellSpacing w:w="15" w:type="dxa"/>
        </w:trPr>
        <w:tc>
          <w:tcPr>
            <w:tcW w:w="0" w:type="auto"/>
            <w:vAlign w:val="center"/>
            <w:hideMark/>
          </w:tcPr>
          <w:p w14:paraId="121487E3"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ANG</w:t>
            </w:r>
          </w:p>
        </w:tc>
        <w:tc>
          <w:tcPr>
            <w:tcW w:w="0" w:type="auto"/>
            <w:vAlign w:val="center"/>
            <w:hideMark/>
          </w:tcPr>
          <w:p w14:paraId="38ADCD95"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Angiogenic remodeling</w:t>
            </w:r>
          </w:p>
        </w:tc>
        <w:tc>
          <w:tcPr>
            <w:tcW w:w="0" w:type="auto"/>
            <w:vAlign w:val="center"/>
            <w:hideMark/>
          </w:tcPr>
          <w:p w14:paraId="7EB496DB"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Vascular growth and endothelial remodeling response</w:t>
            </w:r>
          </w:p>
        </w:tc>
      </w:tr>
      <w:tr w:rsidR="001924E3" w:rsidRPr="001924E3" w14:paraId="6D7C11C0" w14:textId="77777777" w:rsidTr="001924E3">
        <w:trPr>
          <w:cantSplit/>
          <w:tblCellSpacing w:w="15" w:type="dxa"/>
        </w:trPr>
        <w:tc>
          <w:tcPr>
            <w:tcW w:w="0" w:type="auto"/>
            <w:vAlign w:val="center"/>
            <w:hideMark/>
          </w:tcPr>
          <w:p w14:paraId="7ED5CF2C"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ROS</w:t>
            </w:r>
          </w:p>
        </w:tc>
        <w:tc>
          <w:tcPr>
            <w:tcW w:w="0" w:type="auto"/>
            <w:vAlign w:val="center"/>
            <w:hideMark/>
          </w:tcPr>
          <w:p w14:paraId="6B79C2CB"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Reactive oxygen species response</w:t>
            </w:r>
          </w:p>
        </w:tc>
        <w:tc>
          <w:tcPr>
            <w:tcW w:w="0" w:type="auto"/>
            <w:vAlign w:val="center"/>
            <w:hideMark/>
          </w:tcPr>
          <w:p w14:paraId="3932D0AB"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Oxidative stress and antioxidant defense pathway activation</w:t>
            </w:r>
          </w:p>
        </w:tc>
      </w:tr>
      <w:tr w:rsidR="001924E3" w:rsidRPr="001924E3" w14:paraId="65B1E8E8" w14:textId="77777777" w:rsidTr="001924E3">
        <w:trPr>
          <w:cantSplit/>
          <w:tblCellSpacing w:w="15" w:type="dxa"/>
        </w:trPr>
        <w:tc>
          <w:tcPr>
            <w:tcW w:w="0" w:type="auto"/>
            <w:vAlign w:val="center"/>
            <w:hideMark/>
          </w:tcPr>
          <w:p w14:paraId="4BC1E697"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INF</w:t>
            </w:r>
          </w:p>
        </w:tc>
        <w:tc>
          <w:tcPr>
            <w:tcW w:w="0" w:type="auto"/>
            <w:vAlign w:val="center"/>
            <w:hideMark/>
          </w:tcPr>
          <w:p w14:paraId="68B801A6"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TNFα/NF-</w:t>
            </w:r>
            <w:proofErr w:type="spellStart"/>
            <w:r w:rsidRPr="001924E3">
              <w:rPr>
                <w:rFonts w:ascii="Times New Roman" w:eastAsia="Times New Roman" w:hAnsi="Times New Roman" w:cs="Times New Roman"/>
                <w:color w:val="auto"/>
                <w:kern w:val="0"/>
                <w:lang w:bidi="ar-SA"/>
                <w14:ligatures w14:val="none"/>
              </w:rPr>
              <w:t>κB</w:t>
            </w:r>
            <w:proofErr w:type="spellEnd"/>
            <w:r w:rsidRPr="001924E3">
              <w:rPr>
                <w:rFonts w:ascii="Times New Roman" w:eastAsia="Times New Roman" w:hAnsi="Times New Roman" w:cs="Times New Roman"/>
                <w:color w:val="auto"/>
                <w:kern w:val="0"/>
                <w:lang w:bidi="ar-SA"/>
                <w14:ligatures w14:val="none"/>
              </w:rPr>
              <w:t xml:space="preserve"> inflammatory signaling</w:t>
            </w:r>
          </w:p>
        </w:tc>
        <w:tc>
          <w:tcPr>
            <w:tcW w:w="0" w:type="auto"/>
            <w:vAlign w:val="center"/>
            <w:hideMark/>
          </w:tcPr>
          <w:p w14:paraId="7624327D"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Cytokine-driven inflammatory stress and NF-</w:t>
            </w:r>
            <w:proofErr w:type="spellStart"/>
            <w:r w:rsidRPr="001924E3">
              <w:rPr>
                <w:rFonts w:ascii="Times New Roman" w:eastAsia="Times New Roman" w:hAnsi="Times New Roman" w:cs="Times New Roman"/>
                <w:color w:val="auto"/>
                <w:kern w:val="0"/>
                <w:lang w:bidi="ar-SA"/>
                <w14:ligatures w14:val="none"/>
              </w:rPr>
              <w:t>κB</w:t>
            </w:r>
            <w:proofErr w:type="spellEnd"/>
            <w:r w:rsidRPr="001924E3">
              <w:rPr>
                <w:rFonts w:ascii="Times New Roman" w:eastAsia="Times New Roman" w:hAnsi="Times New Roman" w:cs="Times New Roman"/>
                <w:color w:val="auto"/>
                <w:kern w:val="0"/>
                <w:lang w:bidi="ar-SA"/>
                <w14:ligatures w14:val="none"/>
              </w:rPr>
              <w:t xml:space="preserve"> pathway engagement</w:t>
            </w:r>
          </w:p>
        </w:tc>
      </w:tr>
    </w:tbl>
    <w:p w14:paraId="5A46D134" w14:textId="1D2D220B" w:rsidR="001924E3" w:rsidRPr="00FA11C3" w:rsidRDefault="001924E3" w:rsidP="00FA11C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 xml:space="preserve">These codes are used throughout to index axis-level contributions to the Composite Stress Coordinate. The stress vector for sample </w:t>
      </w:r>
      <w:r w:rsidRPr="001924E3">
        <w:rPr>
          <w:rFonts w:ascii="Times New Roman" w:eastAsia="Times New Roman" w:hAnsi="Times New Roman" w:cs="Times New Roman"/>
          <w:i/>
          <w:iCs/>
          <w:color w:val="auto"/>
          <w:kern w:val="0"/>
          <w:lang w:bidi="ar-SA"/>
          <w14:ligatures w14:val="none"/>
        </w:rPr>
        <w:t>i</w:t>
      </w:r>
      <w:r w:rsidRPr="001924E3">
        <w:rPr>
          <w:rFonts w:ascii="Times New Roman" w:eastAsia="Times New Roman" w:hAnsi="Times New Roman" w:cs="Times New Roman"/>
          <w:color w:val="auto"/>
          <w:kern w:val="0"/>
          <w:lang w:bidi="ar-SA"/>
          <w14:ligatures w14:val="none"/>
        </w:rPr>
        <w:t xml:space="preserve"> is written </w:t>
      </w:r>
      <w:r w:rsidRPr="001924E3">
        <w:rPr>
          <w:rFonts w:ascii="Times New Roman" w:eastAsia="Times New Roman" w:hAnsi="Times New Roman" w:cs="Times New Roman"/>
          <w:b/>
          <w:bCs/>
          <w:color w:val="auto"/>
          <w:kern w:val="0"/>
          <w:lang w:bidi="ar-SA"/>
          <w14:ligatures w14:val="none"/>
        </w:rPr>
        <w:t>S</w:t>
      </w:r>
      <w:r w:rsidRPr="001924E3">
        <w:rPr>
          <w:rFonts w:ascii="Times New Roman" w:eastAsia="Times New Roman" w:hAnsi="Times New Roman" w:cs="Times New Roman"/>
          <w:color w:val="auto"/>
          <w:kern w:val="0"/>
          <w:lang w:bidi="ar-SA"/>
          <w14:ligatures w14:val="none"/>
        </w:rPr>
        <w:t xml:space="preserve">ᵢ = (HYP, GLY, ANG, ROS, </w:t>
      </w:r>
      <w:r w:rsidR="00FA11C3" w:rsidRPr="001924E3">
        <w:rPr>
          <w:rFonts w:ascii="Times New Roman" w:eastAsia="Times New Roman" w:hAnsi="Times New Roman" w:cs="Times New Roman"/>
          <w:color w:val="auto"/>
          <w:kern w:val="0"/>
          <w:lang w:bidi="ar-SA"/>
          <w14:ligatures w14:val="none"/>
        </w:rPr>
        <w:t>INF) ᵢ</w:t>
      </w:r>
      <w:r w:rsidRPr="001924E3">
        <w:rPr>
          <w:rFonts w:ascii="Times New Roman" w:eastAsia="Times New Roman" w:hAnsi="Times New Roman" w:cs="Times New Roman"/>
          <w:color w:val="auto"/>
          <w:kern w:val="0"/>
          <w:lang w:bidi="ar-SA"/>
          <w14:ligatures w14:val="none"/>
        </w:rPr>
        <w:t>, where each entry is the reference-standardized score for the corresponding axis.</w:t>
      </w:r>
    </w:p>
    <w:p w14:paraId="69D4927A" w14:textId="77777777" w:rsidR="0086321C" w:rsidRPr="00CA61FE" w:rsidRDefault="00000000">
      <w:pPr>
        <w:spacing w:after="194"/>
        <w:ind w:left="-5"/>
        <w:rPr>
          <w:rFonts w:ascii="Times New Roman" w:hAnsi="Times New Roman" w:cs="Times New Roman"/>
          <w:color w:val="000000" w:themeColor="text1"/>
        </w:rPr>
      </w:pPr>
      <w:r>
        <w:rPr>
          <w:rFonts w:ascii="Times New Roman" w:hAnsi="Times New Roman" w:cs="Times New Roman"/>
          <w:color w:val="000000" w:themeColor="text1"/>
        </w:rPr>
        <w:t>Definition 2.2 (Admissible scorer). A map S_k is an admissible raw-input scorer for stress axis k if it is (i) deterministic and single-profile computable</w:t>
      </w:r>
      <w:r w:rsidR="0060461E">
        <w:rPr>
          <w:rFonts w:ascii="Times New Roman" w:hAnsi="Times New Roman" w:cs="Times New Roman"/>
          <w:color w:val="000000" w:themeColor="text1"/>
        </w:rPr>
        <w:t>;</w:t>
      </w:r>
      <w:r>
        <w:rPr>
          <w:rFonts w:ascii="Times New Roman" w:hAnsi="Times New Roman" w:cs="Times New Roman"/>
          <w:color w:val="000000" w:themeColor="text1"/>
        </w:rPr>
        <w:t xml:space="preserve"> its output depends only on x_raw, H, the locked gene set for P_k, and locked scorer parameters; (ii) monotone-consistent</w:t>
      </w:r>
      <w:r w:rsidR="0060461E">
        <w:rPr>
          <w:rFonts w:ascii="Times New Roman" w:hAnsi="Times New Roman" w:cs="Times New Roman"/>
          <w:color w:val="000000" w:themeColor="text1"/>
        </w:rPr>
        <w:t>;</w:t>
      </w:r>
      <w:r>
        <w:rPr>
          <w:rFonts w:ascii="Times New Roman" w:hAnsi="Times New Roman" w:cs="Times New Roman"/>
          <w:color w:val="000000" w:themeColor="text1"/>
        </w:rPr>
        <w:t xml:space="preserve"> if expression of genes in P_k increases uniformly in rank order, S_k does not decrease; and (iii) preprocessing</w:t>
      </w:r>
      <w:r w:rsidR="0060461E">
        <w:rPr>
          <w:rFonts w:ascii="Times New Roman" w:hAnsi="Times New Roman" w:cs="Times New Roman"/>
          <w:color w:val="000000" w:themeColor="text1"/>
        </w:rPr>
        <w:t xml:space="preserve"> </w:t>
      </w:r>
      <w:r>
        <w:rPr>
          <w:rFonts w:ascii="Times New Roman" w:hAnsi="Times New Roman" w:cs="Times New Roman"/>
          <w:color w:val="000000" w:themeColor="text1"/>
        </w:rPr>
        <w:t>compatible with H. The canonical implementation is ssGSEA with locked parameters (rank exponent and rank normalization enabled), but the framework admits any scorer satisfying these criteria.</w:t>
      </w:r>
    </w:p>
    <w:p w14:paraId="1B044351" w14:textId="77777777" w:rsidR="00BB7520" w:rsidRDefault="00000000">
      <w:r>
        <w:rPr>
          <w:b/>
        </w:rPr>
        <w:t>2.2.1 Canonical Scoring Implementation for TCSI-v1.</w:t>
      </w:r>
    </w:p>
    <w:p w14:paraId="0D972A9C" w14:textId="77777777" w:rsidR="00BB7520" w:rsidRDefault="00000000">
      <w:r>
        <w:t>Each axis score is computed using single-sample gene set enrichment analysis (ssGSEA; Barbie et al., 2009) applied to the harmonized, log₂(1+x)-transformed expression vector. ssGSEA is selected as the canonical scorer because it satisfies all three admissibility criteria in Definition 2.2: it is deterministic and single-profile computable, it is monotone-consistent with respect to within-sample gene ranks, and it is preprocessing-compatible with the locked harmonization operator H. The rank exponent parameter is fixed at α = 0.75 and rank normalization is enabled; any deviation from these parameters defines a new scorer version.</w:t>
      </w:r>
    </w:p>
    <w:p w14:paraId="7B4A4E47" w14:textId="77777777" w:rsidR="00BB7520" w:rsidRDefault="00000000">
      <w:r>
        <w:lastRenderedPageBreak/>
        <w:t>Gene sets for each axis are drawn from the MSigDB Hallmark collection (Liberzon et al., 2015), locked at release v7.5.1, with the following assignments: HYP — HALLMARK_HYPOXIA; GLY — HALLMARK_GLYCOLYSIS; ANG — HALLMARK_ANGIOGENESIS; ROS — HALLMARK_REACTIVE_OXYGEN_SPECIES_PATHWAY; INF — HALLMARK_TNFA_SIGNALING_VIA_NFKB. Supplementary axis-specific curated gene sets, drawn from literature-validated HIF-1α targets, NRF2 targets, and metabolic reprogramming markers, may be incorporated in future versioned specifications and must be declared in the deployment specification F.</w:t>
      </w:r>
    </w:p>
    <w:p w14:paraId="6CA9EF0E" w14:textId="77777777" w:rsidR="00BB7520" w:rsidRDefault="00000000">
      <w:r>
        <w:t>Scores are single-sample computable and are not cohort-relative at the scoring stage. Cross-cohort comparability is achieved exclusively through the frozen-reference standardization operator Φ_R (Definition 2.4), which centers and scales each axis score relative to the frozen reference distribution. This design ensures that adding or removing samples from a target cohort does not alter the score of any existing sample, a property that GSVA-based methods do not guarantee.</w:t>
      </w:r>
    </w:p>
    <w:p w14:paraId="4E44D044" w14:textId="77777777" w:rsidR="00BB7520" w:rsidRDefault="00000000">
      <w:r>
        <w:t>The five reference-standardized scores define the Composite Stress Coordinate for sample i:</w:t>
      </w:r>
    </w:p>
    <w:p w14:paraId="40F694FF" w14:textId="77777777" w:rsidR="00BB7520" w:rsidRDefault="00000000">
      <w:r>
        <w:t>Sᵢ = (HYPᵢ, GLYᵢ, ANGᵢ, ROSᵢ, INFᵢ)</w:t>
      </w:r>
    </w:p>
    <w:p w14:paraId="4EBEE1BD" w14:textId="77777777" w:rsidR="00BB7520" w:rsidRDefault="00000000">
      <w:r>
        <w:t>where each entry is the frozen-reference standardized ssGSEA enrichment score for the corresponding axis. The axes are not assumed to be biologically independent; they are treated as partially coupled but separable transcriptional dimensions of stress-response organization. Pairwise inter-axis correlations are reported as a diagnostic and used to evaluate whether the compound-symmetry assumption underlying Theorem 4.1 is satisfied in a given application cohort.</w:t>
      </w:r>
    </w:p>
    <w:p w14:paraId="0BE6E71B"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 xml:space="preserve">Definition 2.3 (Composite Stress Coordinate). For sample i with harmonized expression vector x_i, the Composite Stress Coordinate is z_i = Ψ(x_i) = (S_1(x_i), …, S_K(x_i))^T  </w:t>
      </w:r>
      <w:r>
        <w:rPr>
          <w:rFonts w:ascii="Cambria Math" w:hAnsi="Cambria Math" w:cs="Cambria Math"/>
          <w:color w:val="000000" w:themeColor="text1"/>
        </w:rPr>
        <w:t>∈</w:t>
      </w:r>
      <w:r>
        <w:rPr>
          <w:rFonts w:ascii="Times New Roman" w:hAnsi="Times New Roman" w:cs="Times New Roman"/>
          <w:color w:val="000000" w:themeColor="text1"/>
        </w:rPr>
        <w:t>ℝ^K. Each coordinate is tied to a pre-specified stress axis and operationalized through a fixed gene set, distinguishing CSC from learned latent representations such as PCA, where axes are data-driven linear combinations without fixed biological meaning.</w:t>
      </w:r>
    </w:p>
    <w:p w14:paraId="343CA950" w14:textId="77777777" w:rsidR="0086321C" w:rsidRPr="00CA61FE" w:rsidRDefault="00000000" w:rsidP="00201D52">
      <w:pPr>
        <w:pStyle w:val="Heading2"/>
        <w:numPr>
          <w:ilvl w:val="0"/>
          <w:numId w:val="0"/>
        </w:numPr>
        <w:rPr>
          <w:rFonts w:ascii="Times New Roman" w:hAnsi="Times New Roman" w:cs="Times New Roman"/>
          <w:color w:val="000000" w:themeColor="text1"/>
          <w:sz w:val="24"/>
        </w:rPr>
      </w:pPr>
      <w:r>
        <w:rPr>
          <w:rFonts w:ascii="Times New Roman" w:hAnsi="Times New Roman" w:cs="Times New Roman"/>
          <w:color w:val="000000" w:themeColor="text1"/>
          <w:sz w:val="24"/>
        </w:rPr>
        <w:t>Frozen Reference Standardization and Scalar Projection</w:t>
      </w:r>
    </w:p>
    <w:p w14:paraId="163825E0"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Definition 2.4. Frozen reference manifold.</w:t>
      </w:r>
      <w:r>
        <w:rPr>
          <w:rFonts w:ascii="Times New Roman" w:eastAsia="Times New Roman" w:hAnsi="Times New Roman" w:cs="Times New Roman"/>
          <w:color w:val="000000" w:themeColor="text1"/>
          <w:kern w:val="0"/>
          <w:lang w:bidi="ar-SA"/>
          <w14:ligatures w14:val="none"/>
        </w:rPr>
        <w:br/>
        <w:t xml:space="preserve">Let </w:t>
      </w:r>
      <m:oMath>
        <m:r>
          <w:rPr>
            <w:rFonts w:ascii="Cambria Math" w:eastAsia="Times New Roman" w:hAnsi="Cambria Math" w:cs="Times New Roman"/>
            <w:color w:val="000000" w:themeColor="text1"/>
            <w:kern w:val="0"/>
            <w:lang w:bidi="ar-SA"/>
            <w14:ligatures w14:val="none"/>
          </w:rPr>
          <m:t>R=</m:t>
        </m:r>
        <m:d>
          <m:dPr>
            <m:begChr m:val="{"/>
            <m:sepChr m:val=","/>
            <m:endChr m:val="}"/>
            <m:ctrlPr>
              <w:rPr>
                <w:rFonts w:ascii="Cambria Math" w:eastAsia="Times New Roman" w:hAnsi="Cambria Math" w:cs="Times New Roman"/>
                <w:color w:val="000000" w:themeColor="text1"/>
                <w:kern w:val="0"/>
                <w:lang w:bidi="ar-SA"/>
                <w14:ligatures w14:val="none"/>
              </w:rPr>
            </m:ctrlPr>
          </m:dPr>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1</m:t>
                </m:r>
              </m:sub>
              <m:sup>
                <m:r>
                  <w:rPr>
                    <w:rFonts w:ascii="Cambria Math" w:eastAsia="Times New Roman" w:hAnsi="Cambria Math" w:cs="Times New Roman"/>
                    <w:color w:val="000000" w:themeColor="text1"/>
                    <w:kern w:val="0"/>
                    <w:lang w:bidi="ar-SA"/>
                    <w14:ligatures w14:val="none"/>
                  </w:rPr>
                  <m:t>R</m:t>
                </m:r>
              </m:sup>
            </m:sSubSup>
          </m:e>
          <m:e>
            <m:r>
              <w:rPr>
                <w:rFonts w:ascii="Cambria Math" w:eastAsia="Times New Roman" w:hAnsi="Cambria Math" w:cs="Times New Roman"/>
                <w:color w:val="000000" w:themeColor="text1"/>
                <w:kern w:val="0"/>
                <w:lang w:bidi="ar-SA"/>
                <w14:ligatures w14:val="none"/>
              </w:rPr>
              <m:t>…</m:t>
            </m:r>
          </m:e>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x</m:t>
                </m:r>
              </m:e>
              <m:sub>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n</m:t>
                    </m:r>
                  </m:e>
                  <m:sub>
                    <m:r>
                      <w:rPr>
                        <w:rFonts w:ascii="Cambria Math" w:eastAsia="Times New Roman" w:hAnsi="Cambria Math" w:cs="Times New Roman"/>
                        <w:color w:val="000000" w:themeColor="text1"/>
                        <w:kern w:val="0"/>
                        <w:lang w:bidi="ar-SA"/>
                        <w14:ligatures w14:val="none"/>
                      </w:rPr>
                      <m:t>R</m:t>
                    </m:r>
                  </m:sub>
                </m:sSub>
              </m:sub>
              <m:sup>
                <m:r>
                  <w:rPr>
                    <w:rFonts w:ascii="Cambria Math" w:eastAsia="Times New Roman" w:hAnsi="Cambria Math" w:cs="Times New Roman"/>
                    <w:color w:val="000000" w:themeColor="text1"/>
                    <w:kern w:val="0"/>
                    <w:lang w:bidi="ar-SA"/>
                    <w14:ligatures w14:val="none"/>
                  </w:rPr>
                  <m:t>R</m:t>
                </m:r>
              </m:sup>
            </m:sSubSup>
          </m:e>
        </m:d>
      </m:oMath>
      <w:r>
        <w:rPr>
          <w:rFonts w:ascii="Times New Roman" w:eastAsia="Times New Roman" w:hAnsi="Times New Roman" w:cs="Times New Roman"/>
          <w:color w:val="000000" w:themeColor="text1"/>
          <w:kern w:val="0"/>
          <w:lang w:bidi="ar-SA"/>
          <w14:ligatures w14:val="none"/>
        </w:rPr>
        <w:t xml:space="preserve">denote a fixed reference cohort containing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n</m:t>
            </m:r>
          </m:e>
          <m:sub>
            <m:r>
              <w:rPr>
                <w:rFonts w:ascii="Cambria Math" w:eastAsia="Times New Roman" w:hAnsi="Cambria Math" w:cs="Times New Roman"/>
                <w:color w:val="000000" w:themeColor="text1"/>
                <w:kern w:val="0"/>
                <w:lang w:bidi="ar-SA"/>
                <w14:ligatures w14:val="none"/>
              </w:rPr>
              <m:t>R</m:t>
            </m:r>
          </m:sub>
        </m:sSub>
        <m:r>
          <w:rPr>
            <w:rFonts w:ascii="Cambria Math" w:eastAsia="Times New Roman" w:hAnsi="Cambria Math" w:cs="Times New Roman"/>
            <w:color w:val="000000" w:themeColor="text1"/>
            <w:kern w:val="0"/>
            <w:lang w:bidi="ar-SA"/>
            <w14:ligatures w14:val="none"/>
          </w:rPr>
          <m:t xml:space="preserve"> </m:t>
        </m:r>
      </m:oMath>
      <w:r>
        <w:rPr>
          <w:rFonts w:ascii="Times New Roman" w:eastAsia="Times New Roman" w:hAnsi="Times New Roman" w:cs="Times New Roman"/>
          <w:color w:val="000000" w:themeColor="text1"/>
          <w:kern w:val="0"/>
          <w:lang w:bidi="ar-SA"/>
          <w14:ligatures w14:val="none"/>
        </w:rPr>
        <w:t xml:space="preserve">samples. Each reference sample is processed through the same harmonization and pathway-scoring maps, </w:t>
      </w:r>
      <m:oMath>
        <m:r>
          <w:rPr>
            <w:rFonts w:ascii="Cambria Math" w:eastAsia="Times New Roman" w:hAnsi="Cambria Math" w:cs="Times New Roman"/>
            <w:color w:val="000000" w:themeColor="text1"/>
            <w:kern w:val="0"/>
            <w:lang w:bidi="ar-SA"/>
            <w14:ligatures w14:val="none"/>
          </w:rPr>
          <m:t>H</m:t>
        </m:r>
      </m:oMath>
      <w:r>
        <w:rPr>
          <w:rFonts w:ascii="Times New Roman" w:eastAsia="Times New Roman" w:hAnsi="Times New Roman" w:cs="Times New Roman"/>
          <w:color w:val="000000" w:themeColor="text1"/>
          <w:kern w:val="0"/>
          <w:lang w:bidi="ar-SA"/>
          <w14:ligatures w14:val="none"/>
        </w:rPr>
        <w:t xml:space="preserve">and </w:t>
      </w:r>
      <m:oMath>
        <m:r>
          <m:rPr>
            <m:sty m:val="p"/>
          </m:rPr>
          <w:rPr>
            <w:rFonts w:ascii="Cambria Math" w:eastAsia="Times New Roman" w:hAnsi="Cambria Math" w:cs="Times New Roman"/>
            <w:color w:val="000000" w:themeColor="text1"/>
            <w:kern w:val="0"/>
            <w:lang w:bidi="ar-SA"/>
            <w14:ligatures w14:val="none"/>
          </w:rPr>
          <m:t>Ψ</m:t>
        </m:r>
      </m:oMath>
      <w:r>
        <w:rPr>
          <w:rFonts w:ascii="Times New Roman" w:eastAsia="Times New Roman" w:hAnsi="Times New Roman" w:cs="Times New Roman"/>
          <w:color w:val="000000" w:themeColor="text1"/>
          <w:kern w:val="0"/>
          <w:lang w:bidi="ar-SA"/>
          <w14:ligatures w14:val="none"/>
        </w:rPr>
        <w:t xml:space="preserve">, used for all future target samples. For each pathway axis </w:t>
      </w:r>
      <m:oMath>
        <m:r>
          <w:rPr>
            <w:rFonts w:ascii="Cambria Math" w:eastAsia="Times New Roman" w:hAnsi="Cambria Math" w:cs="Times New Roman"/>
            <w:color w:val="000000" w:themeColor="text1"/>
            <w:kern w:val="0"/>
            <w:lang w:bidi="ar-SA"/>
            <w14:ligatures w14:val="none"/>
          </w:rPr>
          <m:t>k</m:t>
        </m:r>
      </m:oMath>
      <w:r>
        <w:rPr>
          <w:rFonts w:ascii="Times New Roman" w:eastAsia="Times New Roman" w:hAnsi="Times New Roman" w:cs="Times New Roman"/>
          <w:color w:val="000000" w:themeColor="text1"/>
          <w:kern w:val="0"/>
          <w:lang w:bidi="ar-SA"/>
          <w14:ligatures w14:val="none"/>
        </w:rPr>
        <w:t xml:space="preserve">, let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μ</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oMath>
      <w:r>
        <w:rPr>
          <w:rFonts w:ascii="Times New Roman" w:eastAsia="Times New Roman" w:hAnsi="Times New Roman" w:cs="Times New Roman"/>
          <w:color w:val="000000" w:themeColor="text1"/>
          <w:kern w:val="0"/>
          <w:lang w:bidi="ar-SA"/>
          <w14:ligatures w14:val="none"/>
        </w:rPr>
        <w:t xml:space="preserve">and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oMath>
      <w:r>
        <w:rPr>
          <w:rFonts w:ascii="Times New Roman" w:eastAsia="Times New Roman" w:hAnsi="Times New Roman" w:cs="Times New Roman"/>
          <w:color w:val="000000" w:themeColor="text1"/>
          <w:kern w:val="0"/>
          <w:lang w:bidi="ar-SA"/>
          <w14:ligatures w14:val="none"/>
        </w:rPr>
        <w:t xml:space="preserve">denote the mean and standard deviation of the pathway score in the reference cohort. We write the reference mean vector as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oMath>
      <w:r>
        <w:rPr>
          <w:rFonts w:ascii="Times New Roman" w:eastAsia="Times New Roman" w:hAnsi="Times New Roman" w:cs="Times New Roman"/>
          <w:color w:val="000000" w:themeColor="text1"/>
          <w:kern w:val="0"/>
          <w:lang w:bidi="ar-SA"/>
          <w14:ligatures w14:val="none"/>
        </w:rPr>
        <w:t>and the diagonal scaling matrix as</w:t>
      </w:r>
    </w:p>
    <w:p w14:paraId="0311C49E" w14:textId="77777777" w:rsidR="001F255F" w:rsidRPr="00CA61FE" w:rsidRDefault="00000000"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m:t>diag</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1</m:t>
                  </m:r>
                </m:sub>
                <m:sup>
                  <m:r>
                    <w:rPr>
                      <w:rFonts w:ascii="Cambria Math" w:eastAsia="Times New Roman" w:hAnsi="Cambria Math" w:cs="Times New Roman"/>
                      <w:color w:val="000000" w:themeColor="text1"/>
                      <w:kern w:val="0"/>
                      <w:lang w:bidi="ar-SA"/>
                      <w14:ligatures w14:val="none"/>
                    </w:rPr>
                    <m:t>R</m:t>
                  </m:r>
                </m:sup>
              </m:sSubSup>
            </m:e>
            <m:e>
              <m:r>
                <w:rPr>
                  <w:rFonts w:ascii="Cambria Math" w:eastAsia="Times New Roman" w:hAnsi="Cambria Math" w:cs="Times New Roman"/>
                  <w:color w:val="000000" w:themeColor="text1"/>
                  <w:kern w:val="0"/>
                  <w:lang w:bidi="ar-SA"/>
                  <w14:ligatures w14:val="none"/>
                </w:rPr>
                <m:t>…</m:t>
              </m:r>
            </m:e>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e>
          </m:d>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5BB08463"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lastRenderedPageBreak/>
        <w:t xml:space="preserve">Assuming </w:t>
      </w:r>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r>
          <w:rPr>
            <w:rFonts w:ascii="Cambria Math" w:eastAsia="Times New Roman" w:hAnsi="Cambria Math" w:cs="Times New Roman"/>
            <w:color w:val="000000" w:themeColor="text1"/>
            <w:kern w:val="0"/>
            <w:lang w:bidi="ar-SA"/>
            <w14:ligatures w14:val="none"/>
          </w:rPr>
          <m:t>&gt;0</m:t>
        </m:r>
      </m:oMath>
      <w:r>
        <w:rPr>
          <w:rFonts w:ascii="Times New Roman" w:eastAsia="Times New Roman" w:hAnsi="Times New Roman" w:cs="Times New Roman"/>
          <w:color w:val="000000" w:themeColor="text1"/>
          <w:kern w:val="0"/>
          <w:lang w:bidi="ar-SA"/>
          <w14:ligatures w14:val="none"/>
        </w:rPr>
        <w:t xml:space="preserve">for every pathway axis </w:t>
      </w:r>
      <m:oMath>
        <m:r>
          <w:rPr>
            <w:rFonts w:ascii="Cambria Math" w:eastAsia="Times New Roman" w:hAnsi="Cambria Math" w:cs="Times New Roman"/>
            <w:color w:val="000000" w:themeColor="text1"/>
            <w:kern w:val="0"/>
            <w:lang w:bidi="ar-SA"/>
            <w14:ligatures w14:val="none"/>
          </w:rPr>
          <m:t>k</m:t>
        </m:r>
      </m:oMath>
      <w:r>
        <w:rPr>
          <w:rFonts w:ascii="Times New Roman" w:eastAsia="Times New Roman" w:hAnsi="Times New Roman" w:cs="Times New Roman"/>
          <w:color w:val="000000" w:themeColor="text1"/>
          <w:kern w:val="0"/>
          <w:lang w:bidi="ar-SA"/>
          <w14:ligatures w14:val="none"/>
        </w:rPr>
        <w:t>, the frozen-reference standardization operator is defined as</w:t>
      </w:r>
    </w:p>
    <w:p w14:paraId="1DD3C381" w14:textId="77777777" w:rsidR="001F255F" w:rsidRPr="00CA61FE" w:rsidRDefault="00000000"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d>
            <m:dPr>
              <m:ctrlPr>
                <w:rPr>
                  <w:rFonts w:ascii="Cambria Math" w:eastAsia="Times New Roman" w:hAnsi="Cambria Math" w:cs="Times New Roman"/>
                  <w:color w:val="000000" w:themeColor="text1"/>
                  <w:kern w:val="0"/>
                  <w:lang w:bidi="ar-SA"/>
                  <w14:ligatures w14:val="none"/>
                </w:rPr>
              </m:ctrlPr>
            </m:dPr>
            <m:e>
              <m:r>
                <w:rPr>
                  <w:rFonts w:ascii="Cambria Math" w:eastAsia="Times New Roman" w:hAnsi="Cambria Math" w:cs="Times New Roman"/>
                  <w:color w:val="000000" w:themeColor="text1"/>
                  <w:kern w:val="0"/>
                  <w:lang w:bidi="ar-SA"/>
                  <w14:ligatures w14:val="none"/>
                </w:rPr>
                <m:t>z</m:t>
              </m:r>
            </m:e>
          </m:d>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d>
                <m:dPr>
                  <m:ctrlPr>
                    <w:rPr>
                      <w:rFonts w:ascii="Cambria Math" w:eastAsia="Times New Roman" w:hAnsi="Cambria Math" w:cs="Times New Roman"/>
                      <w:color w:val="000000" w:themeColor="text1"/>
                      <w:kern w:val="0"/>
                      <w:lang w:bidi="ar-SA"/>
                      <w14:ligatures w14:val="none"/>
                    </w:rPr>
                  </m:ctrlPr>
                </m:dPr>
                <m:e>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e>
              </m:d>
            </m:e>
            <m:sup>
              <m:r>
                <w:rPr>
                  <w:rFonts w:ascii="Cambria Math" w:eastAsia="Times New Roman" w:hAnsi="Cambria Math" w:cs="Times New Roman"/>
                  <w:color w:val="000000" w:themeColor="text1"/>
                  <w:kern w:val="0"/>
                  <w:lang w:bidi="ar-SA"/>
                  <w14:ligatures w14:val="none"/>
                </w:rPr>
                <m:t>-1</m:t>
              </m:r>
            </m:sup>
          </m:sSup>
          <m:d>
            <m:dPr>
              <m:ctrlPr>
                <w:rPr>
                  <w:rFonts w:ascii="Cambria Math" w:eastAsia="Times New Roman" w:hAnsi="Cambria Math" w:cs="Times New Roman"/>
                  <w:color w:val="000000" w:themeColor="text1"/>
                  <w:kern w:val="0"/>
                  <w:lang w:bidi="ar-SA"/>
                  <w14:ligatures w14:val="none"/>
                </w:rPr>
              </m:ctrlPr>
            </m:dPr>
            <m:e>
              <m:r>
                <w:rPr>
                  <w:rFonts w:ascii="Cambria Math" w:eastAsia="Times New Roman" w:hAnsi="Cambria Math" w:cs="Times New Roman"/>
                  <w:color w:val="000000" w:themeColor="text1"/>
                  <w:kern w:val="0"/>
                  <w:lang w:bidi="ar-SA"/>
                  <w14:ligatures w14:val="none"/>
                </w:rPr>
                <m:t>z-</m:t>
              </m:r>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e>
          </m:d>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5FFFE7CE"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Equivalently, for sample </w:t>
      </w:r>
      <m:oMath>
        <m:r>
          <w:rPr>
            <w:rFonts w:ascii="Cambria Math" w:eastAsia="Times New Roman" w:hAnsi="Cambria Math" w:cs="Times New Roman"/>
            <w:color w:val="000000" w:themeColor="text1"/>
            <w:kern w:val="0"/>
            <w:lang w:bidi="ar-SA"/>
            <w14:ligatures w14:val="none"/>
          </w:rPr>
          <m:t>i</m:t>
        </m:r>
      </m:oMath>
      <w:r>
        <w:rPr>
          <w:rFonts w:ascii="Times New Roman" w:eastAsia="Times New Roman" w:hAnsi="Times New Roman" w:cs="Times New Roman"/>
          <w:color w:val="000000" w:themeColor="text1"/>
          <w:kern w:val="0"/>
          <w:lang w:bidi="ar-SA"/>
          <w14:ligatures w14:val="none"/>
        </w:rPr>
        <w:t xml:space="preserve">and pathway axis </w:t>
      </w:r>
      <m:oMath>
        <m:r>
          <w:rPr>
            <w:rFonts w:ascii="Cambria Math" w:eastAsia="Times New Roman" w:hAnsi="Cambria Math" w:cs="Times New Roman"/>
            <w:color w:val="000000" w:themeColor="text1"/>
            <w:kern w:val="0"/>
            <w:lang w:bidi="ar-SA"/>
            <w14:ligatures w14:val="none"/>
          </w:rPr>
          <m:t>k</m:t>
        </m:r>
      </m:oMath>
      <w:r>
        <w:rPr>
          <w:rFonts w:ascii="Times New Roman" w:eastAsia="Times New Roman" w:hAnsi="Times New Roman" w:cs="Times New Roman"/>
          <w:color w:val="000000" w:themeColor="text1"/>
          <w:kern w:val="0"/>
          <w:lang w:bidi="ar-SA"/>
          <w14:ligatures w14:val="none"/>
        </w:rPr>
        <w:t>, the standardized coordinate is</w:t>
      </w:r>
    </w:p>
    <w:p w14:paraId="776CAFA9" w14:textId="77777777" w:rsidR="001F255F" w:rsidRPr="00CA61FE" w:rsidRDefault="00000000"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ik</m:t>
              </m:r>
            </m:sub>
            <m:sup>
              <m:r>
                <w:rPr>
                  <w:rFonts w:ascii="Cambria Math" w:eastAsia="Times New Roman" w:hAnsi="Cambria Math" w:cs="Times New Roman"/>
                  <w:color w:val="000000" w:themeColor="text1"/>
                  <w:kern w:val="0"/>
                  <w:lang w:bidi="ar-SA"/>
                  <w14:ligatures w14:val="none"/>
                </w:rPr>
                <m:t>*</m:t>
              </m:r>
            </m:sup>
          </m:sSubSup>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ik</m:t>
                  </m:r>
                </m:sub>
              </m:sSub>
              <m:r>
                <w:rPr>
                  <w:rFonts w:ascii="Cambria Math" w:eastAsia="Times New Roman" w:hAnsi="Cambria Math" w:cs="Times New Roman"/>
                  <w:color w:val="000000" w:themeColor="text1"/>
                  <w:kern w:val="0"/>
                  <w:lang w:bidi="ar-SA"/>
                  <w14:ligatures w14:val="none"/>
                </w:rPr>
                <m:t>-</m:t>
              </m:r>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μ</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num>
            <m:den>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den>
          </m:f>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1F9BE0D4"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Once the reference cohort </w:t>
      </w:r>
      <m:oMath>
        <m:r>
          <w:rPr>
            <w:rFonts w:ascii="Cambria Math" w:eastAsia="Times New Roman" w:hAnsi="Cambria Math" w:cs="Times New Roman"/>
            <w:color w:val="000000" w:themeColor="text1"/>
            <w:kern w:val="0"/>
            <w:lang w:bidi="ar-SA"/>
            <w14:ligatures w14:val="none"/>
          </w:rPr>
          <m:t xml:space="preserve">R </m:t>
        </m:r>
      </m:oMath>
      <w:r>
        <w:rPr>
          <w:rFonts w:ascii="Times New Roman" w:eastAsia="Times New Roman" w:hAnsi="Times New Roman" w:cs="Times New Roman"/>
          <w:color w:val="000000" w:themeColor="text1"/>
          <w:kern w:val="0"/>
          <w:lang w:bidi="ar-SA"/>
          <w14:ligatures w14:val="none"/>
        </w:rPr>
        <w:t xml:space="preserve">is established, the parameters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oMath>
      <w:r>
        <w:rPr>
          <w:rFonts w:ascii="Times New Roman" w:eastAsia="Times New Roman" w:hAnsi="Times New Roman" w:cs="Times New Roman"/>
          <w:color w:val="000000" w:themeColor="text1"/>
          <w:kern w:val="0"/>
          <w:lang w:bidi="ar-SA"/>
          <w14:ligatures w14:val="none"/>
        </w:rPr>
        <w:t xml:space="preserve">and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oMath>
      <w:r>
        <w:rPr>
          <w:rFonts w:ascii="Times New Roman" w:eastAsia="Times New Roman" w:hAnsi="Times New Roman" w:cs="Times New Roman"/>
          <w:color w:val="000000" w:themeColor="text1"/>
          <w:kern w:val="0"/>
          <w:lang w:bidi="ar-SA"/>
          <w14:ligatures w14:val="none"/>
        </w:rPr>
        <w:t>are frozen. They are not re-estimated or updated when TCSI is applied to a new target cohort. This fixed reference system is what allows TCSI values to be interpreted in a common coordinate space across datasets.</w:t>
      </w:r>
    </w:p>
    <w:p w14:paraId="3A0CF736"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Definition 2.5. Locked CSI/TCSI operator.</w:t>
      </w:r>
      <w:r>
        <w:rPr>
          <w:rFonts w:ascii="Times New Roman" w:eastAsia="Times New Roman" w:hAnsi="Times New Roman" w:cs="Times New Roman"/>
          <w:color w:val="000000" w:themeColor="text1"/>
          <w:kern w:val="0"/>
          <w:lang w:bidi="ar-SA"/>
          <w14:ligatures w14:val="none"/>
        </w:rPr>
        <w:br/>
        <w:t>For canonical TCSI-v1, the projection vector is defined as the equal-weight vector</w:t>
      </w:r>
    </w:p>
    <w:p w14:paraId="1E74B66D"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w:rPr>
              <w:rFonts w:ascii="Cambria Math" w:eastAsia="Times New Roman" w:hAnsi="Cambria Math" w:cs="Times New Roman"/>
              <w:color w:val="000000" w:themeColor="text1"/>
              <w:kern w:val="0"/>
              <w:lang w:bidi="ar-SA"/>
              <w14:ligatures w14:val="none"/>
            </w:rPr>
            <m:t>w=</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1</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7E8724F9"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The locked TCSI operator is</w:t>
      </w:r>
    </w:p>
    <w:p w14:paraId="21A25933"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TCSI</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m:rPr>
                      <m:sty m:val="p"/>
                    </m:rPr>
                    <w:rPr>
                      <w:rFonts w:ascii="Cambria Math" w:eastAsia="Times New Roman" w:hAnsi="Cambria Math" w:cs="Times New Roman"/>
                      <w:color w:val="000000" w:themeColor="text1"/>
                      <w:kern w:val="0"/>
                      <w:lang w:bidi="ar-SA"/>
                      <w14:ligatures w14:val="none"/>
                    </w:rPr>
                    <m:t>raw</m:t>
                  </m:r>
                </m:sub>
              </m:sSub>
            </m:e>
            <m:e>
              <m:r>
                <w:rPr>
                  <w:rFonts w:ascii="Cambria Math" w:eastAsia="Times New Roman" w:hAnsi="Cambria Math" w:cs="Times New Roman"/>
                  <w:color w:val="000000" w:themeColor="text1"/>
                  <w:kern w:val="0"/>
                  <w:lang w:bidi="ar-SA"/>
                  <w14:ligatures w14:val="none"/>
                </w:rPr>
                <m:t>F</m:t>
              </m:r>
            </m:e>
          </m:d>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τ</m:t>
              </m:r>
            </m:e>
            <m:sub>
              <m:r>
                <w:rPr>
                  <w:rFonts w:ascii="Cambria Math" w:eastAsia="Times New Roman" w:hAnsi="Cambria Math" w:cs="Times New Roman"/>
                  <w:color w:val="000000" w:themeColor="text1"/>
                  <w:kern w:val="0"/>
                  <w:lang w:bidi="ar-SA"/>
                  <w14:ligatures w14:val="none"/>
                </w:rPr>
                <m:t>w</m:t>
              </m:r>
            </m:sub>
          </m:sSub>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m:t>Ψ</m:t>
          </m:r>
          <m:r>
            <w:rPr>
              <w:rFonts w:ascii="Cambria Math" w:eastAsia="Times New Roman" w:hAnsi="Cambria Math" w:cs="Times New Roman"/>
              <w:color w:val="000000" w:themeColor="text1"/>
              <w:kern w:val="0"/>
              <w:lang w:bidi="ar-SA"/>
              <w14:ligatures w14:val="none"/>
            </w:rPr>
            <m:t>∘H</m:t>
          </m:r>
          <m:d>
            <m:dPr>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m:rPr>
                      <m:sty m:val="p"/>
                    </m:rPr>
                    <w:rPr>
                      <w:rFonts w:ascii="Cambria Math" w:eastAsia="Times New Roman" w:hAnsi="Cambria Math" w:cs="Times New Roman"/>
                      <w:color w:val="000000" w:themeColor="text1"/>
                      <w:kern w:val="0"/>
                      <w:lang w:bidi="ar-SA"/>
                      <w14:ligatures w14:val="none"/>
                    </w:rPr>
                    <m:t>raw</m:t>
                  </m:r>
                </m:sub>
              </m:sSub>
            </m:e>
          </m:d>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6C44ACDA"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where </w:t>
      </w:r>
      <m:oMath>
        <m:r>
          <w:rPr>
            <w:rFonts w:ascii="Cambria Math" w:eastAsia="Times New Roman" w:hAnsi="Cambria Math" w:cs="Times New Roman"/>
            <w:color w:val="000000" w:themeColor="text1"/>
            <w:kern w:val="0"/>
            <w:lang w:bidi="ar-SA"/>
            <w14:ligatures w14:val="none"/>
          </w:rPr>
          <m:t xml:space="preserve">H </m:t>
        </m:r>
      </m:oMath>
      <w:r>
        <w:rPr>
          <w:rFonts w:ascii="Times New Roman" w:eastAsia="Times New Roman" w:hAnsi="Times New Roman" w:cs="Times New Roman"/>
          <w:color w:val="000000" w:themeColor="text1"/>
          <w:kern w:val="0"/>
          <w:lang w:bidi="ar-SA"/>
          <w14:ligatures w14:val="none"/>
        </w:rPr>
        <w:t xml:space="preserve">harmonizes the raw input, </w:t>
      </w:r>
      <m:oMath>
        <m:r>
          <m:rPr>
            <m:sty m:val="p"/>
          </m:rPr>
          <w:rPr>
            <w:rFonts w:ascii="Cambria Math" w:eastAsia="Times New Roman" w:hAnsi="Cambria Math" w:cs="Times New Roman"/>
            <w:color w:val="000000" w:themeColor="text1"/>
            <w:kern w:val="0"/>
            <w:lang w:bidi="ar-SA"/>
            <w14:ligatures w14:val="none"/>
          </w:rPr>
          <m:t xml:space="preserve">Ψ </m:t>
        </m:r>
      </m:oMath>
      <w:r>
        <w:rPr>
          <w:rFonts w:ascii="Times New Roman" w:eastAsia="Times New Roman" w:hAnsi="Times New Roman" w:cs="Times New Roman"/>
          <w:color w:val="000000" w:themeColor="text1"/>
          <w:kern w:val="0"/>
          <w:lang w:bidi="ar-SA"/>
          <w14:ligatures w14:val="none"/>
        </w:rPr>
        <w:t xml:space="preserve">maps the harmonized input to pathway-level stress coordinates, </w:t>
      </w:r>
      <m:oMath>
        <m:sSub>
          <m:sSubPr>
            <m:ctrlPr>
              <w:rPr>
                <w:rFonts w:ascii="Cambria Math" w:eastAsia="Times New Roman" w:hAnsi="Cambria Math" w:cs="Times New Roman"/>
                <w:color w:val="000000" w:themeColor="text1"/>
                <w:kern w:val="0"/>
                <w:lang w:bidi="ar-SA"/>
                <w14:ligatures w14:val="none"/>
              </w:rPr>
            </m:ctrlPr>
          </m:sSubPr>
          <m:e>
            <m:r>
              <m:rPr>
                <m:sty m:val="p"/>
              </m:rPr>
              <w:rPr>
                <w:rFonts w:ascii="Cambria Math" w:eastAsia="Times New Roman" w:hAnsi="Cambria Math" w:cs="Times New Roman"/>
                <w:color w:val="000000" w:themeColor="text1"/>
                <w:kern w:val="0"/>
                <w:lang w:bidi="ar-SA"/>
                <w14:ligatures w14:val="none"/>
              </w:rPr>
              <m:t>Φ</m:t>
            </m:r>
          </m:e>
          <m:sub>
            <m:r>
              <w:rPr>
                <w:rFonts w:ascii="Cambria Math" w:eastAsia="Times New Roman" w:hAnsi="Cambria Math" w:cs="Times New Roman"/>
                <w:color w:val="000000" w:themeColor="text1"/>
                <w:kern w:val="0"/>
                <w:lang w:bidi="ar-SA"/>
                <w14:ligatures w14:val="none"/>
              </w:rPr>
              <m:t>R</m:t>
            </m:r>
          </m:sub>
        </m:sSub>
        <m:r>
          <w:rPr>
            <w:rFonts w:ascii="Cambria Math" w:eastAsia="Times New Roman" w:hAnsi="Cambria Math" w:cs="Times New Roman"/>
            <w:color w:val="000000" w:themeColor="text1"/>
            <w:kern w:val="0"/>
            <w:lang w:bidi="ar-SA"/>
            <w14:ligatures w14:val="none"/>
          </w:rPr>
          <m:t xml:space="preserve"> </m:t>
        </m:r>
      </m:oMath>
      <w:r>
        <w:rPr>
          <w:rFonts w:ascii="Times New Roman" w:eastAsia="Times New Roman" w:hAnsi="Times New Roman" w:cs="Times New Roman"/>
          <w:color w:val="000000" w:themeColor="text1"/>
          <w:kern w:val="0"/>
          <w:lang w:bidi="ar-SA"/>
          <w14:ligatures w14:val="none"/>
        </w:rPr>
        <w:t xml:space="preserve">applies frozen-reference standardization, and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τ</m:t>
            </m:r>
          </m:e>
          <m:sub>
            <m:r>
              <w:rPr>
                <w:rFonts w:ascii="Cambria Math" w:eastAsia="Times New Roman" w:hAnsi="Cambria Math" w:cs="Times New Roman"/>
                <w:color w:val="000000" w:themeColor="text1"/>
                <w:kern w:val="0"/>
                <w:lang w:bidi="ar-SA"/>
                <w14:ligatures w14:val="none"/>
              </w:rPr>
              <m:t>w</m:t>
            </m:r>
          </m:sub>
        </m:sSub>
        <m:r>
          <w:rPr>
            <w:rFonts w:ascii="Cambria Math" w:eastAsia="Times New Roman" w:hAnsi="Cambria Math" w:cs="Times New Roman"/>
            <w:color w:val="000000" w:themeColor="text1"/>
            <w:kern w:val="0"/>
            <w:lang w:bidi="ar-SA"/>
            <w14:ligatures w14:val="none"/>
          </w:rPr>
          <m:t xml:space="preserve"> </m:t>
        </m:r>
      </m:oMath>
      <w:r>
        <w:rPr>
          <w:rFonts w:ascii="Times New Roman" w:eastAsia="Times New Roman" w:hAnsi="Times New Roman" w:cs="Times New Roman"/>
          <w:color w:val="000000" w:themeColor="text1"/>
          <w:kern w:val="0"/>
          <w:lang w:bidi="ar-SA"/>
          <w14:ligatures w14:val="none"/>
        </w:rPr>
        <w:t>projects the standardized coordinate onto the scalar TCSI score.</w:t>
      </w:r>
    </w:p>
    <w:p w14:paraId="21A8114C"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Equivalently, for sample </w:t>
      </w:r>
      <m:oMath>
        <m:r>
          <w:rPr>
            <w:rFonts w:ascii="Cambria Math" w:eastAsia="Times New Roman" w:hAnsi="Cambria Math" w:cs="Times New Roman"/>
            <w:color w:val="000000" w:themeColor="text1"/>
            <w:kern w:val="0"/>
            <w:lang w:bidi="ar-SA"/>
            <w14:ligatures w14:val="none"/>
          </w:rPr>
          <m:t>i</m:t>
        </m:r>
      </m:oMath>
      <w:r>
        <w:rPr>
          <w:rFonts w:ascii="Times New Roman" w:eastAsia="Times New Roman" w:hAnsi="Times New Roman" w:cs="Times New Roman"/>
          <w:color w:val="000000" w:themeColor="text1"/>
          <w:kern w:val="0"/>
          <w:lang w:bidi="ar-SA"/>
          <w14:ligatures w14:val="none"/>
        </w:rPr>
        <w:t>,</w:t>
      </w:r>
    </w:p>
    <w:p w14:paraId="47AC4BE1"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TCSI</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e>
              <m:r>
                <w:rPr>
                  <w:rFonts w:ascii="Cambria Math" w:eastAsia="Times New Roman" w:hAnsi="Cambria Math" w:cs="Times New Roman"/>
                  <w:color w:val="000000" w:themeColor="text1"/>
                  <w:kern w:val="0"/>
                  <w:lang w:bidi="ar-SA"/>
                  <w14:ligatures w14:val="none"/>
                </w:rPr>
                <m:t>F</m:t>
              </m:r>
            </m:e>
          </m:d>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w</m:t>
              </m:r>
            </m:e>
            <m:sup>
              <m:r>
                <w:rPr>
                  <w:rFonts w:ascii="Cambria Math" w:eastAsia="Times New Roman" w:hAnsi="Cambria Math" w:cs="Times New Roman"/>
                  <w:color w:val="000000" w:themeColor="text1"/>
                  <w:kern w:val="0"/>
                  <w:lang w:bidi="ar-SA"/>
                  <w14:ligatures w14:val="none"/>
                </w:rPr>
                <m:t>T</m:t>
              </m:r>
            </m:sup>
          </m:sSup>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m:t>
              </m:r>
            </m:sub>
            <m:sup>
              <m:r>
                <w:rPr>
                  <w:rFonts w:ascii="Cambria Math" w:eastAsia="Times New Roman" w:hAnsi="Cambria Math" w:cs="Times New Roman"/>
                  <w:color w:val="000000" w:themeColor="text1"/>
                  <w:kern w:val="0"/>
                  <w:lang w:bidi="ar-SA"/>
                  <w14:ligatures w14:val="none"/>
                </w:rPr>
                <m:t>*</m:t>
              </m:r>
            </m:sup>
          </m:sSubSup>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nary>
            <m:naryPr>
              <m:chr m:val="∑"/>
              <m:limLoc m:val="undOvr"/>
              <m:grow m:val="1"/>
              <m:ctrlPr>
                <w:rPr>
                  <w:rFonts w:ascii="Cambria Math" w:eastAsia="Times New Roman" w:hAnsi="Cambria Math" w:cs="Times New Roman"/>
                  <w:color w:val="000000" w:themeColor="text1"/>
                  <w:kern w:val="0"/>
                  <w:lang w:bidi="ar-SA"/>
                  <w14:ligatures w14:val="none"/>
                </w:rPr>
              </m:ctrlPr>
            </m:naryPr>
            <m:sub>
              <m:r>
                <w:rPr>
                  <w:rFonts w:ascii="Cambria Math" w:eastAsia="Times New Roman" w:hAnsi="Cambria Math" w:cs="Times New Roman"/>
                  <w:color w:val="000000" w:themeColor="text1"/>
                  <w:kern w:val="0"/>
                  <w:lang w:bidi="ar-SA"/>
                  <w14:ligatures w14:val="none"/>
                </w:rPr>
                <m:t>k=1</m:t>
              </m:r>
            </m:sub>
            <m:sup>
              <m:r>
                <w:rPr>
                  <w:rFonts w:ascii="Cambria Math" w:eastAsia="Times New Roman" w:hAnsi="Cambria Math" w:cs="Times New Roman"/>
                  <w:color w:val="000000" w:themeColor="text1"/>
                  <w:kern w:val="0"/>
                  <w:lang w:bidi="ar-SA"/>
                  <w14:ligatures w14:val="none"/>
                </w:rPr>
                <m:t>K</m:t>
              </m:r>
            </m:sup>
            <m:e>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ik</m:t>
                  </m:r>
                </m:sub>
                <m:sup>
                  <m:r>
                    <w:rPr>
                      <w:rFonts w:ascii="Cambria Math" w:eastAsia="Times New Roman" w:hAnsi="Cambria Math" w:cs="Times New Roman"/>
                      <w:color w:val="000000" w:themeColor="text1"/>
                      <w:kern w:val="0"/>
                      <w:lang w:bidi="ar-SA"/>
                      <w14:ligatures w14:val="none"/>
                    </w:rPr>
                    <m:t>*</m:t>
                  </m:r>
                </m:sup>
              </m:sSubSup>
            </m:e>
          </m:nary>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37E7C437"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This is the primary equation of the framework. The contribution of pathway axis </w:t>
      </w:r>
      <m:oMath>
        <m:r>
          <w:rPr>
            <w:rFonts w:ascii="Cambria Math" w:eastAsia="Times New Roman" w:hAnsi="Cambria Math" w:cs="Times New Roman"/>
            <w:color w:val="000000" w:themeColor="text1"/>
            <w:kern w:val="0"/>
            <w:lang w:bidi="ar-SA"/>
            <w14:ligatures w14:val="none"/>
          </w:rPr>
          <m:t>k</m:t>
        </m:r>
      </m:oMath>
      <w:r>
        <w:rPr>
          <w:rFonts w:ascii="Times New Roman" w:eastAsia="Times New Roman" w:hAnsi="Times New Roman" w:cs="Times New Roman"/>
          <w:color w:val="000000" w:themeColor="text1"/>
          <w:kern w:val="0"/>
          <w:lang w:bidi="ar-SA"/>
          <w14:ligatures w14:val="none"/>
        </w:rPr>
        <w:t xml:space="preserve">to sample </w:t>
      </w:r>
      <m:oMath>
        <m:r>
          <w:rPr>
            <w:rFonts w:ascii="Cambria Math" w:eastAsia="Times New Roman" w:hAnsi="Cambria Math" w:cs="Times New Roman"/>
            <w:color w:val="000000" w:themeColor="text1"/>
            <w:kern w:val="0"/>
            <w:lang w:bidi="ar-SA"/>
            <w14:ligatures w14:val="none"/>
          </w:rPr>
          <m:t>i</m:t>
        </m:r>
      </m:oMath>
      <w:r>
        <w:rPr>
          <w:rFonts w:ascii="Times New Roman" w:eastAsia="Times New Roman" w:hAnsi="Times New Roman" w:cs="Times New Roman"/>
          <w:color w:val="000000" w:themeColor="text1"/>
          <w:kern w:val="0"/>
          <w:lang w:bidi="ar-SA"/>
          <w14:ligatures w14:val="none"/>
        </w:rPr>
        <w:t>is</w:t>
      </w:r>
    </w:p>
    <w:p w14:paraId="515F44C7" w14:textId="77777777" w:rsidR="001F255F" w:rsidRPr="00CA61FE" w:rsidRDefault="00000000"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c</m:t>
              </m:r>
            </m:e>
            <m:sub>
              <m:r>
                <w:rPr>
                  <w:rFonts w:ascii="Cambria Math" w:eastAsia="Times New Roman" w:hAnsi="Cambria Math" w:cs="Times New Roman"/>
                  <w:color w:val="000000" w:themeColor="text1"/>
                  <w:kern w:val="0"/>
                  <w:lang w:bidi="ar-SA"/>
                  <w14:ligatures w14:val="none"/>
                </w:rPr>
                <m:t>ik</m:t>
              </m:r>
            </m:sub>
          </m:sSub>
          <m:r>
            <w:rPr>
              <w:rFonts w:ascii="Cambria Math" w:eastAsia="Times New Roman" w:hAnsi="Cambria Math" w:cs="Times New Roman"/>
              <w:color w:val="000000" w:themeColor="text1"/>
              <w:kern w:val="0"/>
              <w:lang w:bidi="ar-SA"/>
              <w14:ligatures w14:val="none"/>
            </w:rPr>
            <m:t>=</m:t>
          </m:r>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w</m:t>
              </m:r>
            </m:e>
            <m:sub>
              <m:r>
                <w:rPr>
                  <w:rFonts w:ascii="Cambria Math" w:eastAsia="Times New Roman" w:hAnsi="Cambria Math" w:cs="Times New Roman"/>
                  <w:color w:val="000000" w:themeColor="text1"/>
                  <w:kern w:val="0"/>
                  <w:lang w:bidi="ar-SA"/>
                  <w14:ligatures w14:val="none"/>
                </w:rPr>
                <m:t>k</m:t>
              </m:r>
            </m:sub>
          </m:sSub>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ik</m:t>
              </m:r>
            </m:sub>
            <m:sup>
              <m:r>
                <w:rPr>
                  <w:rFonts w:ascii="Cambria Math" w:eastAsia="Times New Roman" w:hAnsi="Cambria Math" w:cs="Times New Roman"/>
                  <w:color w:val="000000" w:themeColor="text1"/>
                  <w:kern w:val="0"/>
                  <w:lang w:bidi="ar-SA"/>
                  <w14:ligatures w14:val="none"/>
                </w:rPr>
                <m:t>*</m:t>
              </m:r>
            </m:sup>
          </m:sSubSup>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4EDE551E"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Because TCSI is a linear functional of the standardized pathway coordinates, it is exactly decomposable into axis-level contributions:</w:t>
      </w:r>
    </w:p>
    <w:p w14:paraId="42743D09"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w:lastRenderedPageBreak/>
            <m:t>TCSI</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x</m:t>
                  </m:r>
                </m:e>
                <m:sub>
                  <m:r>
                    <w:rPr>
                      <w:rFonts w:ascii="Cambria Math" w:eastAsia="Times New Roman" w:hAnsi="Cambria Math" w:cs="Times New Roman"/>
                      <w:color w:val="000000" w:themeColor="text1"/>
                      <w:kern w:val="0"/>
                      <w:lang w:bidi="ar-SA"/>
                      <w14:ligatures w14:val="none"/>
                    </w:rPr>
                    <m:t>i</m:t>
                  </m:r>
                </m:sub>
              </m:sSub>
            </m:e>
            <m:e>
              <m:r>
                <w:rPr>
                  <w:rFonts w:ascii="Cambria Math" w:eastAsia="Times New Roman" w:hAnsi="Cambria Math" w:cs="Times New Roman"/>
                  <w:color w:val="000000" w:themeColor="text1"/>
                  <w:kern w:val="0"/>
                  <w:lang w:bidi="ar-SA"/>
                  <w14:ligatures w14:val="none"/>
                </w:rPr>
                <m:t>F</m:t>
              </m:r>
            </m:e>
          </m:d>
          <m:r>
            <w:rPr>
              <w:rFonts w:ascii="Cambria Math" w:eastAsia="Times New Roman" w:hAnsi="Cambria Math" w:cs="Times New Roman"/>
              <w:color w:val="000000" w:themeColor="text1"/>
              <w:kern w:val="0"/>
              <w:lang w:bidi="ar-SA"/>
              <w14:ligatures w14:val="none"/>
            </w:rPr>
            <m:t>=</m:t>
          </m:r>
          <m:nary>
            <m:naryPr>
              <m:chr m:val="∑"/>
              <m:limLoc m:val="undOvr"/>
              <m:grow m:val="1"/>
              <m:ctrlPr>
                <w:rPr>
                  <w:rFonts w:ascii="Cambria Math" w:eastAsia="Times New Roman" w:hAnsi="Cambria Math" w:cs="Times New Roman"/>
                  <w:color w:val="000000" w:themeColor="text1"/>
                  <w:kern w:val="0"/>
                  <w:lang w:bidi="ar-SA"/>
                  <w14:ligatures w14:val="none"/>
                </w:rPr>
              </m:ctrlPr>
            </m:naryPr>
            <m:sub>
              <m:r>
                <w:rPr>
                  <w:rFonts w:ascii="Cambria Math" w:eastAsia="Times New Roman" w:hAnsi="Cambria Math" w:cs="Times New Roman"/>
                  <w:color w:val="000000" w:themeColor="text1"/>
                  <w:kern w:val="0"/>
                  <w:lang w:bidi="ar-SA"/>
                  <w14:ligatures w14:val="none"/>
                </w:rPr>
                <m:t>k=1</m:t>
              </m:r>
            </m:sub>
            <m:sup>
              <m:r>
                <w:rPr>
                  <w:rFonts w:ascii="Cambria Math" w:eastAsia="Times New Roman" w:hAnsi="Cambria Math" w:cs="Times New Roman"/>
                  <w:color w:val="000000" w:themeColor="text1"/>
                  <w:kern w:val="0"/>
                  <w:lang w:bidi="ar-SA"/>
                  <w14:ligatures w14:val="none"/>
                </w:rPr>
                <m:t>K</m:t>
              </m:r>
            </m:sup>
            <m:e>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c</m:t>
                  </m:r>
                </m:e>
                <m:sub>
                  <m:r>
                    <w:rPr>
                      <w:rFonts w:ascii="Cambria Math" w:eastAsia="Times New Roman" w:hAnsi="Cambria Math" w:cs="Times New Roman"/>
                      <w:color w:val="000000" w:themeColor="text1"/>
                      <w:kern w:val="0"/>
                      <w:lang w:bidi="ar-SA"/>
                      <w14:ligatures w14:val="none"/>
                    </w:rPr>
                    <m:t>ik</m:t>
                  </m:r>
                </m:sub>
              </m:sSub>
            </m:e>
          </m:nary>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005653A5" w14:textId="77777777" w:rsidR="001F255F"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This decomposability is important because each component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c</m:t>
            </m:r>
          </m:e>
          <m:sub>
            <m:r>
              <w:rPr>
                <w:rFonts w:ascii="Cambria Math" w:eastAsia="Times New Roman" w:hAnsi="Cambria Math" w:cs="Times New Roman"/>
                <w:color w:val="000000" w:themeColor="text1"/>
                <w:kern w:val="0"/>
                <w:lang w:bidi="ar-SA"/>
                <w14:ligatures w14:val="none"/>
              </w:rPr>
              <m:t xml:space="preserve">ik </m:t>
            </m:r>
          </m:sub>
        </m:sSub>
      </m:oMath>
      <w:r>
        <w:rPr>
          <w:rFonts w:ascii="Times New Roman" w:eastAsia="Times New Roman" w:hAnsi="Times New Roman" w:cs="Times New Roman"/>
          <w:color w:val="000000" w:themeColor="text1"/>
          <w:kern w:val="0"/>
          <w:lang w:bidi="ar-SA"/>
          <w14:ligatures w14:val="none"/>
        </w:rPr>
        <w:t>can be traced back to a named biological stress program. Thus, the scalar TCSI score is not a black-box quantity; it can be broken down into interpretable pathway-specific contributions.</w:t>
      </w:r>
    </w:p>
    <w:p w14:paraId="0AD39E76"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2.5.1 Stress Magnitude and Stress Direction.</w:t>
      </w:r>
    </w:p>
    <w:p w14:paraId="7372CD36"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A conceptually important distinction separates two complementary output quantities of the CSI framework:</w:t>
      </w:r>
    </w:p>
    <w:p w14:paraId="16378F9D"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i/>
          <w:iCs/>
          <w:color w:val="auto"/>
          <w:kern w:val="0"/>
          <w:lang w:bidi="ar-SA"/>
          <w14:ligatures w14:val="none"/>
        </w:rPr>
        <w:t>Stress magnitude</w:t>
      </w:r>
      <w:r w:rsidRPr="001924E3">
        <w:rPr>
          <w:rFonts w:ascii="Times New Roman" w:eastAsia="Times New Roman" w:hAnsi="Times New Roman" w:cs="Times New Roman"/>
          <w:color w:val="auto"/>
          <w:kern w:val="0"/>
          <w:lang w:bidi="ar-SA"/>
          <w14:ligatures w14:val="none"/>
        </w:rPr>
        <w:t xml:space="preserve"> refers to the total composite stress burden</w:t>
      </w:r>
      <w:r>
        <w:rPr>
          <w:rFonts w:ascii="Times New Roman" w:eastAsia="Times New Roman" w:hAnsi="Times New Roman" w:cs="Times New Roman"/>
          <w:color w:val="auto"/>
          <w:kern w:val="0"/>
          <w:lang w:bidi="ar-SA"/>
          <w14:ligatures w14:val="none"/>
        </w:rPr>
        <w:t xml:space="preserve">; </w:t>
      </w:r>
      <w:r w:rsidRPr="001924E3">
        <w:rPr>
          <w:rFonts w:ascii="Times New Roman" w:eastAsia="Times New Roman" w:hAnsi="Times New Roman" w:cs="Times New Roman"/>
          <w:color w:val="auto"/>
          <w:kern w:val="0"/>
          <w:lang w:bidi="ar-SA"/>
          <w14:ligatures w14:val="none"/>
        </w:rPr>
        <w:t>how much coordinated stress-pathway activation is present across all axes. The scalar TCSI score is the primary stress magnitude measure, summarizing the sample's position along the dominant axis of the stress state space.</w:t>
      </w:r>
    </w:p>
    <w:p w14:paraId="6C8D4017"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i/>
          <w:iCs/>
          <w:color w:val="auto"/>
          <w:kern w:val="0"/>
          <w:lang w:bidi="ar-SA"/>
          <w14:ligatures w14:val="none"/>
        </w:rPr>
        <w:t>Stress direction</w:t>
      </w:r>
      <w:r w:rsidRPr="001924E3">
        <w:rPr>
          <w:rFonts w:ascii="Times New Roman" w:eastAsia="Times New Roman" w:hAnsi="Times New Roman" w:cs="Times New Roman"/>
          <w:color w:val="auto"/>
          <w:kern w:val="0"/>
          <w:lang w:bidi="ar-SA"/>
          <w14:ligatures w14:val="none"/>
        </w:rPr>
        <w:t xml:space="preserve"> refers to the dominant stress phenotype</w:t>
      </w:r>
      <w:r>
        <w:rPr>
          <w:rFonts w:ascii="Times New Roman" w:eastAsia="Times New Roman" w:hAnsi="Times New Roman" w:cs="Times New Roman"/>
          <w:color w:val="auto"/>
          <w:kern w:val="0"/>
          <w:lang w:bidi="ar-SA"/>
          <w14:ligatures w14:val="none"/>
        </w:rPr>
        <w:t xml:space="preserve">, </w:t>
      </w:r>
      <w:r w:rsidRPr="001924E3">
        <w:rPr>
          <w:rFonts w:ascii="Times New Roman" w:eastAsia="Times New Roman" w:hAnsi="Times New Roman" w:cs="Times New Roman"/>
          <w:color w:val="auto"/>
          <w:kern w:val="0"/>
          <w:lang w:bidi="ar-SA"/>
          <w14:ligatures w14:val="none"/>
        </w:rPr>
        <w:t>which axis or combination of axes carries the highest activation. The dominant axis is identified as:</w:t>
      </w:r>
    </w:p>
    <w:p w14:paraId="01E0AC31"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 xml:space="preserve">φ* = </w:t>
      </w:r>
      <w:proofErr w:type="spellStart"/>
      <w:r w:rsidRPr="001924E3">
        <w:rPr>
          <w:rFonts w:ascii="Times New Roman" w:eastAsia="Times New Roman" w:hAnsi="Times New Roman" w:cs="Times New Roman"/>
          <w:color w:val="auto"/>
          <w:kern w:val="0"/>
          <w:lang w:bidi="ar-SA"/>
          <w14:ligatures w14:val="none"/>
        </w:rPr>
        <w:t>argmax_k</w:t>
      </w:r>
      <w:proofErr w:type="spellEnd"/>
      <w:r w:rsidRPr="001924E3">
        <w:rPr>
          <w:rFonts w:ascii="Times New Roman" w:eastAsia="Times New Roman" w:hAnsi="Times New Roman" w:cs="Times New Roman"/>
          <w:color w:val="auto"/>
          <w:kern w:val="0"/>
          <w:lang w:bidi="ar-SA"/>
          <w14:ligatures w14:val="none"/>
        </w:rPr>
        <w:t xml:space="preserve"> z̃ᵢₖ</w:t>
      </w:r>
    </w:p>
    <w:p w14:paraId="233A949E"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where z̃ᵢₖ is the reference-standardized score for axis k. When two or more axes exceed a pre-specified threshold and differ by less than a tolerance δ, a combined dominant phenotype is assigned.</w:t>
      </w:r>
    </w:p>
    <w:p w14:paraId="19642973"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This distinction enables biologically richer characterization than a scalar index alone. Two samples may share identical TCSI magnitude while occupying different positions in stress state space</w:t>
      </w:r>
      <w:r>
        <w:rPr>
          <w:rFonts w:ascii="Times New Roman" w:eastAsia="Times New Roman" w:hAnsi="Times New Roman" w:cs="Times New Roman"/>
          <w:color w:val="auto"/>
          <w:kern w:val="0"/>
          <w:lang w:bidi="ar-SA"/>
          <w14:ligatures w14:val="none"/>
        </w:rPr>
        <w:t xml:space="preserve">, </w:t>
      </w:r>
      <w:r w:rsidRPr="001924E3">
        <w:rPr>
          <w:rFonts w:ascii="Times New Roman" w:eastAsia="Times New Roman" w:hAnsi="Times New Roman" w:cs="Times New Roman"/>
          <w:color w:val="auto"/>
          <w:kern w:val="0"/>
          <w:lang w:bidi="ar-SA"/>
          <w14:ligatures w14:val="none"/>
        </w:rPr>
        <w:t>one hypoxic-glycolytic dominant, another inflammation-dominant</w:t>
      </w:r>
      <w:r>
        <w:rPr>
          <w:rFonts w:ascii="Times New Roman" w:eastAsia="Times New Roman" w:hAnsi="Times New Roman" w:cs="Times New Roman"/>
          <w:color w:val="auto"/>
          <w:kern w:val="0"/>
          <w:lang w:bidi="ar-SA"/>
          <w14:ligatures w14:val="none"/>
        </w:rPr>
        <w:t xml:space="preserve">, </w:t>
      </w:r>
      <w:r w:rsidRPr="001924E3">
        <w:rPr>
          <w:rFonts w:ascii="Times New Roman" w:eastAsia="Times New Roman" w:hAnsi="Times New Roman" w:cs="Times New Roman"/>
          <w:color w:val="auto"/>
          <w:kern w:val="0"/>
          <w:lang w:bidi="ar-SA"/>
          <w14:ligatures w14:val="none"/>
        </w:rPr>
        <w:t>with different biological implications. Representative phenotype classes arising from this distinction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3021"/>
      </w:tblGrid>
      <w:tr w:rsidR="001924E3" w:rsidRPr="001924E3" w14:paraId="7E310CC6" w14:textId="77777777" w:rsidTr="001924E3">
        <w:trPr>
          <w:cantSplit/>
          <w:tblHeader/>
          <w:tblCellSpacing w:w="15" w:type="dxa"/>
        </w:trPr>
        <w:tc>
          <w:tcPr>
            <w:tcW w:w="0" w:type="auto"/>
            <w:vAlign w:val="center"/>
            <w:hideMark/>
          </w:tcPr>
          <w:p w14:paraId="3296E629" w14:textId="77777777" w:rsidR="001924E3" w:rsidRPr="001924E3" w:rsidRDefault="001924E3" w:rsidP="001924E3">
            <w:pPr>
              <w:spacing w:after="0" w:line="240" w:lineRule="auto"/>
              <w:ind w:left="0" w:firstLine="0"/>
              <w:jc w:val="center"/>
              <w:rPr>
                <w:rFonts w:ascii="Times New Roman" w:eastAsia="Times New Roman" w:hAnsi="Times New Roman" w:cs="Times New Roman"/>
                <w:b/>
                <w:bCs/>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Dominant Pattern</w:t>
            </w:r>
          </w:p>
        </w:tc>
        <w:tc>
          <w:tcPr>
            <w:tcW w:w="0" w:type="auto"/>
            <w:vAlign w:val="center"/>
            <w:hideMark/>
          </w:tcPr>
          <w:p w14:paraId="62089460" w14:textId="77777777" w:rsidR="001924E3" w:rsidRPr="001924E3" w:rsidRDefault="001924E3" w:rsidP="001924E3">
            <w:pPr>
              <w:spacing w:after="0" w:line="240" w:lineRule="auto"/>
              <w:ind w:left="0" w:firstLine="0"/>
              <w:jc w:val="center"/>
              <w:rPr>
                <w:rFonts w:ascii="Times New Roman" w:eastAsia="Times New Roman" w:hAnsi="Times New Roman" w:cs="Times New Roman"/>
                <w:b/>
                <w:bCs/>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Stress Phenotype Label</w:t>
            </w:r>
          </w:p>
        </w:tc>
      </w:tr>
      <w:tr w:rsidR="001924E3" w:rsidRPr="001924E3" w14:paraId="538787B1" w14:textId="77777777" w:rsidTr="001924E3">
        <w:trPr>
          <w:cantSplit/>
          <w:tblCellSpacing w:w="15" w:type="dxa"/>
        </w:trPr>
        <w:tc>
          <w:tcPr>
            <w:tcW w:w="0" w:type="auto"/>
            <w:vAlign w:val="center"/>
            <w:hideMark/>
          </w:tcPr>
          <w:p w14:paraId="3AC40955"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High HYP, High GLY</w:t>
            </w:r>
          </w:p>
        </w:tc>
        <w:tc>
          <w:tcPr>
            <w:tcW w:w="0" w:type="auto"/>
            <w:vAlign w:val="center"/>
            <w:hideMark/>
          </w:tcPr>
          <w:p w14:paraId="0DA6D008"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Hypoxic-metabolic dominant</w:t>
            </w:r>
          </w:p>
        </w:tc>
      </w:tr>
      <w:tr w:rsidR="001924E3" w:rsidRPr="001924E3" w14:paraId="70F17A5A" w14:textId="77777777" w:rsidTr="001924E3">
        <w:trPr>
          <w:cantSplit/>
          <w:tblCellSpacing w:w="15" w:type="dxa"/>
        </w:trPr>
        <w:tc>
          <w:tcPr>
            <w:tcW w:w="0" w:type="auto"/>
            <w:vAlign w:val="center"/>
            <w:hideMark/>
          </w:tcPr>
          <w:p w14:paraId="116D6167"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High HYP, High ANG</w:t>
            </w:r>
          </w:p>
        </w:tc>
        <w:tc>
          <w:tcPr>
            <w:tcW w:w="0" w:type="auto"/>
            <w:vAlign w:val="center"/>
            <w:hideMark/>
          </w:tcPr>
          <w:p w14:paraId="2C3E6690"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Hypoxic-angiogenic dominant</w:t>
            </w:r>
          </w:p>
        </w:tc>
      </w:tr>
      <w:tr w:rsidR="001924E3" w:rsidRPr="001924E3" w14:paraId="0CE09B93" w14:textId="77777777" w:rsidTr="001924E3">
        <w:trPr>
          <w:cantSplit/>
          <w:tblCellSpacing w:w="15" w:type="dxa"/>
        </w:trPr>
        <w:tc>
          <w:tcPr>
            <w:tcW w:w="0" w:type="auto"/>
            <w:vAlign w:val="center"/>
            <w:hideMark/>
          </w:tcPr>
          <w:p w14:paraId="7AEFB8F1"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High ROS</w:t>
            </w:r>
          </w:p>
        </w:tc>
        <w:tc>
          <w:tcPr>
            <w:tcW w:w="0" w:type="auto"/>
            <w:vAlign w:val="center"/>
            <w:hideMark/>
          </w:tcPr>
          <w:p w14:paraId="5996E51E"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Oxidative stress dominant</w:t>
            </w:r>
          </w:p>
        </w:tc>
      </w:tr>
      <w:tr w:rsidR="001924E3" w:rsidRPr="001924E3" w14:paraId="75E5248C" w14:textId="77777777" w:rsidTr="001924E3">
        <w:trPr>
          <w:cantSplit/>
          <w:tblCellSpacing w:w="15" w:type="dxa"/>
        </w:trPr>
        <w:tc>
          <w:tcPr>
            <w:tcW w:w="0" w:type="auto"/>
            <w:vAlign w:val="center"/>
            <w:hideMark/>
          </w:tcPr>
          <w:p w14:paraId="1FBD0A8E"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High INF</w:t>
            </w:r>
          </w:p>
        </w:tc>
        <w:tc>
          <w:tcPr>
            <w:tcW w:w="0" w:type="auto"/>
            <w:vAlign w:val="center"/>
            <w:hideMark/>
          </w:tcPr>
          <w:p w14:paraId="324AAD3F"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Inflammatory dominant</w:t>
            </w:r>
          </w:p>
        </w:tc>
      </w:tr>
      <w:tr w:rsidR="001924E3" w:rsidRPr="001924E3" w14:paraId="76289068" w14:textId="77777777" w:rsidTr="001924E3">
        <w:trPr>
          <w:cantSplit/>
          <w:tblCellSpacing w:w="15" w:type="dxa"/>
        </w:trPr>
        <w:tc>
          <w:tcPr>
            <w:tcW w:w="0" w:type="auto"/>
            <w:vAlign w:val="center"/>
            <w:hideMark/>
          </w:tcPr>
          <w:p w14:paraId="72B806D1"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High across ≥3 axes</w:t>
            </w:r>
          </w:p>
        </w:tc>
        <w:tc>
          <w:tcPr>
            <w:tcW w:w="0" w:type="auto"/>
            <w:vAlign w:val="center"/>
            <w:hideMark/>
          </w:tcPr>
          <w:p w14:paraId="18EA78CA"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Mixed high-stress</w:t>
            </w:r>
          </w:p>
        </w:tc>
      </w:tr>
      <w:tr w:rsidR="001924E3" w:rsidRPr="001924E3" w14:paraId="77AE0EAD" w14:textId="77777777" w:rsidTr="001924E3">
        <w:trPr>
          <w:cantSplit/>
          <w:tblCellSpacing w:w="15" w:type="dxa"/>
        </w:trPr>
        <w:tc>
          <w:tcPr>
            <w:tcW w:w="0" w:type="auto"/>
            <w:vAlign w:val="center"/>
            <w:hideMark/>
          </w:tcPr>
          <w:p w14:paraId="0D38DA60"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Low across all axes</w:t>
            </w:r>
          </w:p>
        </w:tc>
        <w:tc>
          <w:tcPr>
            <w:tcW w:w="0" w:type="auto"/>
            <w:vAlign w:val="center"/>
            <w:hideMark/>
          </w:tcPr>
          <w:p w14:paraId="591E3A43"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Minimal stress</w:t>
            </w:r>
          </w:p>
        </w:tc>
      </w:tr>
    </w:tbl>
    <w:p w14:paraId="6B760A17"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2.5.2 Composite Stress Score and Stress Tier.</w:t>
      </w:r>
    </w:p>
    <w:p w14:paraId="2A6E0F50"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lastRenderedPageBreak/>
        <w:t>For applied contexts requiring an interpretable ordinal classification, the composite stress score (CSS) is defined as the unweighted sum of per-axis scores on a standardized 0–3 ordinal scale, where 0 = no activation, 1 = mild, 2 = moderate, 3 = strong activation per axis:</w:t>
      </w:r>
    </w:p>
    <w:p w14:paraId="5B4E4CBF"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 xml:space="preserve">CSS = HYP + GLY + ANG + ROS + INF, with CSS </w:t>
      </w:r>
      <w:r w:rsidRPr="001924E3">
        <w:rPr>
          <w:rFonts w:ascii="Cambria Math" w:eastAsia="Times New Roman" w:hAnsi="Cambria Math" w:cs="Cambria Math"/>
          <w:color w:val="auto"/>
          <w:kern w:val="0"/>
          <w:lang w:bidi="ar-SA"/>
          <w14:ligatures w14:val="none"/>
        </w:rPr>
        <w:t>∈</w:t>
      </w:r>
      <w:r w:rsidRPr="001924E3">
        <w:rPr>
          <w:rFonts w:ascii="Times New Roman" w:eastAsia="Times New Roman" w:hAnsi="Times New Roman" w:cs="Times New Roman"/>
          <w:color w:val="auto"/>
          <w:kern w:val="0"/>
          <w:lang w:bidi="ar-SA"/>
          <w14:ligatures w14:val="none"/>
        </w:rPr>
        <w:t xml:space="preserve"> [0, 15]</w:t>
      </w:r>
    </w:p>
    <w:p w14:paraId="65E32FAC"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The CSS is distinct from the canonical scalar TCSI, which uses reference-standardized continuous scores and a linear projection. CSS provides a simplified burden summary for ordinal interpretation and clinical communication. The corresponding stress tier classification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660"/>
        <w:gridCol w:w="1608"/>
      </w:tblGrid>
      <w:tr w:rsidR="001924E3" w:rsidRPr="001924E3" w14:paraId="044BF250" w14:textId="77777777" w:rsidTr="00443ED7">
        <w:trPr>
          <w:cantSplit/>
          <w:tblHeader/>
          <w:tblCellSpacing w:w="15" w:type="dxa"/>
        </w:trPr>
        <w:tc>
          <w:tcPr>
            <w:tcW w:w="0" w:type="auto"/>
            <w:vAlign w:val="center"/>
            <w:hideMark/>
          </w:tcPr>
          <w:p w14:paraId="57A8D617" w14:textId="77777777" w:rsidR="001924E3" w:rsidRPr="001924E3" w:rsidRDefault="001924E3" w:rsidP="001924E3">
            <w:pPr>
              <w:spacing w:after="0" w:line="240" w:lineRule="auto"/>
              <w:ind w:left="0" w:firstLine="0"/>
              <w:jc w:val="center"/>
              <w:rPr>
                <w:rFonts w:ascii="Times New Roman" w:eastAsia="Times New Roman" w:hAnsi="Times New Roman" w:cs="Times New Roman"/>
                <w:b/>
                <w:bCs/>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CSS Range</w:t>
            </w:r>
          </w:p>
        </w:tc>
        <w:tc>
          <w:tcPr>
            <w:tcW w:w="0" w:type="auto"/>
            <w:vAlign w:val="center"/>
            <w:hideMark/>
          </w:tcPr>
          <w:p w14:paraId="032A0CD2" w14:textId="77777777" w:rsidR="001924E3" w:rsidRPr="001924E3" w:rsidRDefault="001924E3" w:rsidP="001924E3">
            <w:pPr>
              <w:spacing w:after="0" w:line="240" w:lineRule="auto"/>
              <w:ind w:left="0" w:firstLine="0"/>
              <w:jc w:val="center"/>
              <w:rPr>
                <w:rFonts w:ascii="Times New Roman" w:eastAsia="Times New Roman" w:hAnsi="Times New Roman" w:cs="Times New Roman"/>
                <w:b/>
                <w:bCs/>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Tier</w:t>
            </w:r>
          </w:p>
        </w:tc>
        <w:tc>
          <w:tcPr>
            <w:tcW w:w="0" w:type="auto"/>
            <w:vAlign w:val="center"/>
            <w:hideMark/>
          </w:tcPr>
          <w:p w14:paraId="7F3A8D4E" w14:textId="77777777" w:rsidR="001924E3" w:rsidRPr="001924E3" w:rsidRDefault="001924E3" w:rsidP="001924E3">
            <w:pPr>
              <w:spacing w:after="0" w:line="240" w:lineRule="auto"/>
              <w:ind w:left="0" w:firstLine="0"/>
              <w:jc w:val="center"/>
              <w:rPr>
                <w:rFonts w:ascii="Times New Roman" w:eastAsia="Times New Roman" w:hAnsi="Times New Roman" w:cs="Times New Roman"/>
                <w:b/>
                <w:bCs/>
                <w:color w:val="auto"/>
                <w:kern w:val="0"/>
                <w:lang w:bidi="ar-SA"/>
                <w14:ligatures w14:val="none"/>
              </w:rPr>
            </w:pPr>
            <w:r w:rsidRPr="001924E3">
              <w:rPr>
                <w:rFonts w:ascii="Times New Roman" w:eastAsia="Times New Roman" w:hAnsi="Times New Roman" w:cs="Times New Roman"/>
                <w:b/>
                <w:bCs/>
                <w:color w:val="auto"/>
                <w:kern w:val="0"/>
                <w:lang w:bidi="ar-SA"/>
                <w14:ligatures w14:val="none"/>
              </w:rPr>
              <w:t>Interpretation</w:t>
            </w:r>
          </w:p>
        </w:tc>
      </w:tr>
      <w:tr w:rsidR="001924E3" w:rsidRPr="001924E3" w14:paraId="0C3ECA96" w14:textId="77777777" w:rsidTr="00443ED7">
        <w:trPr>
          <w:cantSplit/>
          <w:tblCellSpacing w:w="15" w:type="dxa"/>
        </w:trPr>
        <w:tc>
          <w:tcPr>
            <w:tcW w:w="0" w:type="auto"/>
            <w:vAlign w:val="center"/>
            <w:hideMark/>
          </w:tcPr>
          <w:p w14:paraId="709B8C99"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0–2</w:t>
            </w:r>
          </w:p>
        </w:tc>
        <w:tc>
          <w:tcPr>
            <w:tcW w:w="0" w:type="auto"/>
            <w:vAlign w:val="center"/>
            <w:hideMark/>
          </w:tcPr>
          <w:p w14:paraId="1A6DC9DD"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Tier 0</w:t>
            </w:r>
          </w:p>
        </w:tc>
        <w:tc>
          <w:tcPr>
            <w:tcW w:w="0" w:type="auto"/>
            <w:vAlign w:val="center"/>
            <w:hideMark/>
          </w:tcPr>
          <w:p w14:paraId="00E5D591"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Minimal stress</w:t>
            </w:r>
          </w:p>
        </w:tc>
      </w:tr>
      <w:tr w:rsidR="001924E3" w:rsidRPr="001924E3" w14:paraId="103ABB2F" w14:textId="77777777" w:rsidTr="00443ED7">
        <w:trPr>
          <w:cantSplit/>
          <w:tblCellSpacing w:w="15" w:type="dxa"/>
        </w:trPr>
        <w:tc>
          <w:tcPr>
            <w:tcW w:w="0" w:type="auto"/>
            <w:vAlign w:val="center"/>
            <w:hideMark/>
          </w:tcPr>
          <w:p w14:paraId="5FEE84BA"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3–5</w:t>
            </w:r>
          </w:p>
        </w:tc>
        <w:tc>
          <w:tcPr>
            <w:tcW w:w="0" w:type="auto"/>
            <w:vAlign w:val="center"/>
            <w:hideMark/>
          </w:tcPr>
          <w:p w14:paraId="5C66CDAA"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Tier 1</w:t>
            </w:r>
          </w:p>
        </w:tc>
        <w:tc>
          <w:tcPr>
            <w:tcW w:w="0" w:type="auto"/>
            <w:vAlign w:val="center"/>
            <w:hideMark/>
          </w:tcPr>
          <w:p w14:paraId="6EECDF2D"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Mild stress</w:t>
            </w:r>
          </w:p>
        </w:tc>
      </w:tr>
      <w:tr w:rsidR="001924E3" w:rsidRPr="001924E3" w14:paraId="00E48B74" w14:textId="77777777" w:rsidTr="00443ED7">
        <w:trPr>
          <w:cantSplit/>
          <w:tblCellSpacing w:w="15" w:type="dxa"/>
        </w:trPr>
        <w:tc>
          <w:tcPr>
            <w:tcW w:w="0" w:type="auto"/>
            <w:vAlign w:val="center"/>
            <w:hideMark/>
          </w:tcPr>
          <w:p w14:paraId="382BBAE3"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6–8</w:t>
            </w:r>
          </w:p>
        </w:tc>
        <w:tc>
          <w:tcPr>
            <w:tcW w:w="0" w:type="auto"/>
            <w:vAlign w:val="center"/>
            <w:hideMark/>
          </w:tcPr>
          <w:p w14:paraId="00AD74E1"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Tier 2</w:t>
            </w:r>
          </w:p>
        </w:tc>
        <w:tc>
          <w:tcPr>
            <w:tcW w:w="0" w:type="auto"/>
            <w:vAlign w:val="center"/>
            <w:hideMark/>
          </w:tcPr>
          <w:p w14:paraId="19698A1F"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Moderate stress</w:t>
            </w:r>
          </w:p>
        </w:tc>
      </w:tr>
      <w:tr w:rsidR="001924E3" w:rsidRPr="001924E3" w14:paraId="38757C8F" w14:textId="77777777" w:rsidTr="00443ED7">
        <w:trPr>
          <w:cantSplit/>
          <w:tblCellSpacing w:w="15" w:type="dxa"/>
        </w:trPr>
        <w:tc>
          <w:tcPr>
            <w:tcW w:w="0" w:type="auto"/>
            <w:vAlign w:val="center"/>
            <w:hideMark/>
          </w:tcPr>
          <w:p w14:paraId="5AC684FE"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9–12</w:t>
            </w:r>
          </w:p>
        </w:tc>
        <w:tc>
          <w:tcPr>
            <w:tcW w:w="0" w:type="auto"/>
            <w:vAlign w:val="center"/>
            <w:hideMark/>
          </w:tcPr>
          <w:p w14:paraId="0CE8EE0A"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Tier 3</w:t>
            </w:r>
          </w:p>
        </w:tc>
        <w:tc>
          <w:tcPr>
            <w:tcW w:w="0" w:type="auto"/>
            <w:vAlign w:val="center"/>
            <w:hideMark/>
          </w:tcPr>
          <w:p w14:paraId="5F00B03A"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High stress</w:t>
            </w:r>
          </w:p>
        </w:tc>
      </w:tr>
      <w:tr w:rsidR="001924E3" w:rsidRPr="001924E3" w14:paraId="3823E80A" w14:textId="77777777" w:rsidTr="00443ED7">
        <w:trPr>
          <w:cantSplit/>
          <w:tblCellSpacing w:w="15" w:type="dxa"/>
        </w:trPr>
        <w:tc>
          <w:tcPr>
            <w:tcW w:w="0" w:type="auto"/>
            <w:vAlign w:val="center"/>
            <w:hideMark/>
          </w:tcPr>
          <w:p w14:paraId="0E384B79"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13–15</w:t>
            </w:r>
          </w:p>
        </w:tc>
        <w:tc>
          <w:tcPr>
            <w:tcW w:w="0" w:type="auto"/>
            <w:vAlign w:val="center"/>
            <w:hideMark/>
          </w:tcPr>
          <w:p w14:paraId="20B42C69"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Tier 4</w:t>
            </w:r>
          </w:p>
        </w:tc>
        <w:tc>
          <w:tcPr>
            <w:tcW w:w="0" w:type="auto"/>
            <w:vAlign w:val="center"/>
            <w:hideMark/>
          </w:tcPr>
          <w:p w14:paraId="3B188E9D" w14:textId="77777777" w:rsidR="001924E3" w:rsidRPr="001924E3" w:rsidRDefault="001924E3" w:rsidP="001924E3">
            <w:pPr>
              <w:spacing w:after="0"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Extreme stress</w:t>
            </w:r>
          </w:p>
        </w:tc>
      </w:tr>
    </w:tbl>
    <w:p w14:paraId="54899AA7"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An alternative scalar, the Composite Stress Magnitude (CSM), applies the Euclidean norm to the five-axis vector:</w:t>
      </w:r>
    </w:p>
    <w:p w14:paraId="3DFEDC66" w14:textId="77777777" w:rsidR="001924E3" w:rsidRPr="001924E3" w:rsidRDefault="001924E3" w:rsidP="001924E3">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 xml:space="preserve">CSM = </w:t>
      </w:r>
      <w:proofErr w:type="gramStart"/>
      <w:r w:rsidRPr="001924E3">
        <w:rPr>
          <w:rFonts w:ascii="Times New Roman" w:eastAsia="Times New Roman" w:hAnsi="Times New Roman" w:cs="Times New Roman"/>
          <w:color w:val="auto"/>
          <w:kern w:val="0"/>
          <w:lang w:bidi="ar-SA"/>
          <w14:ligatures w14:val="none"/>
        </w:rPr>
        <w:t>√(</w:t>
      </w:r>
      <w:proofErr w:type="gramEnd"/>
      <w:r w:rsidRPr="001924E3">
        <w:rPr>
          <w:rFonts w:ascii="Times New Roman" w:eastAsia="Times New Roman" w:hAnsi="Times New Roman" w:cs="Times New Roman"/>
          <w:color w:val="auto"/>
          <w:kern w:val="0"/>
          <w:lang w:bidi="ar-SA"/>
          <w14:ligatures w14:val="none"/>
        </w:rPr>
        <w:t>HYP² + GLY² + ANG² + ROS² + INF²)</w:t>
      </w:r>
    </w:p>
    <w:p w14:paraId="755A05D3" w14:textId="77777777" w:rsidR="001924E3" w:rsidRPr="001924E3" w:rsidRDefault="001924E3" w:rsidP="001F255F">
      <w:pPr>
        <w:spacing w:before="100" w:beforeAutospacing="1" w:after="100" w:afterAutospacing="1" w:line="240" w:lineRule="auto"/>
        <w:ind w:left="0" w:firstLine="0"/>
        <w:jc w:val="left"/>
        <w:rPr>
          <w:rFonts w:ascii="Times New Roman" w:eastAsia="Times New Roman" w:hAnsi="Times New Roman" w:cs="Times New Roman"/>
          <w:color w:val="auto"/>
          <w:kern w:val="0"/>
          <w:lang w:bidi="ar-SA"/>
          <w14:ligatures w14:val="none"/>
        </w:rPr>
      </w:pPr>
      <w:r w:rsidRPr="001924E3">
        <w:rPr>
          <w:rFonts w:ascii="Times New Roman" w:eastAsia="Times New Roman" w:hAnsi="Times New Roman" w:cs="Times New Roman"/>
          <w:color w:val="auto"/>
          <w:kern w:val="0"/>
          <w:lang w:bidi="ar-SA"/>
          <w14:ligatures w14:val="none"/>
        </w:rPr>
        <w:t>CSM penalizes concentrated single-axis activation less than CSS and is more sensitive to balanced multi-axis co-activation. Both CSS and CSM are derivative summaries of the underlying Composite Stress Coordinate; neither replaces the canonical TCSI operator for cross-cohort comparability.</w:t>
      </w:r>
    </w:p>
    <w:p w14:paraId="199E6884" w14:textId="77777777" w:rsidR="00BB7520" w:rsidRDefault="00000000">
      <w:r>
        <w:t>Because axis scores are continuous reference-standardized quantities, stress tier assignment may alternatively use a percentile-based rule anchored to the reference cohort distribution rather than an absolute numeric threshold. The composite stress burden Bᵢ = ‖ᴖᵢ‖₂ is computed for each sample and ranked against the reference cohort distribution. Percentile-based tier assignment follows:</w:t>
      </w:r>
    </w:p>
    <w:p w14:paraId="6D1C42FA" w14:textId="77777777" w:rsidR="00BB7520" w:rsidRDefault="00000000">
      <w:r>
        <w:t>Percentile-Based CSI Tier Assignment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8" w:type="dxa"/>
          <w:bottom w:w="108" w:type="dxa"/>
        </w:tblCellMar>
        <w:tblLook w:val="04A0" w:firstRow="1" w:lastRow="0" w:firstColumn="1" w:lastColumn="0" w:noHBand="0" w:noVBand="1"/>
      </w:tblPr>
      <w:tblGrid>
        <w:gridCol w:w="1862"/>
        <w:gridCol w:w="1886"/>
        <w:gridCol w:w="1490"/>
        <w:gridCol w:w="3914"/>
      </w:tblGrid>
      <w:tr w:rsidR="00BB7520" w14:paraId="20B0024B" w14:textId="77777777">
        <w:trPr>
          <w:cantSplit/>
        </w:trPr>
        <w:tc>
          <w:tcPr>
            <w:tcW w:w="0" w:type="auto"/>
          </w:tcPr>
          <w:p w14:paraId="70426568" w14:textId="77777777" w:rsidR="00BB7520" w:rsidRDefault="00000000">
            <w:r>
              <w:rPr>
                <w:b/>
              </w:rPr>
              <w:t>Tier</w:t>
            </w:r>
          </w:p>
        </w:tc>
        <w:tc>
          <w:tcPr>
            <w:tcW w:w="0" w:type="auto"/>
          </w:tcPr>
          <w:p w14:paraId="3E3938E6" w14:textId="77777777" w:rsidR="00BB7520" w:rsidRDefault="00000000">
            <w:r>
              <w:rPr>
                <w:b/>
              </w:rPr>
              <w:t>Percentile Range</w:t>
            </w:r>
          </w:p>
        </w:tc>
        <w:tc>
          <w:tcPr>
            <w:tcW w:w="0" w:type="auto"/>
          </w:tcPr>
          <w:p w14:paraId="34489B9C" w14:textId="77777777" w:rsidR="00BB7520" w:rsidRDefault="00000000">
            <w:r>
              <w:rPr>
                <w:b/>
              </w:rPr>
              <w:t>Label</w:t>
            </w:r>
          </w:p>
        </w:tc>
        <w:tc>
          <w:tcPr>
            <w:tcW w:w="0" w:type="auto"/>
          </w:tcPr>
          <w:p w14:paraId="60867128" w14:textId="77777777" w:rsidR="00BB7520" w:rsidRDefault="00000000">
            <w:r>
              <w:rPr>
                <w:b/>
              </w:rPr>
              <w:t>Interpretation</w:t>
            </w:r>
          </w:p>
        </w:tc>
      </w:tr>
      <w:tr w:rsidR="00BB7520" w14:paraId="7C67F3D6" w14:textId="77777777">
        <w:trPr>
          <w:cantSplit/>
        </w:trPr>
        <w:tc>
          <w:tcPr>
            <w:tcW w:w="0" w:type="auto"/>
          </w:tcPr>
          <w:p w14:paraId="1B54CD44" w14:textId="77777777" w:rsidR="00BB7520" w:rsidRDefault="00000000">
            <w:r>
              <w:t>CSI-Low</w:t>
            </w:r>
          </w:p>
        </w:tc>
        <w:tc>
          <w:tcPr>
            <w:tcW w:w="0" w:type="auto"/>
          </w:tcPr>
          <w:p w14:paraId="1F537143" w14:textId="77777777" w:rsidR="00BB7520" w:rsidRDefault="00000000">
            <w:r>
              <w:t>0–25th</w:t>
            </w:r>
          </w:p>
        </w:tc>
        <w:tc>
          <w:tcPr>
            <w:tcW w:w="0" w:type="auto"/>
          </w:tcPr>
          <w:p w14:paraId="5F2CDCB9" w14:textId="77777777" w:rsidR="00BB7520" w:rsidRDefault="00000000">
            <w:r>
              <w:t>Low</w:t>
            </w:r>
          </w:p>
        </w:tc>
        <w:tc>
          <w:tcPr>
            <w:tcW w:w="0" w:type="auto"/>
          </w:tcPr>
          <w:p w14:paraId="571C86B0" w14:textId="77777777" w:rsidR="00BB7520" w:rsidRDefault="00000000">
            <w:r>
              <w:t>Minimal coordinated stress activation</w:t>
            </w:r>
          </w:p>
        </w:tc>
      </w:tr>
      <w:tr w:rsidR="00BB7520" w14:paraId="73A2105F" w14:textId="77777777">
        <w:trPr>
          <w:cantSplit/>
        </w:trPr>
        <w:tc>
          <w:tcPr>
            <w:tcW w:w="0" w:type="auto"/>
          </w:tcPr>
          <w:p w14:paraId="3B025A25" w14:textId="77777777" w:rsidR="00BB7520" w:rsidRDefault="00000000">
            <w:r>
              <w:t>CSI-Intermediate</w:t>
            </w:r>
          </w:p>
        </w:tc>
        <w:tc>
          <w:tcPr>
            <w:tcW w:w="0" w:type="auto"/>
          </w:tcPr>
          <w:p w14:paraId="64490B97" w14:textId="77777777" w:rsidR="00BB7520" w:rsidRDefault="00000000">
            <w:r>
              <w:t>25th–75th</w:t>
            </w:r>
          </w:p>
        </w:tc>
        <w:tc>
          <w:tcPr>
            <w:tcW w:w="0" w:type="auto"/>
          </w:tcPr>
          <w:p w14:paraId="614E8B00" w14:textId="77777777" w:rsidR="00BB7520" w:rsidRDefault="00000000">
            <w:r>
              <w:t>Intermediate</w:t>
            </w:r>
          </w:p>
        </w:tc>
        <w:tc>
          <w:tcPr>
            <w:tcW w:w="0" w:type="auto"/>
          </w:tcPr>
          <w:p w14:paraId="1D377577" w14:textId="77777777" w:rsidR="00BB7520" w:rsidRDefault="00000000">
            <w:r>
              <w:t>Moderate coordinated stress</w:t>
            </w:r>
          </w:p>
        </w:tc>
      </w:tr>
      <w:tr w:rsidR="00BB7520" w14:paraId="265F7073" w14:textId="77777777">
        <w:trPr>
          <w:cantSplit/>
        </w:trPr>
        <w:tc>
          <w:tcPr>
            <w:tcW w:w="0" w:type="auto"/>
          </w:tcPr>
          <w:p w14:paraId="2B5B0AEB" w14:textId="77777777" w:rsidR="00BB7520" w:rsidRDefault="00000000">
            <w:r>
              <w:t>CSI-High</w:t>
            </w:r>
          </w:p>
        </w:tc>
        <w:tc>
          <w:tcPr>
            <w:tcW w:w="0" w:type="auto"/>
          </w:tcPr>
          <w:p w14:paraId="5EBE9D54" w14:textId="77777777" w:rsidR="00BB7520" w:rsidRDefault="00000000">
            <w:r>
              <w:t>75th–90th</w:t>
            </w:r>
          </w:p>
        </w:tc>
        <w:tc>
          <w:tcPr>
            <w:tcW w:w="0" w:type="auto"/>
          </w:tcPr>
          <w:p w14:paraId="51A6960D" w14:textId="77777777" w:rsidR="00BB7520" w:rsidRDefault="00000000">
            <w:r>
              <w:t>High</w:t>
            </w:r>
          </w:p>
        </w:tc>
        <w:tc>
          <w:tcPr>
            <w:tcW w:w="0" w:type="auto"/>
          </w:tcPr>
          <w:p w14:paraId="7ED75832" w14:textId="77777777" w:rsidR="00BB7520" w:rsidRDefault="00000000">
            <w:r>
              <w:t>Elevated multi-axis stress burden</w:t>
            </w:r>
          </w:p>
        </w:tc>
      </w:tr>
      <w:tr w:rsidR="00BB7520" w14:paraId="78FEEC6B" w14:textId="77777777">
        <w:trPr>
          <w:cantSplit/>
        </w:trPr>
        <w:tc>
          <w:tcPr>
            <w:tcW w:w="0" w:type="auto"/>
          </w:tcPr>
          <w:p w14:paraId="3669B00A" w14:textId="77777777" w:rsidR="00BB7520" w:rsidRDefault="00000000">
            <w:r>
              <w:lastRenderedPageBreak/>
              <w:t>CSI-Extreme</w:t>
            </w:r>
          </w:p>
        </w:tc>
        <w:tc>
          <w:tcPr>
            <w:tcW w:w="0" w:type="auto"/>
          </w:tcPr>
          <w:p w14:paraId="0F933552" w14:textId="77777777" w:rsidR="00BB7520" w:rsidRDefault="00000000">
            <w:r>
              <w:t>&gt;90th</w:t>
            </w:r>
          </w:p>
        </w:tc>
        <w:tc>
          <w:tcPr>
            <w:tcW w:w="0" w:type="auto"/>
          </w:tcPr>
          <w:p w14:paraId="1D713B6C" w14:textId="77777777" w:rsidR="00BB7520" w:rsidRDefault="00000000">
            <w:r>
              <w:t>Extreme</w:t>
            </w:r>
          </w:p>
        </w:tc>
        <w:tc>
          <w:tcPr>
            <w:tcW w:w="0" w:type="auto"/>
          </w:tcPr>
          <w:p w14:paraId="1C014D4B" w14:textId="77777777" w:rsidR="00BB7520" w:rsidRDefault="00000000">
            <w:r>
              <w:t>Maximal coordinated stress activation</w:t>
            </w:r>
          </w:p>
        </w:tc>
      </w:tr>
    </w:tbl>
    <w:p w14:paraId="66C0AB39" w14:textId="77777777" w:rsidR="00BB7520" w:rsidRDefault="00000000">
      <w:r>
        <w:t>Percentile thresholds are computed from the frozen reference cohort R and do not change when the framework is applied to a new target cohort. This anchoring ensures that tier labels carry consistent cross-cohort meaning. In contexts where a three-tier clinical simplification is preferred, CSI-Low and CSI-Intermediate are merged into a single Low-Intermediate tier.</w:t>
      </w:r>
    </w:p>
    <w:p w14:paraId="08758832" w14:textId="77777777" w:rsidR="00BB7520" w:rsidRDefault="00000000">
      <w:r>
        <w:t>Together, Bᵢ, ᴖᵢ, Domᵢ, and Entᵢ constitute the full decomposed stress profile of sample i. The canonical scalar TCSI is a linear summary of Bᵢ; the decomposed metrics provide the biological interpretation layer that a scalar index cannot supply.</w:t>
      </w:r>
    </w:p>
    <w:p w14:paraId="1FF69B84" w14:textId="77777777" w:rsidR="00BB7520" w:rsidRDefault="00000000">
      <w:r>
        <w:t>where pᵢₖ = z̃ᵢₖ / Σₖ z̃ᵢₖ (computed on non-negative standardized scores after flooring at zero). Entᵢ = 0 indicates a single dominant axis; Entᵢ = 1 indicates perfectly uniform activation across all five axes. High entropy paired with high burden defines the mixed high-stress phenotype; high entropy paired with low burden may indicate measurement noise rather than a genuine biological state and should be flagged in applied analyses.</w:t>
      </w:r>
    </w:p>
    <w:p w14:paraId="52B8D704" w14:textId="77777777" w:rsidR="00BB7520" w:rsidRDefault="00000000">
      <w:r>
        <w:t>Entᵢ = −Σₖ pᵢₖ log(pᵢₖ) / log(5)</w:t>
      </w:r>
    </w:p>
    <w:p w14:paraId="181D99E9" w14:textId="77777777" w:rsidR="00BB7520" w:rsidRDefault="00000000">
      <w:r>
        <w:rPr>
          <w:b/>
          <w:i/>
        </w:rPr>
        <w:t xml:space="preserve">Stress diversity </w:t>
      </w:r>
      <w:r>
        <w:t>(Entᵢ) quantifies how evenly activation is distributed across axes, using normalized Shannon entropy:</w:t>
      </w:r>
    </w:p>
    <w:p w14:paraId="42A630DF" w14:textId="77777777" w:rsidR="00BB7520" w:rsidRDefault="00000000">
      <w:r>
        <w:rPr>
          <w:b/>
        </w:rPr>
        <w:t xml:space="preserve">Tie-handling rule. </w:t>
      </w:r>
      <w:r>
        <w:t>When two or more axes differ by less than a tolerance δ = 0.25 reference standard deviations, a combined dominant phenotype label is assigned (e.g., Hypoxic-Glycolytic dominant). When three or more axes simultaneously exceed the 75th percentile of the reference distribution, a mixed high-stress phenotype is assigned regardless of the maximum axis identity.</w:t>
      </w:r>
    </w:p>
    <w:p w14:paraId="7CADC1CF" w14:textId="77777777" w:rsidR="00BB7520" w:rsidRDefault="00000000">
      <w:r>
        <w:t>Domᵢ = argmaxₖ z̃ᵢₖ</w:t>
      </w:r>
    </w:p>
    <w:p w14:paraId="30F12A7F" w14:textId="77777777" w:rsidR="00BB7520" w:rsidRDefault="00000000">
      <w:r>
        <w:rPr>
          <w:b/>
          <w:i/>
        </w:rPr>
        <w:t xml:space="preserve">Stress dominance </w:t>
      </w:r>
      <w:r>
        <w:t>(Domᵢ) identifies the axis carrying the highest activation:</w:t>
      </w:r>
    </w:p>
    <w:p w14:paraId="2EF80D33" w14:textId="2C98D05C" w:rsidR="00BB7520" w:rsidRDefault="00000000">
      <w:r>
        <w:t>Two samples with identical Bᵢ may occupy entirely different positions in stress state space if their direction vectors differ</w:t>
      </w:r>
      <w:r w:rsidR="00016E56">
        <w:t xml:space="preserve">, </w:t>
      </w:r>
      <w:r>
        <w:t>one hypoxic-metabolic dominant, another inflammation-dominant. This distinction is invisible to a scalar index and is a primary motivation for the coordinate representation introduced in Definition 2.3.</w:t>
      </w:r>
    </w:p>
    <w:p w14:paraId="7D1F26CE" w14:textId="77777777" w:rsidR="00BB7520" w:rsidRDefault="00000000">
      <w:r>
        <w:t>ᴖᵢ = ᴖᵢ / ‖ᴖᵢ‖₂</w:t>
      </w:r>
    </w:p>
    <w:p w14:paraId="2F209F67" w14:textId="77777777" w:rsidR="00BB7520" w:rsidRDefault="00000000">
      <w:r>
        <w:rPr>
          <w:b/>
          <w:i/>
        </w:rPr>
        <w:t xml:space="preserve">Stress direction </w:t>
      </w:r>
      <w:r>
        <w:t>(ᴖᵢ) is the unit vector encoding the relative composition of stress activation across axes, independent of magnitude:</w:t>
      </w:r>
    </w:p>
    <w:p w14:paraId="119001EC" w14:textId="77777777" w:rsidR="00BB7520" w:rsidRDefault="00000000">
      <w:r>
        <w:t>This quantity captures the overall intensity of coordinated stress-pathway activation and is the basis for percentile-based tier assignment defined above.</w:t>
      </w:r>
    </w:p>
    <w:p w14:paraId="5CA6637E" w14:textId="77777777" w:rsidR="00BB7520" w:rsidRDefault="00000000">
      <w:r>
        <w:t>Bᵢ = √(HYPᵢ² + GLYᵢ² + ANGᵢ² + ROSᵢ² + INFᵢ²)</w:t>
      </w:r>
    </w:p>
    <w:p w14:paraId="7643D1C8" w14:textId="77777777" w:rsidR="00BB7520" w:rsidRDefault="00000000">
      <w:r>
        <w:rPr>
          <w:b/>
          <w:i/>
        </w:rPr>
        <w:t xml:space="preserve">Stress burden </w:t>
      </w:r>
      <w:r>
        <w:t>(Bᵢ) quantifies total coordinated stress magnitude as the Euclidean norm of the stress vector:</w:t>
      </w:r>
    </w:p>
    <w:p w14:paraId="22D3CCE9" w14:textId="77777777" w:rsidR="00BB7520" w:rsidRDefault="00000000">
      <w:r>
        <w:lastRenderedPageBreak/>
        <w:t>A key conceptual contribution of the CSI framework is the separation of composite stress into four complementary output quantities that together provide a richer characterization of a sample’s stress state than a scalar index alone. These metrics are derived from the Composite Stress Coordinate ᴖᵢ and provide the full decomposed stress profile for any sample.</w:t>
      </w:r>
    </w:p>
    <w:p w14:paraId="3268C5A9" w14:textId="77777777" w:rsidR="00BB7520" w:rsidRDefault="00000000">
      <w:r>
        <w:rPr>
          <w:b/>
        </w:rPr>
        <w:t>2.5.3 Decomposed Stress Metrics: Burden, Direction, Dominance, and Diversity.</w:t>
      </w:r>
    </w:p>
    <w:p w14:paraId="7873B504"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Definition 2.6. Versioned deployment specification.</w:t>
      </w:r>
      <w:r>
        <w:rPr>
          <w:rFonts w:ascii="Times New Roman" w:eastAsia="Times New Roman" w:hAnsi="Times New Roman" w:cs="Times New Roman"/>
          <w:color w:val="000000" w:themeColor="text1"/>
          <w:kern w:val="0"/>
          <w:lang w:bidi="ar-SA"/>
          <w14:ligatures w14:val="none"/>
        </w:rPr>
        <w:br/>
        <w:t>The complete locked deployment specification for TCSI-v1 is</w:t>
      </w:r>
    </w:p>
    <w:p w14:paraId="09F44561"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w:rPr>
              <w:rFonts w:ascii="Cambria Math" w:eastAsia="Times New Roman" w:hAnsi="Cambria Math" w:cs="Times New Roman"/>
              <w:color w:val="000000" w:themeColor="text1"/>
              <w:kern w:val="0"/>
              <w:lang w:bidi="ar-SA"/>
              <w14:ligatures w14:val="none"/>
            </w:rPr>
            <m:t>F=</m:t>
          </m:r>
          <m:d>
            <m:dPr>
              <m:sepChr m:val=","/>
              <m:ctrlPr>
                <w:rPr>
                  <w:rFonts w:ascii="Cambria Math" w:eastAsia="Times New Roman" w:hAnsi="Cambria Math" w:cs="Times New Roman"/>
                  <w:color w:val="000000" w:themeColor="text1"/>
                  <w:kern w:val="0"/>
                  <w:lang w:bidi="ar-SA"/>
                  <w14:ligatures w14:val="none"/>
                </w:rPr>
              </m:ctrlPr>
            </m:dPr>
            <m:e>
              <m:r>
                <w:rPr>
                  <w:rFonts w:ascii="Cambria Math" w:eastAsia="Times New Roman" w:hAnsi="Cambria Math" w:cs="Times New Roman"/>
                  <w:color w:val="000000" w:themeColor="text1"/>
                  <w:kern w:val="0"/>
                  <w:lang w:bidi="ar-SA"/>
                  <w14:ligatures w14:val="none"/>
                </w:rPr>
                <m:t>G</m:t>
              </m:r>
            </m:e>
            <m:e>
              <m:r>
                <w:rPr>
                  <w:rFonts w:ascii="Cambria Math" w:eastAsia="Times New Roman" w:hAnsi="Cambria Math" w:cs="Times New Roman"/>
                  <w:color w:val="000000" w:themeColor="text1"/>
                  <w:kern w:val="0"/>
                  <w:lang w:bidi="ar-SA"/>
                  <w14:ligatures w14:val="none"/>
                </w:rPr>
                <m:t>H</m:t>
              </m:r>
            </m:e>
            <m:e>
              <m:r>
                <m:rPr>
                  <m:sty m:val="p"/>
                </m:rPr>
                <w:rPr>
                  <w:rFonts w:ascii="Cambria Math" w:eastAsia="Times New Roman" w:hAnsi="Cambria Math" w:cs="Times New Roman"/>
                  <w:color w:val="000000" w:themeColor="text1"/>
                  <w:kern w:val="0"/>
                  <w:lang w:bidi="ar-SA"/>
                  <w14:ligatures w14:val="none"/>
                </w:rPr>
                <m:t>Π</m:t>
              </m:r>
            </m:e>
            <m:e>
              <m:r>
                <m:rPr>
                  <m:sty m:val="p"/>
                </m:rPr>
                <w:rPr>
                  <w:rFonts w:ascii="Cambria Math" w:eastAsia="Times New Roman" w:hAnsi="Cambria Math" w:cs="Times New Roman"/>
                  <w:color w:val="000000" w:themeColor="text1"/>
                  <w:kern w:val="0"/>
                  <w:lang w:bidi="ar-SA"/>
                  <w14:ligatures w14:val="none"/>
                </w:rPr>
                <m:t>Ψ</m:t>
              </m:r>
            </m:e>
            <m:e>
              <m:r>
                <w:rPr>
                  <w:rFonts w:ascii="Cambria Math" w:eastAsia="Times New Roman" w:hAnsi="Cambria Math" w:cs="Times New Roman"/>
                  <w:color w:val="000000" w:themeColor="text1"/>
                  <w:kern w:val="0"/>
                  <w:lang w:bidi="ar-SA"/>
                  <w14:ligatures w14:val="none"/>
                </w:rPr>
                <m:t>R</m:t>
              </m:r>
            </m:e>
            <m:e>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e>
            <m:e>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e>
            <m:e>
              <m:r>
                <w:rPr>
                  <w:rFonts w:ascii="Cambria Math" w:eastAsia="Times New Roman" w:hAnsi="Cambria Math" w:cs="Times New Roman"/>
                  <w:color w:val="000000" w:themeColor="text1"/>
                  <w:kern w:val="0"/>
                  <w:lang w:bidi="ar-SA"/>
                  <w14:ligatures w14:val="none"/>
                </w:rPr>
                <m:t>w</m:t>
              </m:r>
            </m:e>
          </m:d>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7B165581"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Here, </w:t>
      </w:r>
      <m:oMath>
        <m:r>
          <w:rPr>
            <w:rFonts w:ascii="Cambria Math" w:eastAsia="Times New Roman" w:hAnsi="Cambria Math" w:cs="Times New Roman"/>
            <w:color w:val="000000" w:themeColor="text1"/>
            <w:kern w:val="0"/>
            <w:lang w:bidi="ar-SA"/>
            <w14:ligatures w14:val="none"/>
          </w:rPr>
          <m:t xml:space="preserve">G </m:t>
        </m:r>
      </m:oMath>
      <w:r>
        <w:rPr>
          <w:rFonts w:ascii="Times New Roman" w:eastAsia="Times New Roman" w:hAnsi="Times New Roman" w:cs="Times New Roman"/>
          <w:color w:val="000000" w:themeColor="text1"/>
          <w:kern w:val="0"/>
          <w:lang w:bidi="ar-SA"/>
          <w14:ligatures w14:val="none"/>
        </w:rPr>
        <w:t xml:space="preserve">denotes the gene universe or feature set, </w:t>
      </w:r>
      <m:oMath>
        <m:r>
          <w:rPr>
            <w:rFonts w:ascii="Cambria Math" w:eastAsia="Times New Roman" w:hAnsi="Cambria Math" w:cs="Times New Roman"/>
            <w:color w:val="000000" w:themeColor="text1"/>
            <w:kern w:val="0"/>
            <w:lang w:bidi="ar-SA"/>
            <w14:ligatures w14:val="none"/>
          </w:rPr>
          <m:t xml:space="preserve">H </m:t>
        </m:r>
      </m:oMath>
      <w:r>
        <w:rPr>
          <w:rFonts w:ascii="Times New Roman" w:eastAsia="Times New Roman" w:hAnsi="Times New Roman" w:cs="Times New Roman"/>
          <w:color w:val="000000" w:themeColor="text1"/>
          <w:kern w:val="0"/>
          <w:lang w:bidi="ar-SA"/>
          <w14:ligatures w14:val="none"/>
        </w:rPr>
        <w:t xml:space="preserve">the harmonization map, </w:t>
      </w:r>
      <m:oMath>
        <m:r>
          <m:rPr>
            <m:sty m:val="p"/>
          </m:rPr>
          <w:rPr>
            <w:rFonts w:ascii="Cambria Math" w:eastAsia="Times New Roman" w:hAnsi="Cambria Math" w:cs="Times New Roman"/>
            <w:color w:val="000000" w:themeColor="text1"/>
            <w:kern w:val="0"/>
            <w:lang w:bidi="ar-SA"/>
            <w14:ligatures w14:val="none"/>
          </w:rPr>
          <m:t xml:space="preserve">Π </m:t>
        </m:r>
      </m:oMath>
      <w:r>
        <w:rPr>
          <w:rFonts w:ascii="Times New Roman" w:eastAsia="Times New Roman" w:hAnsi="Times New Roman" w:cs="Times New Roman"/>
          <w:color w:val="000000" w:themeColor="text1"/>
          <w:kern w:val="0"/>
          <w:lang w:bidi="ar-SA"/>
          <w14:ligatures w14:val="none"/>
        </w:rPr>
        <w:t xml:space="preserve">the curated pathway family, </w:t>
      </w:r>
      <m:oMath>
        <m:r>
          <m:rPr>
            <m:sty m:val="p"/>
          </m:rPr>
          <w:rPr>
            <w:rFonts w:ascii="Cambria Math" w:eastAsia="Times New Roman" w:hAnsi="Cambria Math" w:cs="Times New Roman"/>
            <w:color w:val="000000" w:themeColor="text1"/>
            <w:kern w:val="0"/>
            <w:lang w:bidi="ar-SA"/>
            <w14:ligatures w14:val="none"/>
          </w:rPr>
          <m:t xml:space="preserve">Ψ </m:t>
        </m:r>
      </m:oMath>
      <w:r>
        <w:rPr>
          <w:rFonts w:ascii="Times New Roman" w:eastAsia="Times New Roman" w:hAnsi="Times New Roman" w:cs="Times New Roman"/>
          <w:color w:val="000000" w:themeColor="text1"/>
          <w:kern w:val="0"/>
          <w:lang w:bidi="ar-SA"/>
          <w14:ligatures w14:val="none"/>
        </w:rPr>
        <w:t xml:space="preserve">the pathway-scoring map, </w:t>
      </w:r>
      <m:oMath>
        <m:r>
          <w:rPr>
            <w:rFonts w:ascii="Cambria Math" w:eastAsia="Times New Roman" w:hAnsi="Cambria Math" w:cs="Times New Roman"/>
            <w:color w:val="000000" w:themeColor="text1"/>
            <w:kern w:val="0"/>
            <w:lang w:bidi="ar-SA"/>
            <w14:ligatures w14:val="none"/>
          </w:rPr>
          <m:t xml:space="preserve">R </m:t>
        </m:r>
      </m:oMath>
      <w:r>
        <w:rPr>
          <w:rFonts w:ascii="Times New Roman" w:eastAsia="Times New Roman" w:hAnsi="Times New Roman" w:cs="Times New Roman"/>
          <w:color w:val="000000" w:themeColor="text1"/>
          <w:kern w:val="0"/>
          <w:lang w:bidi="ar-SA"/>
          <w14:ligatures w14:val="none"/>
        </w:rPr>
        <w:t xml:space="preserve">the frozen reference cohort,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oMath>
      <w:r>
        <w:rPr>
          <w:rFonts w:ascii="Times New Roman" w:eastAsia="Times New Roman" w:hAnsi="Times New Roman" w:cs="Times New Roman"/>
          <w:color w:val="000000" w:themeColor="text1"/>
          <w:kern w:val="0"/>
          <w:lang w:bidi="ar-SA"/>
          <w14:ligatures w14:val="none"/>
        </w:rPr>
        <w:t xml:space="preserve">and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r>
          <w:rPr>
            <w:rFonts w:ascii="Cambria Math" w:eastAsia="Times New Roman" w:hAnsi="Cambria Math" w:cs="Times New Roman"/>
            <w:color w:val="000000" w:themeColor="text1"/>
            <w:kern w:val="0"/>
            <w:lang w:bidi="ar-SA"/>
            <w14:ligatures w14:val="none"/>
          </w:rPr>
          <m:t xml:space="preserve"> </m:t>
        </m:r>
      </m:oMath>
      <w:r>
        <w:rPr>
          <w:rFonts w:ascii="Times New Roman" w:eastAsia="Times New Roman" w:hAnsi="Times New Roman" w:cs="Times New Roman"/>
          <w:color w:val="000000" w:themeColor="text1"/>
          <w:kern w:val="0"/>
          <w:lang w:bidi="ar-SA"/>
          <w14:ligatures w14:val="none"/>
        </w:rPr>
        <w:t xml:space="preserve">the frozen standardization parameters, and </w:t>
      </w:r>
      <m:oMath>
        <m:r>
          <w:rPr>
            <w:rFonts w:ascii="Cambria Math" w:eastAsia="Times New Roman" w:hAnsi="Cambria Math" w:cs="Times New Roman"/>
            <w:color w:val="000000" w:themeColor="text1"/>
            <w:kern w:val="0"/>
            <w:lang w:bidi="ar-SA"/>
            <w14:ligatures w14:val="none"/>
          </w:rPr>
          <m:t xml:space="preserve">w </m:t>
        </m:r>
      </m:oMath>
      <w:r>
        <w:rPr>
          <w:rFonts w:ascii="Times New Roman" w:eastAsia="Times New Roman" w:hAnsi="Times New Roman" w:cs="Times New Roman"/>
          <w:color w:val="000000" w:themeColor="text1"/>
          <w:kern w:val="0"/>
          <w:lang w:bidi="ar-SA"/>
          <w14:ligatures w14:val="none"/>
        </w:rPr>
        <w:t>the projection vector.</w:t>
      </w:r>
    </w:p>
    <w:p w14:paraId="22DB29B4"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Given </w:t>
      </w:r>
      <m:oMath>
        <m:r>
          <w:rPr>
            <w:rFonts w:ascii="Cambria Math" w:eastAsia="Times New Roman" w:hAnsi="Cambria Math" w:cs="Times New Roman"/>
            <w:color w:val="000000" w:themeColor="text1"/>
            <w:kern w:val="0"/>
            <w:lang w:bidi="ar-SA"/>
            <w14:ligatures w14:val="none"/>
          </w:rPr>
          <m:t>F</m:t>
        </m:r>
      </m:oMath>
      <w:r>
        <w:rPr>
          <w:rFonts w:ascii="Times New Roman" w:eastAsia="Times New Roman" w:hAnsi="Times New Roman" w:cs="Times New Roman"/>
          <w:color w:val="000000" w:themeColor="text1"/>
          <w:kern w:val="0"/>
          <w:lang w:bidi="ar-SA"/>
          <w14:ligatures w14:val="none"/>
        </w:rPr>
        <w:t xml:space="preserve">, the TCSI score is deterministic for any compatible input. Any change to </w:t>
      </w:r>
      <m:oMath>
        <m:r>
          <w:rPr>
            <w:rFonts w:ascii="Cambria Math" w:eastAsia="Times New Roman" w:hAnsi="Cambria Math" w:cs="Times New Roman"/>
            <w:color w:val="000000" w:themeColor="text1"/>
            <w:kern w:val="0"/>
            <w:lang w:bidi="ar-SA"/>
            <w14:ligatures w14:val="none"/>
          </w:rPr>
          <m:t>G</m:t>
        </m:r>
      </m:oMath>
      <w:r>
        <w:rPr>
          <w:rFonts w:ascii="Times New Roman" w:eastAsia="Times New Roman" w:hAnsi="Times New Roman" w:cs="Times New Roman"/>
          <w:color w:val="000000" w:themeColor="text1"/>
          <w:kern w:val="0"/>
          <w:lang w:bidi="ar-SA"/>
          <w14:ligatures w14:val="none"/>
        </w:rPr>
        <w:t xml:space="preserve">, </w:t>
      </w:r>
      <m:oMath>
        <m:r>
          <w:rPr>
            <w:rFonts w:ascii="Cambria Math" w:eastAsia="Times New Roman" w:hAnsi="Cambria Math" w:cs="Times New Roman"/>
            <w:color w:val="000000" w:themeColor="text1"/>
            <w:kern w:val="0"/>
            <w:lang w:bidi="ar-SA"/>
            <w14:ligatures w14:val="none"/>
          </w:rPr>
          <m:t>H</m:t>
        </m:r>
      </m:oMath>
      <w:r>
        <w:rPr>
          <w:rFonts w:ascii="Times New Roman" w:eastAsia="Times New Roman" w:hAnsi="Times New Roman" w:cs="Times New Roman"/>
          <w:color w:val="000000" w:themeColor="text1"/>
          <w:kern w:val="0"/>
          <w:lang w:bidi="ar-SA"/>
          <w14:ligatures w14:val="none"/>
        </w:rPr>
        <w:t xml:space="preserve">, </w:t>
      </w:r>
      <m:oMath>
        <m:r>
          <m:rPr>
            <m:sty m:val="p"/>
          </m:rPr>
          <w:rPr>
            <w:rFonts w:ascii="Cambria Math" w:eastAsia="Times New Roman" w:hAnsi="Cambria Math" w:cs="Times New Roman"/>
            <w:color w:val="000000" w:themeColor="text1"/>
            <w:kern w:val="0"/>
            <w:lang w:bidi="ar-SA"/>
            <w14:ligatures w14:val="none"/>
          </w:rPr>
          <m:t>Π</m:t>
        </m:r>
      </m:oMath>
      <w:r>
        <w:rPr>
          <w:rFonts w:ascii="Times New Roman" w:eastAsia="Times New Roman" w:hAnsi="Times New Roman" w:cs="Times New Roman"/>
          <w:color w:val="000000" w:themeColor="text1"/>
          <w:kern w:val="0"/>
          <w:lang w:bidi="ar-SA"/>
          <w14:ligatures w14:val="none"/>
        </w:rPr>
        <w:t xml:space="preserve">, </w:t>
      </w:r>
      <m:oMath>
        <m:r>
          <m:rPr>
            <m:sty m:val="p"/>
          </m:rPr>
          <w:rPr>
            <w:rFonts w:ascii="Cambria Math" w:eastAsia="Times New Roman" w:hAnsi="Cambria Math" w:cs="Times New Roman"/>
            <w:color w:val="000000" w:themeColor="text1"/>
            <w:kern w:val="0"/>
            <w:lang w:bidi="ar-SA"/>
            <w14:ligatures w14:val="none"/>
          </w:rPr>
          <m:t>Ψ</m:t>
        </m:r>
      </m:oMath>
      <w:r>
        <w:rPr>
          <w:rFonts w:ascii="Times New Roman" w:eastAsia="Times New Roman" w:hAnsi="Times New Roman" w:cs="Times New Roman"/>
          <w:color w:val="000000" w:themeColor="text1"/>
          <w:kern w:val="0"/>
          <w:lang w:bidi="ar-SA"/>
          <w14:ligatures w14:val="none"/>
        </w:rPr>
        <w:t xml:space="preserve">, </w:t>
      </w:r>
      <m:oMath>
        <m:r>
          <w:rPr>
            <w:rFonts w:ascii="Cambria Math" w:eastAsia="Times New Roman" w:hAnsi="Cambria Math" w:cs="Times New Roman"/>
            <w:color w:val="000000" w:themeColor="text1"/>
            <w:kern w:val="0"/>
            <w:lang w:bidi="ar-SA"/>
            <w14:ligatures w14:val="none"/>
          </w:rPr>
          <m:t>R</m:t>
        </m:r>
      </m:oMath>
      <w:r>
        <w:rPr>
          <w:rFonts w:ascii="Times New Roman" w:eastAsia="Times New Roman" w:hAnsi="Times New Roman" w:cs="Times New Roman"/>
          <w:color w:val="000000" w:themeColor="text1"/>
          <w:kern w:val="0"/>
          <w:lang w:bidi="ar-SA"/>
          <w14:ligatures w14:val="none"/>
        </w:rPr>
        <w:t xml:space="preserve">,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μ</m:t>
            </m:r>
          </m:e>
          <m:sup>
            <m:r>
              <w:rPr>
                <w:rFonts w:ascii="Cambria Math" w:eastAsia="Times New Roman" w:hAnsi="Cambria Math" w:cs="Times New Roman"/>
                <w:color w:val="000000" w:themeColor="text1"/>
                <w:kern w:val="0"/>
                <w:lang w:bidi="ar-SA"/>
                <w14:ligatures w14:val="none"/>
              </w:rPr>
              <m:t>R</m:t>
            </m:r>
          </m:sup>
        </m:sSup>
      </m:oMath>
      <w:r>
        <w:rPr>
          <w:rFonts w:ascii="Times New Roman" w:eastAsia="Times New Roman" w:hAnsi="Times New Roman" w:cs="Times New Roman"/>
          <w:color w:val="000000" w:themeColor="text1"/>
          <w:kern w:val="0"/>
          <w:lang w:bidi="ar-SA"/>
          <w14:ligatures w14:val="none"/>
        </w:rPr>
        <w:t xml:space="preserve">, </w:t>
      </w:r>
      <m:oMath>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D</m:t>
            </m:r>
          </m:e>
          <m:sup>
            <m:r>
              <w:rPr>
                <w:rFonts w:ascii="Cambria Math" w:eastAsia="Times New Roman" w:hAnsi="Cambria Math" w:cs="Times New Roman"/>
                <w:color w:val="000000" w:themeColor="text1"/>
                <w:kern w:val="0"/>
                <w:lang w:bidi="ar-SA"/>
                <w14:ligatures w14:val="none"/>
              </w:rPr>
              <m:t>R</m:t>
            </m:r>
          </m:sup>
        </m:sSup>
      </m:oMath>
      <w:r>
        <w:rPr>
          <w:rFonts w:ascii="Times New Roman" w:eastAsia="Times New Roman" w:hAnsi="Times New Roman" w:cs="Times New Roman"/>
          <w:color w:val="000000" w:themeColor="text1"/>
          <w:kern w:val="0"/>
          <w:lang w:bidi="ar-SA"/>
          <w14:ligatures w14:val="none"/>
        </w:rPr>
        <w:t xml:space="preserve">, or </w:t>
      </w:r>
      <m:oMath>
        <m:r>
          <w:rPr>
            <w:rFonts w:ascii="Cambria Math" w:eastAsia="Times New Roman" w:hAnsi="Cambria Math" w:cs="Times New Roman"/>
            <w:color w:val="000000" w:themeColor="text1"/>
            <w:kern w:val="0"/>
            <w:lang w:bidi="ar-SA"/>
            <w14:ligatures w14:val="none"/>
          </w:rPr>
          <m:t xml:space="preserve">w </m:t>
        </m:r>
      </m:oMath>
      <w:r>
        <w:rPr>
          <w:rFonts w:ascii="Times New Roman" w:eastAsia="Times New Roman" w:hAnsi="Times New Roman" w:cs="Times New Roman"/>
          <w:color w:val="000000" w:themeColor="text1"/>
          <w:kern w:val="0"/>
          <w:lang w:bidi="ar-SA"/>
          <w14:ligatures w14:val="none"/>
        </w:rPr>
        <w:t>defines a new TCSI version and must be reported as such. This versioning rule is necessary to ensure that TCSI values remain reproducible and comparable across studies.</w:t>
      </w:r>
    </w:p>
    <w:p w14:paraId="4CDBB130"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Geometry.</w:t>
      </w:r>
      <w:r>
        <w:rPr>
          <w:rFonts w:ascii="Times New Roman" w:eastAsia="Times New Roman" w:hAnsi="Times New Roman" w:cs="Times New Roman"/>
          <w:color w:val="000000" w:themeColor="text1"/>
          <w:kern w:val="0"/>
          <w:lang w:bidi="ar-SA"/>
          <w14:ligatures w14:val="none"/>
        </w:rPr>
        <w:br/>
        <w:t xml:space="preserve">The scalar TCSI score partitions the reference-standardized stress space into level sets. For any constant </w:t>
      </w:r>
      <m:oMath>
        <m:r>
          <w:rPr>
            <w:rFonts w:ascii="Cambria Math" w:eastAsia="Times New Roman" w:hAnsi="Cambria Math" w:cs="Times New Roman"/>
            <w:color w:val="000000" w:themeColor="text1"/>
            <w:kern w:val="0"/>
            <w:lang w:bidi="ar-SA"/>
            <w14:ligatures w14:val="none"/>
          </w:rPr>
          <m:t>c</m:t>
        </m:r>
      </m:oMath>
      <w:r>
        <w:rPr>
          <w:rFonts w:ascii="Times New Roman" w:eastAsia="Times New Roman" w:hAnsi="Times New Roman" w:cs="Times New Roman"/>
          <w:color w:val="000000" w:themeColor="text1"/>
          <w:kern w:val="0"/>
          <w:lang w:bidi="ar-SA"/>
          <w14:ligatures w14:val="none"/>
        </w:rPr>
        <w:t>, the corresponding level set is</w:t>
      </w:r>
    </w:p>
    <w:p w14:paraId="23294D44" w14:textId="77777777" w:rsidR="001F255F" w:rsidRPr="00CA61FE" w:rsidRDefault="00000000"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L</m:t>
              </m:r>
            </m:e>
            <m:sub>
              <m:r>
                <w:rPr>
                  <w:rFonts w:ascii="Cambria Math" w:eastAsia="Times New Roman" w:hAnsi="Cambria Math" w:cs="Times New Roman"/>
                  <w:color w:val="000000" w:themeColor="text1"/>
                  <w:kern w:val="0"/>
                  <w:lang w:bidi="ar-SA"/>
                  <w14:ligatures w14:val="none"/>
                </w:rPr>
                <m:t>c</m:t>
              </m:r>
            </m:sub>
          </m:sSub>
          <m:r>
            <w:rPr>
              <w:rFonts w:ascii="Cambria Math" w:eastAsia="Times New Roman" w:hAnsi="Cambria Math" w:cs="Times New Roman"/>
              <w:color w:val="000000" w:themeColor="text1"/>
              <w:kern w:val="0"/>
              <w:lang w:bidi="ar-SA"/>
              <w14:ligatures w14:val="none"/>
            </w:rPr>
            <m:t>=</m:t>
          </m:r>
          <m:d>
            <m:dPr>
              <m:begChr m:val="{"/>
              <m:endChr m:val="}"/>
              <m:ctrlPr>
                <w:rPr>
                  <w:rFonts w:ascii="Cambria Math" w:eastAsia="Times New Roman" w:hAnsi="Cambria Math" w:cs="Times New Roman"/>
                  <w:color w:val="000000" w:themeColor="text1"/>
                  <w:kern w:val="0"/>
                  <w:lang w:bidi="ar-SA"/>
                  <w14:ligatures w14:val="none"/>
                </w:rPr>
              </m:ctrlPr>
            </m:dPr>
            <m:e>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z</m:t>
                  </m:r>
                </m:e>
                <m:sup>
                  <m:r>
                    <w:rPr>
                      <w:rFonts w:ascii="Cambria Math" w:eastAsia="Times New Roman" w:hAnsi="Cambria Math" w:cs="Times New Roman"/>
                      <w:color w:val="000000" w:themeColor="text1"/>
                      <w:kern w:val="0"/>
                      <w:lang w:bidi="ar-SA"/>
                      <w14:ligatures w14:val="none"/>
                    </w:rPr>
                    <m:t>*</m:t>
                  </m:r>
                </m:sup>
              </m:sSup>
              <m:r>
                <w:rPr>
                  <w:rFonts w:ascii="Cambria Math" w:eastAsia="Times New Roman" w:hAnsi="Cambria Math" w:cs="Times New Roman"/>
                  <w:color w:val="000000" w:themeColor="text1"/>
                  <w:kern w:val="0"/>
                  <w:lang w:bidi="ar-SA"/>
                  <w14:ligatures w14:val="none"/>
                </w:rPr>
                <m:t>:</m:t>
              </m:r>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w</m:t>
                  </m:r>
                </m:e>
                <m:sup>
                  <m:r>
                    <w:rPr>
                      <w:rFonts w:ascii="Cambria Math" w:eastAsia="Times New Roman" w:hAnsi="Cambria Math" w:cs="Times New Roman"/>
                      <w:color w:val="000000" w:themeColor="text1"/>
                      <w:kern w:val="0"/>
                      <w:lang w:bidi="ar-SA"/>
                      <w14:ligatures w14:val="none"/>
                    </w:rPr>
                    <m:t>T</m:t>
                  </m:r>
                </m:sup>
              </m:sSup>
              <m:sSup>
                <m:sSupPr>
                  <m:ctrlPr>
                    <w:rPr>
                      <w:rFonts w:ascii="Cambria Math" w:eastAsia="Times New Roman" w:hAnsi="Cambria Math" w:cs="Times New Roman"/>
                      <w:color w:val="000000" w:themeColor="text1"/>
                      <w:kern w:val="0"/>
                      <w:lang w:bidi="ar-SA"/>
                      <w14:ligatures w14:val="none"/>
                    </w:rPr>
                  </m:ctrlPr>
                </m:sSupPr>
                <m:e>
                  <m:r>
                    <w:rPr>
                      <w:rFonts w:ascii="Cambria Math" w:eastAsia="Times New Roman" w:hAnsi="Cambria Math" w:cs="Times New Roman"/>
                      <w:color w:val="000000" w:themeColor="text1"/>
                      <w:kern w:val="0"/>
                      <w:lang w:bidi="ar-SA"/>
                      <w14:ligatures w14:val="none"/>
                    </w:rPr>
                    <m:t>z</m:t>
                  </m:r>
                </m:e>
                <m:sup>
                  <m:r>
                    <w:rPr>
                      <w:rFonts w:ascii="Cambria Math" w:eastAsia="Times New Roman" w:hAnsi="Cambria Math" w:cs="Times New Roman"/>
                      <w:color w:val="000000" w:themeColor="text1"/>
                      <w:kern w:val="0"/>
                      <w:lang w:bidi="ar-SA"/>
                      <w14:ligatures w14:val="none"/>
                    </w:rPr>
                    <m:t>*</m:t>
                  </m:r>
                </m:sup>
              </m:sSup>
              <m:r>
                <w:rPr>
                  <w:rFonts w:ascii="Cambria Math" w:eastAsia="Times New Roman" w:hAnsi="Cambria Math" w:cs="Times New Roman"/>
                  <w:color w:val="000000" w:themeColor="text1"/>
                  <w:kern w:val="0"/>
                  <w:lang w:bidi="ar-SA"/>
                  <w14:ligatures w14:val="none"/>
                </w:rPr>
                <m:t>=c</m:t>
              </m:r>
            </m:e>
          </m:d>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0285E07B"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Under equal weighting,</w:t>
      </w:r>
    </w:p>
    <w:p w14:paraId="650179B1"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w:rPr>
              <w:rFonts w:ascii="Cambria Math" w:eastAsia="Times New Roman" w:hAnsi="Cambria Math" w:cs="Times New Roman"/>
              <w:color w:val="000000" w:themeColor="text1"/>
              <w:kern w:val="0"/>
              <w:lang w:bidi="ar-SA"/>
              <w14:ligatures w14:val="none"/>
            </w:rPr>
            <m:t>w=</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1</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04A65F30"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these level sets are hyperplanes orthogonal to the all-ones direction. Samples on the same level set have the same TCSI value, even if their individual pathway coordinates differ. In other words, two tumors may have identical composite stress scores while showing different biological stress profiles across the underlying axes. This geometric property highlights why TCSI should be interpreted together with its decomposed pathway-level contributions.</w:t>
      </w:r>
    </w:p>
    <w:p w14:paraId="7D9E5D6B" w14:textId="77777777" w:rsidR="001F255F" w:rsidRPr="00CA61FE" w:rsidRDefault="001F255F">
      <w:pPr>
        <w:spacing w:after="282"/>
        <w:ind w:left="-5"/>
        <w:rPr>
          <w:rFonts w:ascii="Times New Roman" w:hAnsi="Times New Roman" w:cs="Times New Roman"/>
          <w:color w:val="000000" w:themeColor="text1"/>
        </w:rPr>
      </w:pPr>
    </w:p>
    <w:p w14:paraId="3F72DFC9" w14:textId="77777777" w:rsidR="00BB7520" w:rsidRDefault="00000000">
      <w:r>
        <w:rPr>
          <w:b/>
        </w:rPr>
        <w:t xml:space="preserve">Cell-of-Origin and Bulk Measurement Context. </w:t>
      </w:r>
      <w:r>
        <w:t xml:space="preserve">CSI is initially defined at the sample level and does not presume a single cell of origin. In bulk transcriptomic data, each axis score reflects the integrated transcriptional signal across all cell types present in the measured tissue — tumor </w:t>
      </w:r>
      <w:r>
        <w:lastRenderedPageBreak/>
        <w:t>cells, stromal cells, immune infiltrates, and endothelial populations. The relative cellular contributions to each axis may differ: HYP and GLY signals arise predominantly from tumor cells under oxygen and metabolic pressure; ANG signal reflects endothelial and stromal activation; INF signal is driven by infiltrating immune cells and tumor-associated macrophages; ROS signal arises from both tumor cells and myeloid populations. CSI therefore measures the tumor ecosystem stress state in bulk data rather than the stress state of any single cell compartment. Cell-type-resolved CSI implementation can be performed using single-cell RNA-seq, spatial transcriptomics, or computational deconvolution, and is formalized in the spatial extension of Section 5. Outcomes are used for validation after framework construction, not for feature selection within it.</w:t>
      </w:r>
    </w:p>
    <w:p w14:paraId="34FFFCE9" w14:textId="77777777" w:rsidR="0086321C" w:rsidRPr="00CA61FE" w:rsidRDefault="00000000" w:rsidP="000C5B1D">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Assumptions of the </w:t>
      </w:r>
      <w:r w:rsidR="001D2E52">
        <w:rPr>
          <w:rFonts w:ascii="Times New Roman" w:hAnsi="Times New Roman" w:cs="Times New Roman"/>
          <w:color w:val="000000" w:themeColor="text1"/>
          <w:sz w:val="24"/>
        </w:rPr>
        <w:t xml:space="preserve">Conventional </w:t>
      </w:r>
      <w:r>
        <w:rPr>
          <w:rFonts w:ascii="Times New Roman" w:hAnsi="Times New Roman" w:cs="Times New Roman"/>
          <w:color w:val="000000" w:themeColor="text1"/>
          <w:sz w:val="24"/>
        </w:rPr>
        <w:t>Construction</w:t>
      </w:r>
    </w:p>
    <w:p w14:paraId="5B9636C8"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 xml:space="preserve">The </w:t>
      </w:r>
      <w:r w:rsidR="001D2E52">
        <w:rPr>
          <w:rFonts w:ascii="Times New Roman" w:eastAsia="Times New Roman" w:hAnsi="Times New Roman" w:cs="Times New Roman"/>
          <w:color w:val="000000" w:themeColor="text1"/>
          <w:kern w:val="0"/>
          <w:lang w:bidi="ar-SA"/>
          <w14:ligatures w14:val="none"/>
        </w:rPr>
        <w:t xml:space="preserve">typical </w:t>
      </w:r>
      <w:r>
        <w:rPr>
          <w:rFonts w:ascii="Times New Roman" w:eastAsia="Times New Roman" w:hAnsi="Times New Roman" w:cs="Times New Roman"/>
          <w:color w:val="000000" w:themeColor="text1"/>
          <w:kern w:val="0"/>
          <w:lang w:bidi="ar-SA"/>
          <w14:ligatures w14:val="none"/>
        </w:rPr>
        <w:t>CSC/TCSI construction is based on the following explicit assumptions.</w:t>
      </w:r>
    </w:p>
    <w:p w14:paraId="2CC08314"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A1. Fixed pathway structure before evaluation.</w:t>
      </w:r>
      <w:r>
        <w:rPr>
          <w:rFonts w:ascii="Times New Roman" w:eastAsia="Times New Roman" w:hAnsi="Times New Roman" w:cs="Times New Roman"/>
          <w:color w:val="000000" w:themeColor="text1"/>
          <w:kern w:val="0"/>
          <w:lang w:bidi="ar-SA"/>
          <w14:ligatures w14:val="none"/>
        </w:rPr>
        <w:br/>
        <w:t xml:space="preserve">The number of stress axes, </w:t>
      </w:r>
      <m:oMath>
        <m:r>
          <w:rPr>
            <w:rFonts w:ascii="Cambria Math" w:eastAsia="Times New Roman" w:hAnsi="Cambria Math" w:cs="Times New Roman"/>
            <w:color w:val="000000" w:themeColor="text1"/>
            <w:kern w:val="0"/>
            <w:lang w:bidi="ar-SA"/>
            <w14:ligatures w14:val="none"/>
          </w:rPr>
          <m:t>K</m:t>
        </m:r>
      </m:oMath>
      <w:r>
        <w:rPr>
          <w:rFonts w:ascii="Times New Roman" w:eastAsia="Times New Roman" w:hAnsi="Times New Roman" w:cs="Times New Roman"/>
          <w:color w:val="000000" w:themeColor="text1"/>
          <w:kern w:val="0"/>
          <w:lang w:bidi="ar-SA"/>
          <w14:ligatures w14:val="none"/>
        </w:rPr>
        <w:t xml:space="preserve">, and the pathway gene sets, </w:t>
      </w:r>
      <m:oMath>
        <m:r>
          <m:rPr>
            <m:sty m:val="p"/>
          </m:rPr>
          <w:rPr>
            <w:rFonts w:ascii="Cambria Math" w:eastAsia="Times New Roman" w:hAnsi="Cambria Math" w:cs="Times New Roman"/>
            <w:color w:val="000000" w:themeColor="text1"/>
            <w:kern w:val="0"/>
            <w:lang w:bidi="ar-SA"/>
            <w14:ligatures w14:val="none"/>
          </w:rPr>
          <m:t>Π</m:t>
        </m:r>
      </m:oMath>
      <w:r>
        <w:rPr>
          <w:rFonts w:ascii="Times New Roman" w:eastAsia="Times New Roman" w:hAnsi="Times New Roman" w:cs="Times New Roman"/>
          <w:color w:val="000000" w:themeColor="text1"/>
          <w:kern w:val="0"/>
          <w:lang w:bidi="ar-SA"/>
          <w14:ligatures w14:val="none"/>
        </w:rPr>
        <w:t>, are fixed before any model evaluation, cohort comparison, or outcome analysis is performed.</w:t>
      </w:r>
    </w:p>
    <w:p w14:paraId="707169BC"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A2. Pre-specified pathway scorers.</w:t>
      </w:r>
      <w:r>
        <w:rPr>
          <w:rFonts w:ascii="Times New Roman" w:eastAsia="Times New Roman" w:hAnsi="Times New Roman" w:cs="Times New Roman"/>
          <w:color w:val="000000" w:themeColor="text1"/>
          <w:kern w:val="0"/>
          <w:lang w:bidi="ar-SA"/>
          <w14:ligatures w14:val="none"/>
        </w:rPr>
        <w:br/>
        <w:t xml:space="preserve">Each pathway scorer, </w:t>
      </w:r>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S</m:t>
            </m:r>
          </m:e>
          <m:sub>
            <m:r>
              <w:rPr>
                <w:rFonts w:ascii="Cambria Math" w:eastAsia="Times New Roman" w:hAnsi="Cambria Math" w:cs="Times New Roman"/>
                <w:color w:val="000000" w:themeColor="text1"/>
                <w:kern w:val="0"/>
                <w:lang w:bidi="ar-SA"/>
                <w14:ligatures w14:val="none"/>
              </w:rPr>
              <m:t>k</m:t>
            </m:r>
          </m:sub>
        </m:sSub>
      </m:oMath>
      <w:r>
        <w:rPr>
          <w:rFonts w:ascii="Times New Roman" w:eastAsia="Times New Roman" w:hAnsi="Times New Roman" w:cs="Times New Roman"/>
          <w:color w:val="000000" w:themeColor="text1"/>
          <w:kern w:val="0"/>
          <w:lang w:bidi="ar-SA"/>
          <w14:ligatures w14:val="none"/>
        </w:rPr>
        <w:t>, is specified before analysis and must belong to the defined class of admissible scorers. This prevents post hoc selection of scoring rules based on observed outcomes or desired results.</w:t>
      </w:r>
    </w:p>
    <w:p w14:paraId="49F23879"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A3. Directionally consistent stress axes.</w:t>
      </w:r>
      <w:r>
        <w:rPr>
          <w:rFonts w:ascii="Times New Roman" w:eastAsia="Times New Roman" w:hAnsi="Times New Roman" w:cs="Times New Roman"/>
          <w:color w:val="000000" w:themeColor="text1"/>
          <w:kern w:val="0"/>
          <w:lang w:bidi="ar-SA"/>
          <w14:ligatures w14:val="none"/>
        </w:rPr>
        <w:br/>
        <w:t>All pathway-axis loadings on the common stress direction are assumed to be nonnegative and directionally consistent. If some loadings are zero or negative, recovery of the latent stress state is expected to degrade monotonically as the number or magnitude of inconsistent axes increases.</w:t>
      </w:r>
    </w:p>
    <w:p w14:paraId="6C6D5870"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Diagnostic guidance for Assumption A3. </w:t>
      </w:r>
      <w:r>
        <w:rPr>
          <w:rFonts w:ascii="Times New Roman" w:hAnsi="Times New Roman" w:cs="Times New Roman"/>
          <w:color w:val="000000" w:themeColor="text1"/>
        </w:rPr>
        <w:t>The pathway loadings λ_k are not directly observable from a single target cohort. However, practitioners can obtain indirect diagnostic evidence by inspecting the reference cohort R: (i) compute the inter-pathway Pearson correlation matrix of the K pathway scores in R; if all pairwise correlations are positive and of non-negligible magnitude (e.g., &gt; 0.1), this is consistent with shared directional loading; (ii) perform a principal components analysis of the K-dimensional pathway-score matrix in R and examine the loadings of the first principal component</w:t>
      </w:r>
      <w:r w:rsidR="00965C91">
        <w:rPr>
          <w:rFonts w:ascii="Times New Roman" w:hAnsi="Times New Roman" w:cs="Times New Roman"/>
          <w:color w:val="000000" w:themeColor="text1"/>
        </w:rPr>
        <w:t xml:space="preserve">, </w:t>
      </w:r>
      <w:r>
        <w:rPr>
          <w:rFonts w:ascii="Times New Roman" w:hAnsi="Times New Roman" w:cs="Times New Roman"/>
          <w:color w:val="000000" w:themeColor="text1"/>
        </w:rPr>
        <w:t>if all K loadings on PC1 are nonnegative and of comparable magnitude, Assumption A3 is supported; (iii) compute the sign of the rank correlation between each per-axis component c_ik and the aggregate TCSI score for each sample in R</w:t>
      </w:r>
      <w:r w:rsidR="00965C91">
        <w:rPr>
          <w:rFonts w:ascii="Times New Roman" w:hAnsi="Times New Roman" w:cs="Times New Roman"/>
          <w:color w:val="000000" w:themeColor="text1"/>
        </w:rPr>
        <w:t xml:space="preserve">, </w:t>
      </w:r>
      <w:r>
        <w:rPr>
          <w:rFonts w:ascii="Times New Roman" w:hAnsi="Times New Roman" w:cs="Times New Roman"/>
          <w:color w:val="000000" w:themeColor="text1"/>
        </w:rPr>
        <w:t>all five signs should be positive. If diagnostic checks (i)–(iii) are violated for one or more axes, the offending axis should be reported and TCSI performance interpreted with caution, recognizing that Simulation 2 scenario (d) establishes r(TCSI, θ) ≥ 0.871 even under partial directional inconsistency.</w:t>
      </w:r>
    </w:p>
    <w:p w14:paraId="39E6C2C4"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A4. Equal-weight descriptive burden functional.</w:t>
      </w:r>
      <w:r>
        <w:rPr>
          <w:rFonts w:ascii="Times New Roman" w:eastAsia="Times New Roman" w:hAnsi="Times New Roman" w:cs="Times New Roman"/>
          <w:color w:val="000000" w:themeColor="text1"/>
          <w:kern w:val="0"/>
          <w:lang w:bidi="ar-SA"/>
          <w14:ligatures w14:val="none"/>
        </w:rPr>
        <w:br/>
        <w:t>Canonical TCSI uses equal, nonnegative weights</w:t>
      </w:r>
    </w:p>
    <w:p w14:paraId="64CA9944" w14:textId="77777777" w:rsidR="001F255F" w:rsidRPr="00CA61FE" w:rsidRDefault="00000000"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w</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4B66AB28"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for all stress axes. Under this construction, TCSI is an outcome-blind descriptive burden functional, not a fitted prognostic model.</w:t>
      </w:r>
    </w:p>
    <w:p w14:paraId="3CC0F51F"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A5. Sufficient gene coverage within each pathway.</w:t>
      </w:r>
      <w:r>
        <w:rPr>
          <w:rFonts w:ascii="Times New Roman" w:eastAsia="Times New Roman" w:hAnsi="Times New Roman" w:cs="Times New Roman"/>
          <w:color w:val="000000" w:themeColor="text1"/>
          <w:kern w:val="0"/>
          <w:lang w:bidi="ar-SA"/>
          <w14:ligatures w14:val="none"/>
        </w:rPr>
        <w:br/>
        <w:t>Each pathway gene set is assumed to contain a sufficient number of observed genes for stable scoring. In the canonical implementation, pathway scoring is considered stable under up to approximately 25% gene missingness per pathway, although this threshold should be reported and stress-tested in applied analyses.</w:t>
      </w:r>
    </w:p>
    <w:p w14:paraId="51888D10"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A6. Additive marginal burden structure.</w:t>
      </w:r>
      <w:r>
        <w:rPr>
          <w:rFonts w:ascii="Times New Roman" w:eastAsia="Times New Roman" w:hAnsi="Times New Roman" w:cs="Times New Roman"/>
          <w:color w:val="000000" w:themeColor="text1"/>
          <w:kern w:val="0"/>
          <w:lang w:bidi="ar-SA"/>
          <w14:ligatures w14:val="none"/>
        </w:rPr>
        <w:br/>
        <w:t>TCSI is an additive marginal burden index. It summarizes pathway-level stress burden as a weighted sum of standardized axis scores and does not, in its canonical form, model higher-order interactions among pathways.</w:t>
      </w:r>
    </w:p>
    <w:p w14:paraId="7E9880BE"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A7. No outcome labels in framework definition.</w:t>
      </w:r>
      <w:r>
        <w:rPr>
          <w:rFonts w:ascii="Times New Roman" w:eastAsia="Times New Roman" w:hAnsi="Times New Roman" w:cs="Times New Roman"/>
          <w:color w:val="000000" w:themeColor="text1"/>
          <w:kern w:val="0"/>
          <w:lang w:bidi="ar-SA"/>
          <w14:ligatures w14:val="none"/>
        </w:rPr>
        <w:br/>
        <w:t xml:space="preserve">Clinical outcome labels are not used to define </w:t>
      </w:r>
      <m:oMath>
        <m:r>
          <w:rPr>
            <w:rFonts w:ascii="Cambria Math" w:eastAsia="Times New Roman" w:hAnsi="Cambria Math" w:cs="Times New Roman"/>
            <w:color w:val="000000" w:themeColor="text1"/>
            <w:kern w:val="0"/>
            <w:lang w:bidi="ar-SA"/>
            <w14:ligatures w14:val="none"/>
          </w:rPr>
          <m:t>G</m:t>
        </m:r>
      </m:oMath>
      <w:r>
        <w:rPr>
          <w:rFonts w:ascii="Times New Roman" w:eastAsia="Times New Roman" w:hAnsi="Times New Roman" w:cs="Times New Roman"/>
          <w:color w:val="000000" w:themeColor="text1"/>
          <w:kern w:val="0"/>
          <w:lang w:bidi="ar-SA"/>
          <w14:ligatures w14:val="none"/>
        </w:rPr>
        <w:t xml:space="preserve">, </w:t>
      </w:r>
      <m:oMath>
        <m:r>
          <w:rPr>
            <w:rFonts w:ascii="Cambria Math" w:eastAsia="Times New Roman" w:hAnsi="Cambria Math" w:cs="Times New Roman"/>
            <w:color w:val="000000" w:themeColor="text1"/>
            <w:kern w:val="0"/>
            <w:lang w:bidi="ar-SA"/>
            <w14:ligatures w14:val="none"/>
          </w:rPr>
          <m:t>H</m:t>
        </m:r>
      </m:oMath>
      <w:r>
        <w:rPr>
          <w:rFonts w:ascii="Times New Roman" w:eastAsia="Times New Roman" w:hAnsi="Times New Roman" w:cs="Times New Roman"/>
          <w:color w:val="000000" w:themeColor="text1"/>
          <w:kern w:val="0"/>
          <w:lang w:bidi="ar-SA"/>
          <w14:ligatures w14:val="none"/>
        </w:rPr>
        <w:t xml:space="preserve">, </w:t>
      </w:r>
      <m:oMath>
        <m:r>
          <m:rPr>
            <m:sty m:val="p"/>
          </m:rPr>
          <w:rPr>
            <w:rFonts w:ascii="Cambria Math" w:eastAsia="Times New Roman" w:hAnsi="Cambria Math" w:cs="Times New Roman"/>
            <w:color w:val="000000" w:themeColor="text1"/>
            <w:kern w:val="0"/>
            <w:lang w:bidi="ar-SA"/>
            <w14:ligatures w14:val="none"/>
          </w:rPr>
          <m:t>Π</m:t>
        </m:r>
      </m:oMath>
      <w:r>
        <w:rPr>
          <w:rFonts w:ascii="Times New Roman" w:eastAsia="Times New Roman" w:hAnsi="Times New Roman" w:cs="Times New Roman"/>
          <w:color w:val="000000" w:themeColor="text1"/>
          <w:kern w:val="0"/>
          <w:lang w:bidi="ar-SA"/>
          <w14:ligatures w14:val="none"/>
        </w:rPr>
        <w:t xml:space="preserve">, </w:t>
      </w:r>
      <m:oMath>
        <m:r>
          <m:rPr>
            <m:sty m:val="p"/>
          </m:rPr>
          <w:rPr>
            <w:rFonts w:ascii="Cambria Math" w:eastAsia="Times New Roman" w:hAnsi="Cambria Math" w:cs="Times New Roman"/>
            <w:color w:val="000000" w:themeColor="text1"/>
            <w:kern w:val="0"/>
            <w:lang w:bidi="ar-SA"/>
            <w14:ligatures w14:val="none"/>
          </w:rPr>
          <m:t>Ψ</m:t>
        </m:r>
      </m:oMath>
      <w:r>
        <w:rPr>
          <w:rFonts w:ascii="Times New Roman" w:eastAsia="Times New Roman" w:hAnsi="Times New Roman" w:cs="Times New Roman"/>
          <w:color w:val="000000" w:themeColor="text1"/>
          <w:kern w:val="0"/>
          <w:lang w:bidi="ar-SA"/>
          <w14:ligatures w14:val="none"/>
        </w:rPr>
        <w:t xml:space="preserve">, </w:t>
      </w:r>
      <m:oMath>
        <m:r>
          <w:rPr>
            <w:rFonts w:ascii="Cambria Math" w:eastAsia="Times New Roman" w:hAnsi="Cambria Math" w:cs="Times New Roman"/>
            <w:color w:val="000000" w:themeColor="text1"/>
            <w:kern w:val="0"/>
            <w:lang w:bidi="ar-SA"/>
            <w14:ligatures w14:val="none"/>
          </w:rPr>
          <m:t>R</m:t>
        </m:r>
      </m:oMath>
      <w:r>
        <w:rPr>
          <w:rFonts w:ascii="Times New Roman" w:eastAsia="Times New Roman" w:hAnsi="Times New Roman" w:cs="Times New Roman"/>
          <w:color w:val="000000" w:themeColor="text1"/>
          <w:kern w:val="0"/>
          <w:lang w:bidi="ar-SA"/>
          <w14:ligatures w14:val="none"/>
        </w:rPr>
        <w:t xml:space="preserve">, or </w:t>
      </w:r>
      <m:oMath>
        <m:r>
          <w:rPr>
            <w:rFonts w:ascii="Cambria Math" w:eastAsia="Times New Roman" w:hAnsi="Cambria Math" w:cs="Times New Roman"/>
            <w:color w:val="000000" w:themeColor="text1"/>
            <w:kern w:val="0"/>
            <w:lang w:bidi="ar-SA"/>
            <w14:ligatures w14:val="none"/>
          </w:rPr>
          <m:t>w</m:t>
        </m:r>
      </m:oMath>
      <w:r>
        <w:rPr>
          <w:rFonts w:ascii="Times New Roman" w:eastAsia="Times New Roman" w:hAnsi="Times New Roman" w:cs="Times New Roman"/>
          <w:color w:val="000000" w:themeColor="text1"/>
          <w:kern w:val="0"/>
          <w:lang w:bidi="ar-SA"/>
          <w14:ligatures w14:val="none"/>
        </w:rPr>
        <w:t>. This ensures that the canonical TCSI framework remains descriptive and outcome-blind rather than optimized to predict a particular endpoint.</w:t>
      </w:r>
    </w:p>
    <w:p w14:paraId="3B8FE260"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b/>
          <w:bCs/>
          <w:color w:val="000000" w:themeColor="text1"/>
          <w:kern w:val="0"/>
          <w:lang w:bidi="ar-SA"/>
          <w14:ligatures w14:val="none"/>
        </w:rPr>
        <w:t>A8. Independent bulk tumor profiles.</w:t>
      </w:r>
      <w:r>
        <w:rPr>
          <w:rFonts w:ascii="Times New Roman" w:eastAsia="Times New Roman" w:hAnsi="Times New Roman" w:cs="Times New Roman"/>
          <w:color w:val="000000" w:themeColor="text1"/>
          <w:kern w:val="0"/>
          <w:lang w:bidi="ar-SA"/>
          <w14:ligatures w14:val="none"/>
        </w:rPr>
        <w:br/>
        <w:t>Samples are treated as independent bulk tumor transcriptomic profiles. Spatial, single-cell, and longitudinal extensions may relax this assumption, but such extensions must define the modified sampling unit and dependence structure explicitly.</w:t>
      </w:r>
    </w:p>
    <w:p w14:paraId="19EC3F30" w14:textId="77777777" w:rsidR="001F255F" w:rsidRPr="00CA61FE" w:rsidRDefault="001F255F" w:rsidP="0060461E">
      <w:pPr>
        <w:pStyle w:val="Heading1"/>
        <w:numPr>
          <w:ilvl w:val="0"/>
          <w:numId w:val="0"/>
        </w:numPr>
        <w:ind w:left="10"/>
        <w:rPr>
          <w:rFonts w:ascii="Times New Roman" w:eastAsia="Times New Roman" w:hAnsi="Times New Roman" w:cs="Times New Roman"/>
          <w:color w:val="000000" w:themeColor="text1"/>
          <w:sz w:val="24"/>
        </w:rPr>
      </w:pPr>
      <w:r>
        <w:rPr>
          <w:rFonts w:ascii="Times New Roman" w:hAnsi="Times New Roman" w:cs="Times New Roman"/>
          <w:color w:val="000000" w:themeColor="text1"/>
          <w:sz w:val="24"/>
        </w:rPr>
        <w:t>3. Theoretical Properties</w:t>
      </w:r>
    </w:p>
    <w:p w14:paraId="1740E4C3" w14:textId="77777777" w:rsidR="001F255F" w:rsidRPr="00CA61FE" w:rsidRDefault="001F255F" w:rsidP="001F255F">
      <w:pPr>
        <w:pStyle w:val="NormalWeb"/>
        <w:rPr>
          <w:color w:val="000000" w:themeColor="text1"/>
        </w:rPr>
      </w:pPr>
      <w:r>
        <w:rPr>
          <w:color w:val="000000" w:themeColor="text1"/>
        </w:rPr>
        <w:t>We establish six formal properties of the locked TCSI operator. Together, these properties show that the coordinate system is biologically interpretable, algebraically decomposable, computable for a single sample, comparable across reference-standardized datasets, directionally consistent, and extensible to multiscale mappings.</w:t>
      </w:r>
    </w:p>
    <w:p w14:paraId="2F94DBE4" w14:textId="77777777" w:rsidR="001F255F" w:rsidRPr="00CA61FE" w:rsidRDefault="001F255F" w:rsidP="001D16F7">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3.1 Single-Sample Computability</w:t>
      </w:r>
    </w:p>
    <w:p w14:paraId="7CC48581" w14:textId="77777777" w:rsidR="001F255F" w:rsidRPr="00CA61FE" w:rsidRDefault="001F255F" w:rsidP="001F255F">
      <w:pPr>
        <w:pStyle w:val="NormalWeb"/>
        <w:rPr>
          <w:color w:val="000000" w:themeColor="text1"/>
        </w:rPr>
      </w:pPr>
      <w:r>
        <w:rPr>
          <w:rStyle w:val="Strong"/>
          <w:color w:val="000000" w:themeColor="text1"/>
        </w:rPr>
        <w:t>Proposition 3.1. Single-sample computability.</w:t>
      </w:r>
      <w:r>
        <w:rPr>
          <w:color w:val="000000" w:themeColor="text1"/>
        </w:rPr>
        <w:br/>
        <w:t xml:space="preserve">Let </w:t>
      </w:r>
      <m:oMath>
        <m:r>
          <w:rPr>
            <w:rFonts w:ascii="Cambria Math" w:hAnsi="Cambria Math"/>
            <w:color w:val="000000" w:themeColor="text1"/>
          </w:rPr>
          <m:t>F</m:t>
        </m:r>
      </m:oMath>
      <w:r w:rsidR="009B01EF">
        <w:rPr>
          <w:color w:val="000000" w:themeColor="text1"/>
        </w:rPr>
        <w:t xml:space="preserve"> </w:t>
      </w:r>
      <w:r>
        <w:rPr>
          <w:color w:val="000000" w:themeColor="text1"/>
        </w:rPr>
        <w:t xml:space="preserve">be fixed. For any target cohort and any individual sample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Pr>
          <w:color w:val="000000" w:themeColor="text1"/>
        </w:rPr>
        <w:t xml:space="preserve">, the score </w:t>
      </w:r>
      <m:oMath>
        <m:r>
          <m:rPr>
            <m:sty m:val="p"/>
          </m:rPr>
          <w:rPr>
            <w:rFonts w:ascii="Cambria Math" w:hAnsi="Cambria Math"/>
            <w:color w:val="000000" w:themeColor="text1"/>
          </w:rPr>
          <m:t>TCSI</m:t>
        </m:r>
        <m:r>
          <w:rPr>
            <w:rFonts w:ascii="Cambria Math" w:hAnsi="Cambria Math"/>
            <w:color w:val="000000" w:themeColor="text1"/>
          </w:rPr>
          <m:t>⁡</m:t>
        </m:r>
        <m:d>
          <m:dPr>
            <m:sep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r>
              <w:rPr>
                <w:rFonts w:ascii="Cambria Math" w:hAnsi="Cambria Math"/>
                <w:color w:val="000000" w:themeColor="text1"/>
              </w:rPr>
              <m:t>F</m:t>
            </m:r>
          </m:e>
        </m:d>
      </m:oMath>
      <w:r>
        <w:rPr>
          <w:color w:val="000000" w:themeColor="text1"/>
        </w:rPr>
        <w:t>is independent of the target cohort’s composition, size, and ordering.</w:t>
      </w:r>
    </w:p>
    <w:p w14:paraId="1A42913D" w14:textId="77777777" w:rsidR="001F255F" w:rsidRPr="00CA61FE" w:rsidRDefault="001F255F" w:rsidP="001F255F">
      <w:pPr>
        <w:pStyle w:val="NormalWeb"/>
        <w:rPr>
          <w:color w:val="000000" w:themeColor="text1"/>
        </w:rPr>
      </w:pPr>
      <w:r>
        <w:rPr>
          <w:rStyle w:val="Strong"/>
          <w:color w:val="000000" w:themeColor="text1"/>
        </w:rPr>
        <w:t>Proof.</w:t>
      </w:r>
      <w:r>
        <w:rPr>
          <w:color w:val="000000" w:themeColor="text1"/>
        </w:rPr>
        <w:br/>
        <w:t>By Definition 2.5,</w:t>
      </w:r>
    </w:p>
    <w:p w14:paraId="06CA8FE1"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w:lastRenderedPageBreak/>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Φ</m:t>
              </m:r>
            </m:e>
            <m:sub>
              <m:r>
                <w:rPr>
                  <w:rFonts w:ascii="Cambria Math" w:hAnsi="Cambria Math" w:cs="Times New Roman"/>
                  <w:color w:val="000000" w:themeColor="text1"/>
                </w:rPr>
                <m:t>R</m:t>
              </m:r>
            </m:sub>
          </m:sSub>
          <m:d>
            <m:dPr>
              <m:ctrlPr>
                <w:rPr>
                  <w:rFonts w:ascii="Cambria Math" w:hAnsi="Cambria Math" w:cs="Times New Roman"/>
                  <w:color w:val="000000" w:themeColor="text1"/>
                </w:rPr>
              </m:ctrlPr>
            </m:dPr>
            <m:e>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H</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d>
                </m:e>
              </m:d>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23FE5F7D" w14:textId="77777777" w:rsidR="001F255F" w:rsidRPr="00CA61FE" w:rsidRDefault="001F255F" w:rsidP="001F255F">
      <w:pPr>
        <w:pStyle w:val="NormalWeb"/>
        <w:rPr>
          <w:color w:val="000000" w:themeColor="text1"/>
        </w:rPr>
      </w:pPr>
      <w:r>
        <w:rPr>
          <w:color w:val="000000" w:themeColor="text1"/>
        </w:rPr>
        <w:t xml:space="preserve">Each component of this expression is fixed once </w:t>
      </w:r>
      <m:oMath>
        <m:r>
          <w:rPr>
            <w:rFonts w:ascii="Cambria Math" w:hAnsi="Cambria Math"/>
            <w:color w:val="000000" w:themeColor="text1"/>
          </w:rPr>
          <m:t>F</m:t>
        </m:r>
      </m:oMath>
      <w:r>
        <w:rPr>
          <w:color w:val="000000" w:themeColor="text1"/>
        </w:rPr>
        <w:t xml:space="preserve">is specified. The map </w:t>
      </w:r>
      <m:oMath>
        <m:r>
          <w:rPr>
            <w:rFonts w:ascii="Cambria Math" w:hAnsi="Cambria Math"/>
            <w:color w:val="000000" w:themeColor="text1"/>
          </w:rPr>
          <m:t xml:space="preserve">H </m:t>
        </m:r>
      </m:oMath>
      <w:r>
        <w:rPr>
          <w:color w:val="000000" w:themeColor="text1"/>
        </w:rPr>
        <w:t xml:space="preserve">is a fixed harmonization rule that depends only on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Pr>
          <w:color w:val="000000" w:themeColor="text1"/>
        </w:rPr>
        <w:t xml:space="preserve">and the locked specification. The map </w:t>
      </w:r>
      <m:oMath>
        <m:r>
          <m:rPr>
            <m:sty m:val="p"/>
          </m:rPr>
          <w:rPr>
            <w:rFonts w:ascii="Cambria Math" w:hAnsi="Cambria Math"/>
            <w:color w:val="000000" w:themeColor="text1"/>
          </w:rPr>
          <m:t xml:space="preserve">Ψ </m:t>
        </m:r>
      </m:oMath>
      <w:r>
        <w:rPr>
          <w:color w:val="000000" w:themeColor="text1"/>
        </w:rPr>
        <w:t xml:space="preserve">is deterministic and computable from a single profile. The reference parameters </w:t>
      </w:r>
      <m:oMath>
        <m:sSup>
          <m:sSupPr>
            <m:ctrlPr>
              <w:rPr>
                <w:rFonts w:ascii="Cambria Math" w:hAnsi="Cambria Math"/>
                <w:color w:val="000000" w:themeColor="text1"/>
              </w:rPr>
            </m:ctrlPr>
          </m:sSupPr>
          <m:e>
            <m:r>
              <w:rPr>
                <w:rFonts w:ascii="Cambria Math" w:hAnsi="Cambria Math"/>
                <w:color w:val="000000" w:themeColor="text1"/>
              </w:rPr>
              <m:t>μ</m:t>
            </m:r>
          </m:e>
          <m:sup>
            <m:r>
              <w:rPr>
                <w:rFonts w:ascii="Cambria Math" w:hAnsi="Cambria Math"/>
                <w:color w:val="000000" w:themeColor="text1"/>
              </w:rPr>
              <m:t>R</m:t>
            </m:r>
          </m:sup>
        </m:sSup>
      </m:oMath>
      <w:r>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R</m:t>
            </m:r>
          </m:sup>
        </m:sSup>
      </m:oMath>
      <w:r>
        <w:rPr>
          <w:color w:val="000000" w:themeColor="text1"/>
        </w:rPr>
        <w:t xml:space="preserve">are frozen parameters derived from </w:t>
      </w:r>
      <m:oMath>
        <m:r>
          <w:rPr>
            <w:rFonts w:ascii="Cambria Math" w:hAnsi="Cambria Math"/>
            <w:color w:val="000000" w:themeColor="text1"/>
          </w:rPr>
          <m:t>R</m:t>
        </m:r>
      </m:oMath>
      <w:r>
        <w:rPr>
          <w:color w:val="000000" w:themeColor="text1"/>
        </w:rPr>
        <w:t xml:space="preserve">and are independent of the target cohort. Finally, </w:t>
      </w:r>
      <m:oMath>
        <m:r>
          <w:rPr>
            <w:rFonts w:ascii="Cambria Math" w:hAnsi="Cambria Math"/>
            <w:color w:val="000000" w:themeColor="text1"/>
          </w:rPr>
          <m:t>w</m:t>
        </m:r>
      </m:oMath>
      <w:r>
        <w:rPr>
          <w:color w:val="000000" w:themeColor="text1"/>
        </w:rPr>
        <w:t xml:space="preserve">is a pre-specified constant vector. Therefore, </w:t>
      </w:r>
      <m:oMath>
        <m:r>
          <m:rPr>
            <m:sty m:val="p"/>
          </m:rPr>
          <w:rPr>
            <w:rFonts w:ascii="Cambria Math" w:hAnsi="Cambria Math"/>
            <w:color w:val="000000" w:themeColor="text1"/>
          </w:rPr>
          <m:t>TCSI</m:t>
        </m:r>
        <m:r>
          <w:rPr>
            <w:rFonts w:ascii="Cambria Math" w:hAnsi="Cambria Math"/>
            <w:color w:val="000000" w:themeColor="text1"/>
          </w:rPr>
          <m:t>⁡</m:t>
        </m:r>
        <m:d>
          <m:dPr>
            <m:sep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r>
              <w:rPr>
                <w:rFonts w:ascii="Cambria Math" w:hAnsi="Cambria Math"/>
                <w:color w:val="000000" w:themeColor="text1"/>
              </w:rPr>
              <m:t>F</m:t>
            </m:r>
          </m:e>
        </m:d>
      </m:oMath>
      <w:r>
        <w:rPr>
          <w:color w:val="000000" w:themeColor="text1"/>
        </w:rPr>
        <w:t xml:space="preserve">is a function only of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Pr>
          <w:color w:val="000000" w:themeColor="text1"/>
        </w:rPr>
        <w:t xml:space="preserve">and </w:t>
      </w:r>
      <m:oMath>
        <m:r>
          <w:rPr>
            <w:rFonts w:ascii="Cambria Math" w:hAnsi="Cambria Math"/>
            <w:color w:val="000000" w:themeColor="text1"/>
          </w:rPr>
          <m:t>F</m:t>
        </m:r>
      </m:oMath>
      <w:r>
        <w:rPr>
          <w:color w:val="000000" w:themeColor="text1"/>
        </w:rPr>
        <w:t xml:space="preserve">. </w:t>
      </w:r>
    </w:p>
    <w:p w14:paraId="70A21373" w14:textId="77777777" w:rsidR="001F255F" w:rsidRPr="00CA61FE" w:rsidRDefault="001F255F" w:rsidP="001F255F">
      <w:pPr>
        <w:ind w:left="0" w:firstLine="0"/>
        <w:rPr>
          <w:rFonts w:ascii="Times New Roman" w:hAnsi="Times New Roman" w:cs="Times New Roman"/>
          <w:color w:val="000000" w:themeColor="text1"/>
        </w:rPr>
      </w:pPr>
    </w:p>
    <w:p w14:paraId="14D12934" w14:textId="77777777" w:rsidR="001F255F" w:rsidRPr="00CA61FE" w:rsidRDefault="001F255F" w:rsidP="001D16F7">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3.2 Outcome Independence in Construction</w:t>
      </w:r>
    </w:p>
    <w:p w14:paraId="37265E1F" w14:textId="77777777" w:rsidR="001F255F" w:rsidRPr="00CA61FE" w:rsidRDefault="001F255F" w:rsidP="001F255F">
      <w:pPr>
        <w:pStyle w:val="NormalWeb"/>
        <w:rPr>
          <w:color w:val="000000" w:themeColor="text1"/>
        </w:rPr>
      </w:pPr>
      <w:r>
        <w:rPr>
          <w:rStyle w:val="Strong"/>
          <w:color w:val="000000" w:themeColor="text1"/>
        </w:rPr>
        <w:t>Proposition 3.2. Outcome independence.</w:t>
      </w:r>
      <w:r>
        <w:rPr>
          <w:color w:val="000000" w:themeColor="text1"/>
        </w:rPr>
        <w:br/>
        <w:t xml:space="preserve">Let </w:t>
      </w:r>
      <m:oMath>
        <m:r>
          <w:rPr>
            <w:rFonts w:ascii="Cambria Math" w:hAnsi="Cambria Math"/>
            <w:color w:val="000000" w:themeColor="text1"/>
          </w:rPr>
          <m:t>Y</m:t>
        </m:r>
      </m:oMath>
      <w:r>
        <w:rPr>
          <w:color w:val="000000" w:themeColor="text1"/>
        </w:rPr>
        <w:t xml:space="preserve">denote any downstream clinical or biological outcome variable. If </w:t>
      </w:r>
      <m:oMath>
        <m:r>
          <w:rPr>
            <w:rFonts w:ascii="Cambria Math" w:hAnsi="Cambria Math"/>
            <w:color w:val="000000" w:themeColor="text1"/>
          </w:rPr>
          <m:t>F</m:t>
        </m:r>
      </m:oMath>
      <w:r>
        <w:rPr>
          <w:color w:val="000000" w:themeColor="text1"/>
        </w:rPr>
        <w:t xml:space="preserve">is specified without consulting </w:t>
      </w:r>
      <m:oMath>
        <m:r>
          <w:rPr>
            <w:rFonts w:ascii="Cambria Math" w:hAnsi="Cambria Math"/>
            <w:color w:val="000000" w:themeColor="text1"/>
          </w:rPr>
          <m:t>Y</m:t>
        </m:r>
      </m:oMath>
      <w:r>
        <w:rPr>
          <w:color w:val="000000" w:themeColor="text1"/>
        </w:rPr>
        <w:t xml:space="preserve">, then </w:t>
      </w:r>
      <m:oMath>
        <m:r>
          <m:rPr>
            <m:sty m:val="p"/>
          </m:rPr>
          <w:rPr>
            <w:rFonts w:ascii="Cambria Math" w:hAnsi="Cambria Math"/>
            <w:color w:val="000000" w:themeColor="text1"/>
          </w:rPr>
          <m:t>TCSI</m:t>
        </m:r>
        <m:r>
          <w:rPr>
            <w:rFonts w:ascii="Cambria Math" w:hAnsi="Cambria Math"/>
            <w:color w:val="000000" w:themeColor="text1"/>
          </w:rPr>
          <m:t>⁡</m:t>
        </m:r>
        <m:d>
          <m:dPr>
            <m:sep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e>
          <m:e>
            <m:r>
              <w:rPr>
                <w:rFonts w:ascii="Cambria Math" w:hAnsi="Cambria Math"/>
                <w:color w:val="000000" w:themeColor="text1"/>
              </w:rPr>
              <m:t>F</m:t>
            </m:r>
          </m:e>
        </m:d>
      </m:oMath>
      <w:r>
        <w:rPr>
          <w:color w:val="000000" w:themeColor="text1"/>
        </w:rPr>
        <w:t>is outcome-independent in construction.</w:t>
      </w:r>
    </w:p>
    <w:p w14:paraId="55F5A7DF" w14:textId="77777777" w:rsidR="001F255F" w:rsidRPr="00CA61FE" w:rsidRDefault="001F255F" w:rsidP="001F255F">
      <w:pPr>
        <w:pStyle w:val="NormalWeb"/>
        <w:rPr>
          <w:color w:val="000000" w:themeColor="text1"/>
        </w:rPr>
      </w:pPr>
      <w:r>
        <w:rPr>
          <w:rStyle w:val="Strong"/>
          <w:color w:val="000000" w:themeColor="text1"/>
        </w:rPr>
        <w:t>Proof.</w:t>
      </w:r>
      <w:r>
        <w:rPr>
          <w:color w:val="000000" w:themeColor="text1"/>
        </w:rPr>
        <w:br/>
        <w:t>By inspection of</w:t>
      </w:r>
    </w:p>
    <w:p w14:paraId="4C360355" w14:textId="77777777" w:rsidR="001F255F" w:rsidRPr="00CA61FE" w:rsidRDefault="001F255F" w:rsidP="001F255F">
      <w:pPr>
        <w:rPr>
          <w:rFonts w:ascii="Times New Roman" w:hAnsi="Times New Roman" w:cs="Times New Roman"/>
          <w:color w:val="000000" w:themeColor="text1"/>
        </w:rPr>
      </w:pPr>
      <m:oMathPara>
        <m:oMath>
          <m:r>
            <w:rPr>
              <w:rFonts w:ascii="Cambria Math" w:hAnsi="Cambria Math" w:cs="Times New Roman"/>
              <w:color w:val="000000" w:themeColor="text1"/>
            </w:rPr>
            <m:t>F=</m:t>
          </m:r>
          <m:d>
            <m:dPr>
              <m:sepChr m:val=","/>
              <m:ctrlPr>
                <w:rPr>
                  <w:rFonts w:ascii="Cambria Math" w:hAnsi="Cambria Math" w:cs="Times New Roman"/>
                  <w:color w:val="000000" w:themeColor="text1"/>
                </w:rPr>
              </m:ctrlPr>
            </m:dPr>
            <m:e>
              <m:r>
                <w:rPr>
                  <w:rFonts w:ascii="Cambria Math" w:hAnsi="Cambria Math" w:cs="Times New Roman"/>
                  <w:color w:val="000000" w:themeColor="text1"/>
                </w:rPr>
                <m:t>G</m:t>
              </m:r>
            </m:e>
            <m:e>
              <m:r>
                <w:rPr>
                  <w:rFonts w:ascii="Cambria Math" w:hAnsi="Cambria Math" w:cs="Times New Roman"/>
                  <w:color w:val="000000" w:themeColor="text1"/>
                </w:rPr>
                <m:t>H</m:t>
              </m:r>
            </m:e>
            <m:e>
              <m:r>
                <m:rPr>
                  <m:sty m:val="p"/>
                </m:rPr>
                <w:rPr>
                  <w:rFonts w:ascii="Cambria Math" w:hAnsi="Cambria Math" w:cs="Times New Roman"/>
                  <w:color w:val="000000" w:themeColor="text1"/>
                </w:rPr>
                <m:t>Π</m:t>
              </m:r>
            </m:e>
            <m:e>
              <m:r>
                <m:rPr>
                  <m:sty m:val="p"/>
                </m:rPr>
                <w:rPr>
                  <w:rFonts w:ascii="Cambria Math" w:hAnsi="Cambria Math" w:cs="Times New Roman"/>
                  <w:color w:val="000000" w:themeColor="text1"/>
                </w:rPr>
                <m:t>Ψ</m:t>
              </m:r>
            </m:e>
            <m:e>
              <m:r>
                <w:rPr>
                  <w:rFonts w:ascii="Cambria Math" w:hAnsi="Cambria Math" w:cs="Times New Roman"/>
                  <w:color w:val="000000" w:themeColor="text1"/>
                </w:rPr>
                <m:t>R</m:t>
              </m:r>
            </m:e>
            <m:e>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R</m:t>
                  </m:r>
                </m:sup>
              </m:sSup>
            </m:e>
            <m:e>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R</m:t>
                  </m:r>
                </m:sup>
              </m:sSup>
            </m:e>
            <m:e>
              <m:r>
                <w:rPr>
                  <w:rFonts w:ascii="Cambria Math" w:hAnsi="Cambria Math" w:cs="Times New Roman"/>
                  <w:color w:val="000000" w:themeColor="text1"/>
                </w:rPr>
                <m:t>w</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4F2AAE3E" w14:textId="77777777" w:rsidR="001F255F" w:rsidRPr="00CA61FE" w:rsidRDefault="001F255F" w:rsidP="001F255F">
      <w:pPr>
        <w:pStyle w:val="NormalWeb"/>
        <w:rPr>
          <w:color w:val="000000" w:themeColor="text1"/>
        </w:rPr>
      </w:pPr>
      <w:r>
        <w:rPr>
          <w:color w:val="000000" w:themeColor="text1"/>
        </w:rPr>
        <w:t xml:space="preserve">no element of the locked specification is defined as a function of </w:t>
      </w:r>
      <m:oMath>
        <m:r>
          <w:rPr>
            <w:rFonts w:ascii="Cambria Math" w:hAnsi="Cambria Math"/>
            <w:color w:val="000000" w:themeColor="text1"/>
          </w:rPr>
          <m:t>Y</m:t>
        </m:r>
      </m:oMath>
      <w:r>
        <w:rPr>
          <w:color w:val="000000" w:themeColor="text1"/>
        </w:rPr>
        <w:t xml:space="preserve">. The gene universe </w:t>
      </w:r>
      <m:oMath>
        <m:r>
          <w:rPr>
            <w:rFonts w:ascii="Cambria Math" w:hAnsi="Cambria Math"/>
            <w:color w:val="000000" w:themeColor="text1"/>
          </w:rPr>
          <m:t xml:space="preserve">G </m:t>
        </m:r>
      </m:oMath>
      <w:r>
        <w:rPr>
          <w:color w:val="000000" w:themeColor="text1"/>
        </w:rPr>
        <w:t xml:space="preserve">is drawn from a curated nomenclature standard. The map </w:t>
      </w:r>
      <m:oMath>
        <m:r>
          <w:rPr>
            <w:rFonts w:ascii="Cambria Math" w:hAnsi="Cambria Math"/>
            <w:color w:val="000000" w:themeColor="text1"/>
          </w:rPr>
          <m:t xml:space="preserve">H </m:t>
        </m:r>
      </m:oMath>
      <w:r>
        <w:rPr>
          <w:color w:val="000000" w:themeColor="text1"/>
        </w:rPr>
        <w:t xml:space="preserve">is a preprocessing and harmonization rule. The pathway family </w:t>
      </w:r>
      <m:oMath>
        <m:r>
          <m:rPr>
            <m:sty m:val="p"/>
          </m:rPr>
          <w:rPr>
            <w:rFonts w:ascii="Cambria Math" w:hAnsi="Cambria Math"/>
            <w:color w:val="000000" w:themeColor="text1"/>
          </w:rPr>
          <m:t>Π</m:t>
        </m:r>
      </m:oMath>
      <w:r>
        <w:rPr>
          <w:color w:val="000000" w:themeColor="text1"/>
        </w:rPr>
        <w:t xml:space="preserve">is selected a priori based on biological criteria. The map </w:t>
      </w:r>
      <m:oMath>
        <m:r>
          <m:rPr>
            <m:sty m:val="p"/>
          </m:rPr>
          <w:rPr>
            <w:rFonts w:ascii="Cambria Math" w:hAnsi="Cambria Math"/>
            <w:color w:val="000000" w:themeColor="text1"/>
          </w:rPr>
          <m:t>Ψ</m:t>
        </m:r>
      </m:oMath>
      <w:r>
        <w:rPr>
          <w:color w:val="000000" w:themeColor="text1"/>
        </w:rPr>
        <w:t xml:space="preserve">is a deterministic pathway-scoring operator. The reference cohort </w:t>
      </w:r>
      <m:oMath>
        <m:r>
          <w:rPr>
            <w:rFonts w:ascii="Cambria Math" w:hAnsi="Cambria Math"/>
            <w:color w:val="000000" w:themeColor="text1"/>
          </w:rPr>
          <m:t>R</m:t>
        </m:r>
      </m:oMath>
      <w:r>
        <w:rPr>
          <w:color w:val="000000" w:themeColor="text1"/>
        </w:rPr>
        <w:t xml:space="preserve">is selected using biological and assay-compatibility criteria. The parameters </w:t>
      </w:r>
      <m:oMath>
        <m:sSup>
          <m:sSupPr>
            <m:ctrlPr>
              <w:rPr>
                <w:rFonts w:ascii="Cambria Math" w:hAnsi="Cambria Math"/>
                <w:color w:val="000000" w:themeColor="text1"/>
              </w:rPr>
            </m:ctrlPr>
          </m:sSupPr>
          <m:e>
            <m:r>
              <w:rPr>
                <w:rFonts w:ascii="Cambria Math" w:hAnsi="Cambria Math"/>
                <w:color w:val="000000" w:themeColor="text1"/>
              </w:rPr>
              <m:t>μ</m:t>
            </m:r>
          </m:e>
          <m:sup>
            <m:r>
              <w:rPr>
                <w:rFonts w:ascii="Cambria Math" w:hAnsi="Cambria Math"/>
                <w:color w:val="000000" w:themeColor="text1"/>
              </w:rPr>
              <m:t>R</m:t>
            </m:r>
          </m:sup>
        </m:sSup>
      </m:oMath>
      <w:r>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 xml:space="preserve">R </m:t>
            </m:r>
          </m:sup>
        </m:sSup>
      </m:oMath>
      <w:r>
        <w:rPr>
          <w:color w:val="000000" w:themeColor="text1"/>
        </w:rPr>
        <w:t xml:space="preserve">are statistics of the frozen reference distribution, and </w:t>
      </w:r>
      <m:oMath>
        <m:r>
          <w:rPr>
            <w:rFonts w:ascii="Cambria Math" w:hAnsi="Cambria Math"/>
            <w:color w:val="000000" w:themeColor="text1"/>
          </w:rPr>
          <m:t xml:space="preserve">w </m:t>
        </m:r>
      </m:oMath>
      <w:r>
        <w:rPr>
          <w:color w:val="000000" w:themeColor="text1"/>
        </w:rPr>
        <w:t xml:space="preserve">is fixed in advance. None of these elements encodes information about </w:t>
      </w:r>
      <m:oMath>
        <m:r>
          <w:rPr>
            <w:rFonts w:ascii="Cambria Math" w:hAnsi="Cambria Math"/>
            <w:color w:val="000000" w:themeColor="text1"/>
          </w:rPr>
          <m:t>Y</m:t>
        </m:r>
      </m:oMath>
      <w:r>
        <w:rPr>
          <w:color w:val="000000" w:themeColor="text1"/>
        </w:rPr>
        <w:t>. Therefore, TCSI is outcome-independent in construction.</w:t>
      </w:r>
    </w:p>
    <w:p w14:paraId="336B5C9D" w14:textId="77777777" w:rsidR="001F255F" w:rsidRPr="00CA61FE" w:rsidRDefault="001F255F" w:rsidP="001F255F">
      <w:pPr>
        <w:ind w:left="0" w:firstLine="0"/>
        <w:rPr>
          <w:rFonts w:ascii="Times New Roman" w:hAnsi="Times New Roman" w:cs="Times New Roman"/>
          <w:color w:val="000000" w:themeColor="text1"/>
        </w:rPr>
      </w:pPr>
    </w:p>
    <w:p w14:paraId="38CCAF94" w14:textId="77777777" w:rsidR="001F255F" w:rsidRPr="00CA61FE" w:rsidRDefault="001F255F" w:rsidP="00965C91">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3.3 Frozen-Coordinate Comparability</w:t>
      </w:r>
    </w:p>
    <w:p w14:paraId="1F78919E" w14:textId="77777777" w:rsidR="001F255F" w:rsidRPr="00CA61FE" w:rsidRDefault="001F255F" w:rsidP="001F255F">
      <w:pPr>
        <w:pStyle w:val="NormalWeb"/>
        <w:rPr>
          <w:color w:val="000000" w:themeColor="text1"/>
        </w:rPr>
      </w:pPr>
      <w:r>
        <w:rPr>
          <w:rStyle w:val="Strong"/>
          <w:color w:val="000000" w:themeColor="text1"/>
        </w:rPr>
        <w:t>Proposition 3.3. Frozen-coordinate comparability.</w:t>
      </w:r>
      <w:r>
        <w:rPr>
          <w:color w:val="000000" w:themeColor="text1"/>
        </w:rPr>
        <w:br/>
        <w:t xml:space="preserve">For two compatible raw inputs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w:r>
        <w:rPr>
          <w:color w:val="000000" w:themeColor="text1"/>
        </w:rPr>
        <w:t xml:space="preserve">and </w:t>
      </w: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oMath>
      <w:r>
        <w:rPr>
          <w:color w:val="000000" w:themeColor="text1"/>
        </w:rPr>
        <w:t xml:space="preserve">processed under the same locked specification </w:t>
      </w:r>
      <m:oMath>
        <m:r>
          <w:rPr>
            <w:rFonts w:ascii="Cambria Math" w:hAnsi="Cambria Math"/>
            <w:color w:val="000000" w:themeColor="text1"/>
          </w:rPr>
          <m:t>F</m:t>
        </m:r>
      </m:oMath>
      <w:r>
        <w:rPr>
          <w:color w:val="000000" w:themeColor="text1"/>
        </w:rPr>
        <w:t>,</w:t>
      </w:r>
    </w:p>
    <w:p w14:paraId="6F770D7F"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d>
            <m:dPr>
              <m:ctrlPr>
                <w:rPr>
                  <w:rFonts w:ascii="Cambria Math" w:hAnsi="Cambria Math" w:cs="Times New Roman"/>
                  <w:color w:val="000000" w:themeColor="text1"/>
                </w:rPr>
              </m:ctrlPr>
            </m:d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454DBCB2" w14:textId="77777777" w:rsidR="001F255F" w:rsidRPr="00CA61FE" w:rsidRDefault="001F255F" w:rsidP="001F255F">
      <w:pPr>
        <w:pStyle w:val="NormalWeb"/>
        <w:rPr>
          <w:color w:val="000000" w:themeColor="text1"/>
        </w:rPr>
      </w:pPr>
      <w:r>
        <w:rPr>
          <w:color w:val="000000" w:themeColor="text1"/>
        </w:rPr>
        <w:t xml:space="preserve">Thus, TCSI differences are expressed in units of reference standard deviations along the locked pathway axes, relative to the frozen calibration baseline established by </w:t>
      </w:r>
      <m:oMath>
        <m:r>
          <w:rPr>
            <w:rFonts w:ascii="Cambria Math" w:hAnsi="Cambria Math"/>
            <w:color w:val="000000" w:themeColor="text1"/>
          </w:rPr>
          <m:t>R</m:t>
        </m:r>
      </m:oMath>
      <w:r>
        <w:rPr>
          <w:color w:val="000000" w:themeColor="text1"/>
        </w:rPr>
        <w:t>.</w:t>
      </w:r>
    </w:p>
    <w:p w14:paraId="524CC05F" w14:textId="77777777" w:rsidR="001F255F" w:rsidRPr="00CA61FE" w:rsidRDefault="001F255F" w:rsidP="001F255F">
      <w:pPr>
        <w:pStyle w:val="NormalWeb"/>
        <w:rPr>
          <w:color w:val="000000" w:themeColor="text1"/>
        </w:rPr>
      </w:pPr>
      <w:r>
        <w:rPr>
          <w:rStyle w:val="Strong"/>
          <w:color w:val="000000" w:themeColor="text1"/>
        </w:rPr>
        <w:t>Proof.</w:t>
      </w:r>
      <w:r>
        <w:rPr>
          <w:color w:val="000000" w:themeColor="text1"/>
        </w:rPr>
        <w:br/>
        <w:t>By definition,</w:t>
      </w:r>
    </w:p>
    <w:p w14:paraId="657CCFD4"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w:lastRenderedPageBreak/>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m:rPr>
              <m:sty m:val="p"/>
            </m:rPr>
            <w:rPr>
              <w:rFonts w:ascii="Cambria Math" w:hAnsi="Cambria Math" w:cs="Times New Roman"/>
              <w:color w:val="000000" w:themeColor="text1"/>
            </w:rPr>
            <w:br/>
          </m:r>
        </m:oMath>
      </m:oMathPara>
    </w:p>
    <w:p w14:paraId="003DF79F" w14:textId="77777777" w:rsidR="001F255F" w:rsidRPr="00CA61FE" w:rsidRDefault="001F255F" w:rsidP="001F255F">
      <w:pPr>
        <w:pStyle w:val="NormalWeb"/>
        <w:rPr>
          <w:color w:val="000000" w:themeColor="text1"/>
        </w:rPr>
      </w:pPr>
      <w:r>
        <w:rPr>
          <w:color w:val="000000" w:themeColor="text1"/>
        </w:rPr>
        <w:t>and</w:t>
      </w:r>
    </w:p>
    <w:p w14:paraId="64514F0C"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1E5279B9" w14:textId="77777777" w:rsidR="001F255F" w:rsidRPr="00CA61FE" w:rsidRDefault="001F255F" w:rsidP="001F255F">
      <w:pPr>
        <w:pStyle w:val="NormalWeb"/>
        <w:rPr>
          <w:color w:val="000000" w:themeColor="text1"/>
        </w:rPr>
      </w:pPr>
      <w:r>
        <w:rPr>
          <w:color w:val="000000" w:themeColor="text1"/>
        </w:rPr>
        <w:t>Subtracting the two expressions gives</w:t>
      </w:r>
    </w:p>
    <w:p w14:paraId="5D146175"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d>
            <m:dPr>
              <m:ctrlPr>
                <w:rPr>
                  <w:rFonts w:ascii="Cambria Math" w:hAnsi="Cambria Math" w:cs="Times New Roman"/>
                  <w:color w:val="000000" w:themeColor="text1"/>
                </w:rPr>
              </m:ctrlPr>
            </m:d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71EBA8A2" w14:textId="77777777" w:rsidR="001F255F" w:rsidRPr="00CA61FE" w:rsidRDefault="001F255F" w:rsidP="001F255F">
      <w:pPr>
        <w:pStyle w:val="NormalWeb"/>
        <w:rPr>
          <w:color w:val="000000" w:themeColor="text1"/>
        </w:rPr>
      </w:pPr>
      <w:r>
        <w:rPr>
          <w:color w:val="000000" w:themeColor="text1"/>
        </w:rPr>
        <w:t xml:space="preserve">Because both </w:t>
      </w:r>
      <m:oMath>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i</m:t>
            </m:r>
          </m:sub>
          <m:sup>
            <m:r>
              <w:rPr>
                <w:rFonts w:ascii="Cambria Math" w:hAnsi="Cambria Math"/>
                <w:color w:val="000000" w:themeColor="text1"/>
              </w:rPr>
              <m:t>*</m:t>
            </m:r>
          </m:sup>
        </m:sSubSup>
      </m:oMath>
      <w:r>
        <w:rPr>
          <w:color w:val="000000" w:themeColor="text1"/>
        </w:rPr>
        <w:t xml:space="preserve">and </w:t>
      </w:r>
      <m:oMath>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j</m:t>
            </m:r>
          </m:sub>
          <m:sup>
            <m:r>
              <w:rPr>
                <w:rFonts w:ascii="Cambria Math" w:hAnsi="Cambria Math"/>
                <w:color w:val="000000" w:themeColor="text1"/>
              </w:rPr>
              <m:t>*</m:t>
            </m:r>
          </m:sup>
        </m:sSubSup>
      </m:oMath>
      <w:r>
        <w:rPr>
          <w:color w:val="000000" w:themeColor="text1"/>
        </w:rPr>
        <w:t xml:space="preserve">are standardized using the same frozen reference parameters </w:t>
      </w:r>
      <m:oMath>
        <m:sSup>
          <m:sSupPr>
            <m:ctrlPr>
              <w:rPr>
                <w:rFonts w:ascii="Cambria Math" w:hAnsi="Cambria Math"/>
                <w:color w:val="000000" w:themeColor="text1"/>
              </w:rPr>
            </m:ctrlPr>
          </m:sSupPr>
          <m:e>
            <m:r>
              <w:rPr>
                <w:rFonts w:ascii="Cambria Math" w:hAnsi="Cambria Math"/>
                <w:color w:val="000000" w:themeColor="text1"/>
              </w:rPr>
              <m:t>μ</m:t>
            </m:r>
          </m:e>
          <m:sup>
            <m:r>
              <w:rPr>
                <w:rFonts w:ascii="Cambria Math" w:hAnsi="Cambria Math"/>
                <w:color w:val="000000" w:themeColor="text1"/>
              </w:rPr>
              <m:t>R</m:t>
            </m:r>
          </m:sup>
        </m:sSup>
      </m:oMath>
      <w:r>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R</m:t>
            </m:r>
          </m:sup>
        </m:sSup>
      </m:oMath>
      <w:r>
        <w:rPr>
          <w:color w:val="000000" w:themeColor="text1"/>
        </w:rPr>
        <w:t xml:space="preserve">, their difference is expressed in the same reference-coordinate system. </w:t>
      </w:r>
    </w:p>
    <w:p w14:paraId="78B1349A" w14:textId="77777777" w:rsidR="001F255F" w:rsidRPr="00CA61FE" w:rsidRDefault="001F255F" w:rsidP="001F255F">
      <w:pPr>
        <w:ind w:left="0" w:firstLine="0"/>
        <w:rPr>
          <w:rFonts w:ascii="Times New Roman" w:hAnsi="Times New Roman" w:cs="Times New Roman"/>
          <w:color w:val="000000" w:themeColor="text1"/>
        </w:rPr>
      </w:pPr>
    </w:p>
    <w:p w14:paraId="413BEB69" w14:textId="77777777" w:rsidR="001F255F" w:rsidRPr="00CA61FE" w:rsidRDefault="001F255F" w:rsidP="0060461E">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3.4 Monotone Transformation Stability</w:t>
      </w:r>
    </w:p>
    <w:p w14:paraId="32C2F18A" w14:textId="77777777" w:rsidR="001F255F" w:rsidRPr="00CA61FE" w:rsidRDefault="001F255F" w:rsidP="001F255F">
      <w:pPr>
        <w:pStyle w:val="NormalWeb"/>
        <w:rPr>
          <w:color w:val="000000" w:themeColor="text1"/>
        </w:rPr>
      </w:pPr>
      <w:r>
        <w:rPr>
          <w:rStyle w:val="Strong"/>
          <w:color w:val="000000" w:themeColor="text1"/>
        </w:rPr>
        <w:t>Proposition 3.4. Monotone transformation stability.</w:t>
      </w:r>
      <w:r>
        <w:rPr>
          <w:color w:val="000000" w:themeColor="text1"/>
        </w:rPr>
        <w:br/>
        <w:t xml:space="preserve">Suppose </w:t>
      </w:r>
      <m:oMath>
        <m:r>
          <m:rPr>
            <m:sty m:val="p"/>
          </m:rPr>
          <w:rPr>
            <w:rFonts w:ascii="Cambria Math" w:hAnsi="Cambria Math"/>
            <w:color w:val="000000" w:themeColor="text1"/>
          </w:rPr>
          <m:t xml:space="preserve">Ψ </m:t>
        </m:r>
      </m:oMath>
      <w:r>
        <w:rPr>
          <w:color w:val="000000" w:themeColor="text1"/>
        </w:rPr>
        <w:t xml:space="preserve">depends only on within-profile gene ranks. Let </w:t>
      </w:r>
      <m:oMath>
        <m:r>
          <w:rPr>
            <w:rFonts w:ascii="Cambria Math" w:hAnsi="Cambria Math"/>
            <w:color w:val="000000" w:themeColor="text1"/>
          </w:rPr>
          <m:t xml:space="preserve">ϕ </m:t>
        </m:r>
      </m:oMath>
      <w:r>
        <w:rPr>
          <w:color w:val="000000" w:themeColor="text1"/>
        </w:rPr>
        <w:t>be a strictly monotone transformation applied uniformly to all measured genes in a harmonized expression vector. Then, in the absence of ties and missing values,</w:t>
      </w:r>
    </w:p>
    <w:p w14:paraId="7BB8FF2A"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ϕ</m:t>
              </m:r>
              <m:d>
                <m:dPr>
                  <m:ctrlPr>
                    <w:rPr>
                      <w:rFonts w:ascii="Cambria Math" w:hAnsi="Cambria Math" w:cs="Times New Roman"/>
                      <w:color w:val="000000" w:themeColor="text1"/>
                    </w:rPr>
                  </m:ctrlPr>
                </m:dPr>
                <m:e>
                  <m:r>
                    <w:rPr>
                      <w:rFonts w:ascii="Cambria Math" w:hAnsi="Cambria Math" w:cs="Times New Roman"/>
                      <w:color w:val="000000" w:themeColor="text1"/>
                    </w:rPr>
                    <m:t>x</m:t>
                  </m:r>
                </m:e>
              </m:d>
            </m:e>
          </m:d>
          <m:r>
            <w:rPr>
              <w:rFonts w:ascii="Cambria Math" w:hAnsi="Cambria Math" w:cs="Times New Roman"/>
              <w:color w:val="000000" w:themeColor="text1"/>
            </w:rPr>
            <m:t>=</m:t>
          </m:r>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0321EBC4" w14:textId="77777777" w:rsidR="001F255F" w:rsidRPr="00CA61FE" w:rsidRDefault="001F255F" w:rsidP="001F255F">
      <w:pPr>
        <w:pStyle w:val="NormalWeb"/>
        <w:rPr>
          <w:color w:val="000000" w:themeColor="text1"/>
        </w:rPr>
      </w:pPr>
      <w:r>
        <w:rPr>
          <w:color w:val="000000" w:themeColor="text1"/>
        </w:rPr>
        <w:t xml:space="preserve">and consequently </w:t>
      </w:r>
      <m:oMath>
        <m:r>
          <m:rPr>
            <m:sty m:val="p"/>
          </m:rPr>
          <w:rPr>
            <w:rFonts w:ascii="Cambria Math" w:hAnsi="Cambria Math"/>
            <w:color w:val="000000" w:themeColor="text1"/>
          </w:rPr>
          <m:t>TCSI</m:t>
        </m:r>
      </m:oMath>
      <w:r>
        <w:rPr>
          <w:color w:val="000000" w:themeColor="text1"/>
        </w:rPr>
        <w:t xml:space="preserve">is invariant under </w:t>
      </w:r>
      <m:oMath>
        <m:r>
          <w:rPr>
            <w:rFonts w:ascii="Cambria Math" w:hAnsi="Cambria Math"/>
            <w:color w:val="000000" w:themeColor="text1"/>
          </w:rPr>
          <m:t>ϕ</m:t>
        </m:r>
      </m:oMath>
      <w:r>
        <w:rPr>
          <w:color w:val="000000" w:themeColor="text1"/>
        </w:rPr>
        <w:t>.</w:t>
      </w:r>
    </w:p>
    <w:p w14:paraId="475E7B45" w14:textId="77777777" w:rsidR="001F255F" w:rsidRPr="00CA61FE" w:rsidRDefault="001F255F" w:rsidP="001F255F">
      <w:pPr>
        <w:pStyle w:val="NormalWeb"/>
        <w:rPr>
          <w:color w:val="000000" w:themeColor="text1"/>
        </w:rPr>
      </w:pPr>
      <w:r>
        <w:rPr>
          <w:rStyle w:val="Strong"/>
          <w:color w:val="000000" w:themeColor="text1"/>
        </w:rPr>
        <w:t>Proof.</w:t>
      </w:r>
      <w:r>
        <w:rPr>
          <w:color w:val="000000" w:themeColor="text1"/>
        </w:rPr>
        <w:br/>
        <w:t xml:space="preserve">A strictly monotone transformation preserves the ordering of all measured gene-expression values. Therefore, in the absence of ties and missing values, the within-profile gene ranks are unchanged after applying </w:t>
      </w:r>
      <m:oMath>
        <m:r>
          <w:rPr>
            <w:rFonts w:ascii="Cambria Math" w:hAnsi="Cambria Math"/>
            <w:color w:val="000000" w:themeColor="text1"/>
          </w:rPr>
          <m:t>ϕ</m:t>
        </m:r>
      </m:oMath>
      <w:r>
        <w:rPr>
          <w:color w:val="000000" w:themeColor="text1"/>
        </w:rPr>
        <w:t xml:space="preserve">. Since </w:t>
      </w:r>
      <m:oMath>
        <m:r>
          <m:rPr>
            <m:sty m:val="p"/>
          </m:rPr>
          <w:rPr>
            <w:rFonts w:ascii="Cambria Math" w:hAnsi="Cambria Math"/>
            <w:color w:val="000000" w:themeColor="text1"/>
          </w:rPr>
          <m:t>Ψ</m:t>
        </m:r>
      </m:oMath>
      <w:r>
        <w:rPr>
          <w:color w:val="000000" w:themeColor="text1"/>
        </w:rPr>
        <w:t>depends only on those ranks, the pathway scores are unchanged:</w:t>
      </w:r>
    </w:p>
    <w:p w14:paraId="0EABE156"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ϕ</m:t>
              </m:r>
              <m:d>
                <m:dPr>
                  <m:ctrlPr>
                    <w:rPr>
                      <w:rFonts w:ascii="Cambria Math" w:hAnsi="Cambria Math" w:cs="Times New Roman"/>
                      <w:color w:val="000000" w:themeColor="text1"/>
                    </w:rPr>
                  </m:ctrlPr>
                </m:dPr>
                <m:e>
                  <m:r>
                    <w:rPr>
                      <w:rFonts w:ascii="Cambria Math" w:hAnsi="Cambria Math" w:cs="Times New Roman"/>
                      <w:color w:val="000000" w:themeColor="text1"/>
                    </w:rPr>
                    <m:t>x</m:t>
                  </m:r>
                </m:e>
              </m:d>
            </m:e>
          </m:d>
          <m:r>
            <w:rPr>
              <w:rFonts w:ascii="Cambria Math" w:hAnsi="Cambria Math" w:cs="Times New Roman"/>
              <w:color w:val="000000" w:themeColor="text1"/>
            </w:rPr>
            <m:t>=</m:t>
          </m:r>
          <m:r>
            <m:rPr>
              <m:sty m:val="p"/>
            </m:rPr>
            <w:rPr>
              <w:rFonts w:ascii="Cambria Math" w:hAnsi="Cambria Math" w:cs="Times New Roman"/>
              <w:color w:val="000000" w:themeColor="text1"/>
            </w:rPr>
            <m:t>Ψ</m:t>
          </m:r>
          <m:d>
            <m:dPr>
              <m:ctrlPr>
                <w:rPr>
                  <w:rFonts w:ascii="Cambria Math" w:hAnsi="Cambria Math" w:cs="Times New Roman"/>
                  <w:color w:val="000000" w:themeColor="text1"/>
                </w:rPr>
              </m:ctrlPr>
            </m:dPr>
            <m:e>
              <m:r>
                <w:rPr>
                  <w:rFonts w:ascii="Cambria Math" w:hAnsi="Cambria Math" w:cs="Times New Roman"/>
                  <w:color w:val="000000" w:themeColor="text1"/>
                </w:rPr>
                <m:t>x</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72F04D7F" w14:textId="77777777" w:rsidR="001F255F" w:rsidRPr="00CA61FE" w:rsidRDefault="001F255F" w:rsidP="001F255F">
      <w:pPr>
        <w:pStyle w:val="NormalWeb"/>
        <w:rPr>
          <w:color w:val="000000" w:themeColor="text1"/>
        </w:rPr>
      </w:pPr>
      <w:r>
        <w:rPr>
          <w:color w:val="000000" w:themeColor="text1"/>
        </w:rPr>
        <w:t xml:space="preserve">It follows that the standardized coordinate </w:t>
      </w:r>
      <m:oMath>
        <m:sSub>
          <m:sSubPr>
            <m:ctrlPr>
              <w:rPr>
                <w:rFonts w:ascii="Cambria Math" w:hAnsi="Cambria Math"/>
                <w:color w:val="000000" w:themeColor="text1"/>
              </w:rPr>
            </m:ctrlPr>
          </m:sSubPr>
          <m:e>
            <m:r>
              <m:rPr>
                <m:sty m:val="p"/>
              </m:rPr>
              <w:rPr>
                <w:rFonts w:ascii="Cambria Math" w:hAnsi="Cambria Math"/>
                <w:color w:val="000000" w:themeColor="text1"/>
              </w:rPr>
              <m:t>Φ</m:t>
            </m:r>
          </m:e>
          <m:sub>
            <m:r>
              <w:rPr>
                <w:rFonts w:ascii="Cambria Math" w:hAnsi="Cambria Math"/>
                <w:color w:val="000000" w:themeColor="text1"/>
              </w:rPr>
              <m:t>R</m:t>
            </m:r>
          </m:sub>
        </m:sSub>
        <m:d>
          <m:dPr>
            <m:ctrlPr>
              <w:rPr>
                <w:rFonts w:ascii="Cambria Math" w:hAnsi="Cambria Math"/>
                <w:color w:val="000000" w:themeColor="text1"/>
              </w:rPr>
            </m:ctrlPr>
          </m:dPr>
          <m:e>
            <m:r>
              <m:rPr>
                <m:sty m:val="p"/>
              </m:rPr>
              <w:rPr>
                <w:rFonts w:ascii="Cambria Math" w:hAnsi="Cambria Math"/>
                <w:color w:val="000000" w:themeColor="text1"/>
              </w:rPr>
              <m:t>Ψ</m:t>
            </m:r>
            <m:d>
              <m:dPr>
                <m:ctrlPr>
                  <w:rPr>
                    <w:rFonts w:ascii="Cambria Math" w:hAnsi="Cambria Math"/>
                    <w:color w:val="000000" w:themeColor="text1"/>
                  </w:rPr>
                </m:ctrlPr>
              </m:dPr>
              <m:e>
                <m:r>
                  <w:rPr>
                    <w:rFonts w:ascii="Cambria Math" w:hAnsi="Cambria Math"/>
                    <w:color w:val="000000" w:themeColor="text1"/>
                  </w:rPr>
                  <m:t>ϕ</m:t>
                </m:r>
                <m:d>
                  <m:dPr>
                    <m:ctrlPr>
                      <w:rPr>
                        <w:rFonts w:ascii="Cambria Math" w:hAnsi="Cambria Math"/>
                        <w:color w:val="000000" w:themeColor="text1"/>
                      </w:rPr>
                    </m:ctrlPr>
                  </m:dPr>
                  <m:e>
                    <m:r>
                      <w:rPr>
                        <w:rFonts w:ascii="Cambria Math" w:hAnsi="Cambria Math"/>
                        <w:color w:val="000000" w:themeColor="text1"/>
                      </w:rPr>
                      <m:t>x</m:t>
                    </m:r>
                  </m:e>
                </m:d>
              </m:e>
            </m:d>
          </m:e>
        </m:d>
      </m:oMath>
      <w:r>
        <w:rPr>
          <w:color w:val="000000" w:themeColor="text1"/>
        </w:rPr>
        <w:t xml:space="preserve">is the same as </w:t>
      </w:r>
      <m:oMath>
        <m:sSub>
          <m:sSubPr>
            <m:ctrlPr>
              <w:rPr>
                <w:rFonts w:ascii="Cambria Math" w:hAnsi="Cambria Math"/>
                <w:color w:val="000000" w:themeColor="text1"/>
              </w:rPr>
            </m:ctrlPr>
          </m:sSubPr>
          <m:e>
            <m:r>
              <m:rPr>
                <m:sty m:val="p"/>
              </m:rPr>
              <w:rPr>
                <w:rFonts w:ascii="Cambria Math" w:hAnsi="Cambria Math"/>
                <w:color w:val="000000" w:themeColor="text1"/>
              </w:rPr>
              <m:t>Φ</m:t>
            </m:r>
          </m:e>
          <m:sub>
            <m:r>
              <w:rPr>
                <w:rFonts w:ascii="Cambria Math" w:hAnsi="Cambria Math"/>
                <w:color w:val="000000" w:themeColor="text1"/>
              </w:rPr>
              <m:t>R</m:t>
            </m:r>
          </m:sub>
        </m:sSub>
        <m:d>
          <m:dPr>
            <m:ctrlPr>
              <w:rPr>
                <w:rFonts w:ascii="Cambria Math" w:hAnsi="Cambria Math"/>
                <w:color w:val="000000" w:themeColor="text1"/>
              </w:rPr>
            </m:ctrlPr>
          </m:dPr>
          <m:e>
            <m:r>
              <m:rPr>
                <m:sty m:val="p"/>
              </m:rPr>
              <w:rPr>
                <w:rFonts w:ascii="Cambria Math" w:hAnsi="Cambria Math"/>
                <w:color w:val="000000" w:themeColor="text1"/>
              </w:rPr>
              <m:t>Ψ</m:t>
            </m:r>
            <m:d>
              <m:dPr>
                <m:ctrlPr>
                  <w:rPr>
                    <w:rFonts w:ascii="Cambria Math" w:hAnsi="Cambria Math"/>
                    <w:color w:val="000000" w:themeColor="text1"/>
                  </w:rPr>
                </m:ctrlPr>
              </m:dPr>
              <m:e>
                <m:r>
                  <w:rPr>
                    <w:rFonts w:ascii="Cambria Math" w:hAnsi="Cambria Math"/>
                    <w:color w:val="000000" w:themeColor="text1"/>
                  </w:rPr>
                  <m:t>x</m:t>
                </m:r>
              </m:e>
            </m:d>
          </m:e>
        </m:d>
      </m:oMath>
      <w:r>
        <w:rPr>
          <w:color w:val="000000" w:themeColor="text1"/>
        </w:rPr>
        <w:t xml:space="preserve">, and therefore the scalar projection by </w:t>
      </w:r>
      <m:oMath>
        <m:r>
          <w:rPr>
            <w:rFonts w:ascii="Cambria Math" w:hAnsi="Cambria Math"/>
            <w:color w:val="000000" w:themeColor="text1"/>
          </w:rPr>
          <m:t>w</m:t>
        </m:r>
      </m:oMath>
      <w:r>
        <w:rPr>
          <w:color w:val="000000" w:themeColor="text1"/>
        </w:rPr>
        <w:t xml:space="preserve">is also unchanged. Hence, </w:t>
      </w:r>
      <m:oMath>
        <m:r>
          <m:rPr>
            <m:sty m:val="p"/>
          </m:rPr>
          <w:rPr>
            <w:rFonts w:ascii="Cambria Math" w:hAnsi="Cambria Math"/>
            <w:color w:val="000000" w:themeColor="text1"/>
          </w:rPr>
          <m:t>TCSI</m:t>
        </m:r>
      </m:oMath>
      <w:r>
        <w:rPr>
          <w:color w:val="000000" w:themeColor="text1"/>
        </w:rPr>
        <w:t xml:space="preserve">is invariant under </w:t>
      </w:r>
      <m:oMath>
        <m:r>
          <w:rPr>
            <w:rFonts w:ascii="Cambria Math" w:hAnsi="Cambria Math"/>
            <w:color w:val="000000" w:themeColor="text1"/>
          </w:rPr>
          <m:t>ϕ</m:t>
        </m:r>
      </m:oMath>
      <w:r>
        <w:rPr>
          <w:color w:val="000000" w:themeColor="text1"/>
        </w:rPr>
        <w:t xml:space="preserve">. </w:t>
      </w:r>
    </w:p>
    <w:p w14:paraId="07D9F641" w14:textId="77777777" w:rsidR="001F255F" w:rsidRPr="00CA61FE" w:rsidRDefault="001F255F" w:rsidP="0060461E">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lastRenderedPageBreak/>
        <w:t>3.5 Large-Sample Behavior of Reference Parameters</w:t>
      </w:r>
    </w:p>
    <w:p w14:paraId="4FC8CB7E" w14:textId="77777777" w:rsidR="001F255F" w:rsidRPr="00CA61FE" w:rsidRDefault="001F255F" w:rsidP="001F255F">
      <w:pPr>
        <w:pStyle w:val="NormalWeb"/>
        <w:rPr>
          <w:color w:val="000000" w:themeColor="text1"/>
        </w:rPr>
      </w:pPr>
      <w:r>
        <w:rPr>
          <w:rStyle w:val="Strong"/>
          <w:color w:val="000000" w:themeColor="text1"/>
        </w:rPr>
        <w:t>Proposition 3.5. Large-sample reference consistency.</w:t>
      </w:r>
      <w:r>
        <w:rPr>
          <w:color w:val="000000" w:themeColor="text1"/>
        </w:rPr>
        <w:br/>
        <w:t xml:space="preserve">Let </w:t>
      </w:r>
      <m:oMath>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m:t>
            </m:r>
          </m:sub>
        </m:sSub>
        <m:r>
          <w:rPr>
            <w:rFonts w:ascii="Cambria Math" w:hAnsi="Cambria Math"/>
            <w:color w:val="000000" w:themeColor="text1"/>
          </w:rPr>
          <m:t xml:space="preserve"> </m:t>
        </m:r>
      </m:oMath>
      <w:r>
        <w:rPr>
          <w:color w:val="000000" w:themeColor="text1"/>
        </w:rPr>
        <w:t xml:space="preserve">be an i.i.d. draw of size </w:t>
      </w:r>
      <m:oMath>
        <m:r>
          <w:rPr>
            <w:rFonts w:ascii="Cambria Math" w:hAnsi="Cambria Math"/>
            <w:color w:val="000000" w:themeColor="text1"/>
          </w:rPr>
          <m:t xml:space="preserve">n </m:t>
        </m:r>
      </m:oMath>
      <w:r>
        <w:rPr>
          <w:color w:val="000000" w:themeColor="text1"/>
        </w:rPr>
        <w:t xml:space="preserve">from a population distribution over compatible transcriptomic profiles, with population reference parameters </w:t>
      </w:r>
      <m:oMath>
        <m:sSup>
          <m:sSupPr>
            <m:ctrlPr>
              <w:rPr>
                <w:rFonts w:ascii="Cambria Math" w:hAnsi="Cambria Math"/>
                <w:color w:val="000000" w:themeColor="text1"/>
              </w:rPr>
            </m:ctrlPr>
          </m:sSupPr>
          <m:e>
            <m:r>
              <w:rPr>
                <w:rFonts w:ascii="Cambria Math" w:hAnsi="Cambria Math"/>
                <w:color w:val="000000" w:themeColor="text1"/>
              </w:rPr>
              <m:t>μ</m:t>
            </m:r>
          </m:e>
          <m:sup>
            <m:r>
              <w:rPr>
                <w:rFonts w:ascii="Cambria Math" w:hAnsi="Cambria Math"/>
                <w:color w:val="000000" w:themeColor="text1"/>
              </w:rPr>
              <m:t>*</m:t>
            </m:r>
          </m:sup>
        </m:sSup>
      </m:oMath>
      <w:r>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D</m:t>
            </m:r>
          </m:e>
          <m:sup>
            <m:r>
              <w:rPr>
                <w:rFonts w:ascii="Cambria Math" w:hAnsi="Cambria Math"/>
                <w:color w:val="000000" w:themeColor="text1"/>
              </w:rPr>
              <m:t>*</m:t>
            </m:r>
          </m:sup>
        </m:sSup>
      </m:oMath>
      <w:r>
        <w:rPr>
          <w:color w:val="000000" w:themeColor="text1"/>
        </w:rPr>
        <w:t xml:space="preserve">. Assume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k</m:t>
            </m:r>
          </m:sub>
          <m:sup>
            <m:r>
              <w:rPr>
                <w:rFonts w:ascii="Cambria Math" w:hAnsi="Cambria Math"/>
                <w:color w:val="000000" w:themeColor="text1"/>
              </w:rPr>
              <m:t>*</m:t>
            </m:r>
          </m:sup>
        </m:sSubSup>
        <m:r>
          <w:rPr>
            <w:rFonts w:ascii="Cambria Math" w:hAnsi="Cambria Math"/>
            <w:color w:val="000000" w:themeColor="text1"/>
          </w:rPr>
          <m:t>&gt;0</m:t>
        </m:r>
      </m:oMath>
      <w:r>
        <w:rPr>
          <w:color w:val="000000" w:themeColor="text1"/>
        </w:rPr>
        <w:t xml:space="preserve">for all </w:t>
      </w:r>
      <m:oMath>
        <m:r>
          <w:rPr>
            <w:rFonts w:ascii="Cambria Math" w:hAnsi="Cambria Math"/>
            <w:color w:val="000000" w:themeColor="text1"/>
          </w:rPr>
          <m:t>k</m:t>
        </m:r>
      </m:oMath>
      <w:r>
        <w:rPr>
          <w:color w:val="000000" w:themeColor="text1"/>
        </w:rPr>
        <w:t xml:space="preserve">. Then, as </w:t>
      </w:r>
      <m:oMath>
        <m:r>
          <w:rPr>
            <w:rFonts w:ascii="Cambria Math" w:hAnsi="Cambria Math"/>
            <w:color w:val="000000" w:themeColor="text1"/>
          </w:rPr>
          <m:t>n→∞</m:t>
        </m:r>
      </m:oMath>
      <w:r>
        <w:rPr>
          <w:color w:val="000000" w:themeColor="text1"/>
        </w:rPr>
        <w:t>,</w:t>
      </w:r>
    </w:p>
    <w:p w14:paraId="65337D3C" w14:textId="77777777" w:rsidR="001F255F" w:rsidRPr="00CA61FE" w:rsidRDefault="00000000" w:rsidP="001F255F">
      <w:pPr>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n</m:t>
                  </m:r>
                </m:sub>
              </m:sSub>
            </m:sup>
          </m:sSup>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m:t>
              </m:r>
            </m:sup>
          </m:sSup>
          <m:r>
            <m:rPr>
              <m:sty m:val="p"/>
            </m:rPr>
            <w:rPr>
              <w:rFonts w:ascii="Cambria Math" w:hAnsi="Cambria Math" w:cs="Times New Roman"/>
              <w:color w:val="000000" w:themeColor="text1"/>
            </w:rPr>
            <w:br/>
          </m:r>
        </m:oMath>
      </m:oMathPara>
    </w:p>
    <w:p w14:paraId="0358462F" w14:textId="77777777" w:rsidR="001F255F" w:rsidRPr="00CA61FE" w:rsidRDefault="001F255F" w:rsidP="001F255F">
      <w:pPr>
        <w:pStyle w:val="NormalWeb"/>
        <w:rPr>
          <w:color w:val="000000" w:themeColor="text1"/>
        </w:rPr>
      </w:pPr>
      <w:r>
        <w:rPr>
          <w:color w:val="000000" w:themeColor="text1"/>
        </w:rPr>
        <w:t>and</w:t>
      </w:r>
    </w:p>
    <w:p w14:paraId="6C893550" w14:textId="77777777" w:rsidR="001F255F" w:rsidRPr="00CA61FE" w:rsidRDefault="00000000" w:rsidP="001F255F">
      <w:pPr>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D</m:t>
                  </m:r>
                </m:e>
              </m:acc>
            </m:e>
            <m: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n</m:t>
                  </m:r>
                </m:sub>
              </m:sSub>
            </m:sup>
          </m:sSup>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m:t>
              </m:r>
            </m:sup>
          </m:sSup>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66CF3FC3" w14:textId="77777777" w:rsidR="001F255F" w:rsidRPr="00CA61FE" w:rsidRDefault="001F255F" w:rsidP="001F255F">
      <w:pPr>
        <w:pStyle w:val="NormalWeb"/>
        <w:rPr>
          <w:color w:val="000000" w:themeColor="text1"/>
        </w:rPr>
      </w:pPr>
      <w:r>
        <w:rPr>
          <w:color w:val="000000" w:themeColor="text1"/>
        </w:rPr>
        <w:t xml:space="preserve">For any fixed compatible input </w:t>
      </w:r>
      <m:oMath>
        <m:r>
          <w:rPr>
            <w:rFonts w:ascii="Cambria Math" w:hAnsi="Cambria Math"/>
            <w:color w:val="000000" w:themeColor="text1"/>
          </w:rPr>
          <m:t>x</m:t>
        </m:r>
      </m:oMath>
      <w:r>
        <w:rPr>
          <w:color w:val="000000" w:themeColor="text1"/>
        </w:rPr>
        <w:t>,</w:t>
      </w:r>
    </w:p>
    <w:p w14:paraId="37CE05DD"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sSub>
                <m:sSubPr>
                  <m:ctrlPr>
                    <w:rPr>
                      <w:rFonts w:ascii="Cambria Math" w:hAnsi="Cambria Math" w:cs="Times New Roman"/>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n</m:t>
                  </m:r>
                </m:sub>
              </m:sSub>
            </m:e>
          </m:d>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sSup>
                <m:sSupPr>
                  <m:ctrlPr>
                    <w:rPr>
                      <w:rFonts w:ascii="Cambria Math" w:hAnsi="Cambria Math" w:cs="Times New Roman"/>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m:t>
                  </m:r>
                </m:sup>
              </m:sSup>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75C3C9F2" w14:textId="77777777" w:rsidR="001F255F" w:rsidRPr="00CA61FE" w:rsidRDefault="001F255F" w:rsidP="001F255F">
      <w:pPr>
        <w:pStyle w:val="NormalWeb"/>
        <w:rPr>
          <w:color w:val="000000" w:themeColor="text1"/>
        </w:rPr>
      </w:pPr>
      <w:r>
        <w:rPr>
          <w:color w:val="000000" w:themeColor="text1"/>
        </w:rPr>
        <w:t xml:space="preserve">where </w:t>
      </w:r>
      <m:oMath>
        <m:r>
          <m:rPr>
            <m:sty m:val="p"/>
          </m:rPr>
          <w:rPr>
            <w:rFonts w:ascii="Cambria Math" w:hAnsi="Cambria Math"/>
            <w:color w:val="000000" w:themeColor="text1"/>
          </w:rPr>
          <m:t>TCSI</m:t>
        </m:r>
        <m:r>
          <w:rPr>
            <w:rFonts w:ascii="Cambria Math" w:hAnsi="Cambria Math"/>
            <w:color w:val="000000" w:themeColor="text1"/>
          </w:rPr>
          <m:t>⁡</m:t>
        </m:r>
        <m:d>
          <m:dPr>
            <m:sepChr m:val=";"/>
            <m:ctrlPr>
              <w:rPr>
                <w:rFonts w:ascii="Cambria Math" w:hAnsi="Cambria Math"/>
                <w:color w:val="000000" w:themeColor="text1"/>
              </w:rPr>
            </m:ctrlPr>
          </m:dPr>
          <m:e>
            <m:r>
              <w:rPr>
                <w:rFonts w:ascii="Cambria Math" w:hAnsi="Cambria Math"/>
                <w:color w:val="000000" w:themeColor="text1"/>
              </w:rPr>
              <m:t>x</m:t>
            </m:r>
          </m:e>
          <m:e>
            <m:sSup>
              <m:sSupPr>
                <m:ctrlPr>
                  <w:rPr>
                    <w:rFonts w:ascii="Cambria Math" w:hAnsi="Cambria Math"/>
                    <w:color w:val="000000" w:themeColor="text1"/>
                  </w:rPr>
                </m:ctrlPr>
              </m:sSupPr>
              <m:e>
                <m:r>
                  <w:rPr>
                    <w:rFonts w:ascii="Cambria Math" w:hAnsi="Cambria Math"/>
                    <w:color w:val="000000" w:themeColor="text1"/>
                  </w:rPr>
                  <m:t>F</m:t>
                </m:r>
              </m:e>
              <m:sup>
                <m:r>
                  <w:rPr>
                    <w:rFonts w:ascii="Cambria Math" w:hAnsi="Cambria Math"/>
                    <w:color w:val="000000" w:themeColor="text1"/>
                  </w:rPr>
                  <m:t>*</m:t>
                </m:r>
              </m:sup>
            </m:sSup>
          </m:e>
        </m:d>
      </m:oMath>
      <w:r>
        <w:rPr>
          <w:color w:val="000000" w:themeColor="text1"/>
        </w:rPr>
        <w:t>is the population-standardized score.</w:t>
      </w:r>
    </w:p>
    <w:p w14:paraId="732740DF"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Moment conditions. </w:t>
      </w:r>
      <w:r>
        <w:rPr>
          <w:rFonts w:ascii="Times New Roman" w:hAnsi="Times New Roman" w:cs="Times New Roman"/>
          <w:color w:val="000000" w:themeColor="text1"/>
        </w:rPr>
        <w:t>The law-of-large-numbers convergence of the sample mean μ̂_k^(R) to μ_k^(R) requires that pathway scores S_k(x_i) have finite first moments under the population distribution. The convergence of the sample standard deviation σ̂_k^(R) to σ_k^(R) additionally requires finite second moments, which hold whenever the pathway scores are bounded on the realized gene-expression range of the technology. These conditions are satisfied for any bounded deterministic pathway-scoring function applied to bounded expression profiles.</w:t>
      </w:r>
    </w:p>
    <w:p w14:paraId="43F0A3DF" w14:textId="77777777" w:rsidR="001F255F" w:rsidRPr="00CA61FE" w:rsidRDefault="001F255F" w:rsidP="001F255F">
      <w:pPr>
        <w:pStyle w:val="NormalWeb"/>
        <w:rPr>
          <w:color w:val="000000" w:themeColor="text1"/>
        </w:rPr>
      </w:pPr>
      <w:r>
        <w:rPr>
          <w:rStyle w:val="Strong"/>
          <w:color w:val="000000" w:themeColor="text1"/>
        </w:rPr>
        <w:t>Proof.</w:t>
      </w:r>
      <w:r>
        <w:rPr>
          <w:color w:val="000000" w:themeColor="text1"/>
        </w:rPr>
        <w:br/>
        <w:t xml:space="preserve">For each pathway axis </w:t>
      </w:r>
      <m:oMath>
        <m:r>
          <w:rPr>
            <w:rFonts w:ascii="Cambria Math" w:hAnsi="Cambria Math"/>
            <w:color w:val="000000" w:themeColor="text1"/>
          </w:rPr>
          <m:t>k</m:t>
        </m:r>
      </m:oMath>
      <w:r>
        <w:rPr>
          <w:color w:val="000000" w:themeColor="text1"/>
        </w:rPr>
        <w:t xml:space="preserve">, the reference </w:t>
      </w:r>
      <w:proofErr w:type="gramStart"/>
      <w:r>
        <w:rPr>
          <w:color w:val="000000" w:themeColor="text1"/>
        </w:rPr>
        <w:t>mean</w:t>
      </w:r>
      <w:proofErr w:type="gramEnd"/>
      <w:r>
        <w:rPr>
          <w:color w:val="000000" w:themeColor="text1"/>
        </w:rPr>
        <w:t xml:space="preserve"> </w:t>
      </w:r>
      <m:oMath>
        <m:sSubSup>
          <m:sSubSupPr>
            <m:ctrlPr>
              <w:rPr>
                <w:rFonts w:ascii="Cambria Math" w:hAnsi="Cambria Math"/>
                <w:color w:val="000000" w:themeColor="text1"/>
              </w:rPr>
            </m:ctrlPr>
          </m:sSubSupPr>
          <m:e>
            <m:acc>
              <m:accPr>
                <m:ctrlPr>
                  <w:rPr>
                    <w:rFonts w:ascii="Cambria Math" w:hAnsi="Cambria Math"/>
                    <w:color w:val="000000" w:themeColor="text1"/>
                  </w:rPr>
                </m:ctrlPr>
              </m:accPr>
              <m:e>
                <m:r>
                  <w:rPr>
                    <w:rFonts w:ascii="Cambria Math" w:hAnsi="Cambria Math"/>
                    <w:color w:val="000000" w:themeColor="text1"/>
                  </w:rPr>
                  <m:t>μ</m:t>
                </m:r>
              </m:e>
            </m:acc>
          </m:e>
          <m:sub>
            <m:r>
              <w:rPr>
                <w:rFonts w:ascii="Cambria Math" w:hAnsi="Cambria Math"/>
                <w:color w:val="000000" w:themeColor="text1"/>
              </w:rPr>
              <m:t>k</m:t>
            </m:r>
          </m:sub>
          <m:sup>
            <m:sSub>
              <m:sSubPr>
                <m:ctrlPr>
                  <w:rPr>
                    <w:rFonts w:ascii="Cambria Math" w:hAnsi="Cambria Math"/>
                    <w:color w:val="000000" w:themeColor="text1"/>
                  </w:rPr>
                </m:ctrlPr>
              </m:sSubPr>
              <m:e>
                <m:r>
                  <w:rPr>
                    <w:rFonts w:ascii="Cambria Math" w:hAnsi="Cambria Math"/>
                    <w:color w:val="000000" w:themeColor="text1"/>
                  </w:rPr>
                  <m:t>R</m:t>
                </m:r>
              </m:e>
              <m:sub>
                <m:r>
                  <w:rPr>
                    <w:rFonts w:ascii="Cambria Math" w:hAnsi="Cambria Math"/>
                    <w:color w:val="000000" w:themeColor="text1"/>
                  </w:rPr>
                  <m:t>n</m:t>
                </m:r>
              </m:sub>
            </m:sSub>
          </m:sup>
        </m:sSubSup>
      </m:oMath>
      <w:r w:rsidR="00CF5BAF">
        <w:rPr>
          <w:color w:val="000000" w:themeColor="text1"/>
        </w:rPr>
        <w:t xml:space="preserve"> </w:t>
      </w:r>
      <w:r>
        <w:rPr>
          <w:color w:val="000000" w:themeColor="text1"/>
        </w:rPr>
        <w:t xml:space="preserve">and reference variance estimate are computed from an i.i.d. reference sample. By the law of large numbers, the sample mean converges in probability to the corresponding population mean </w:t>
      </w:r>
      <m:oMath>
        <m:sSubSup>
          <m:sSubSupPr>
            <m:ctrlPr>
              <w:rPr>
                <w:rFonts w:ascii="Cambria Math" w:hAnsi="Cambria Math"/>
                <w:color w:val="000000" w:themeColor="text1"/>
              </w:rPr>
            </m:ctrlPr>
          </m:sSubSupPr>
          <m:e>
            <m:r>
              <w:rPr>
                <w:rFonts w:ascii="Cambria Math" w:hAnsi="Cambria Math"/>
                <w:color w:val="000000" w:themeColor="text1"/>
              </w:rPr>
              <m:t>μ</m:t>
            </m:r>
          </m:e>
          <m:sub>
            <m:r>
              <w:rPr>
                <w:rFonts w:ascii="Cambria Math" w:hAnsi="Cambria Math"/>
                <w:color w:val="000000" w:themeColor="text1"/>
              </w:rPr>
              <m:t>k</m:t>
            </m:r>
          </m:sub>
          <m:sup>
            <m:r>
              <w:rPr>
                <w:rFonts w:ascii="Cambria Math" w:hAnsi="Cambria Math"/>
                <w:color w:val="000000" w:themeColor="text1"/>
              </w:rPr>
              <m:t>*</m:t>
            </m:r>
          </m:sup>
        </m:sSubSup>
      </m:oMath>
      <w:r>
        <w:rPr>
          <w:color w:val="000000" w:themeColor="text1"/>
        </w:rPr>
        <w:t xml:space="preserve">. Under the assumption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k</m:t>
            </m:r>
          </m:sub>
          <m:sup>
            <m:r>
              <w:rPr>
                <w:rFonts w:ascii="Cambria Math" w:hAnsi="Cambria Math"/>
                <w:color w:val="000000" w:themeColor="text1"/>
              </w:rPr>
              <m:t>*</m:t>
            </m:r>
          </m:sup>
        </m:sSubSup>
        <m:r>
          <w:rPr>
            <w:rFonts w:ascii="Cambria Math" w:hAnsi="Cambria Math"/>
            <w:color w:val="000000" w:themeColor="text1"/>
          </w:rPr>
          <m:t>&gt;0</m:t>
        </m:r>
      </m:oMath>
      <w:r>
        <w:rPr>
          <w:color w:val="000000" w:themeColor="text1"/>
        </w:rPr>
        <w:t xml:space="preserve">, the sample standard deviation also converges in probability to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k</m:t>
            </m:r>
          </m:sub>
          <m:sup>
            <m:r>
              <w:rPr>
                <w:rFonts w:ascii="Cambria Math" w:hAnsi="Cambria Math"/>
                <w:color w:val="000000" w:themeColor="text1"/>
              </w:rPr>
              <m:t>*</m:t>
            </m:r>
          </m:sup>
        </m:sSubSup>
      </m:oMath>
      <w:r>
        <w:rPr>
          <w:color w:val="000000" w:themeColor="text1"/>
        </w:rPr>
        <w:t>. Therefore,</w:t>
      </w:r>
    </w:p>
    <w:p w14:paraId="01CB7B68" w14:textId="77777777" w:rsidR="001F255F" w:rsidRPr="00CA61FE" w:rsidRDefault="00000000" w:rsidP="001F255F">
      <w:pPr>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μ</m:t>
                  </m:r>
                </m:e>
              </m:acc>
            </m:e>
            <m: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n</m:t>
                  </m:r>
                </m:sub>
              </m:sSub>
            </m:sup>
          </m:sSup>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sSup>
            <m:sSupPr>
              <m:ctrlPr>
                <w:rPr>
                  <w:rFonts w:ascii="Cambria Math" w:hAnsi="Cambria Math" w:cs="Times New Roman"/>
                  <w:color w:val="000000" w:themeColor="text1"/>
                </w:rPr>
              </m:ctrlPr>
            </m:sSupPr>
            <m:e>
              <m:r>
                <w:rPr>
                  <w:rFonts w:ascii="Cambria Math" w:hAnsi="Cambria Math" w:cs="Times New Roman"/>
                  <w:color w:val="000000" w:themeColor="text1"/>
                </w:rPr>
                <m:t>μ</m:t>
              </m:r>
            </m:e>
            <m:sup>
              <m:r>
                <w:rPr>
                  <w:rFonts w:ascii="Cambria Math" w:hAnsi="Cambria Math" w:cs="Times New Roman"/>
                  <w:color w:val="000000" w:themeColor="text1"/>
                </w:rPr>
                <m:t>*</m:t>
              </m:r>
            </m:sup>
          </m:sSup>
          <m:r>
            <m:rPr>
              <m:sty m:val="p"/>
            </m:rPr>
            <w:rPr>
              <w:rFonts w:ascii="Cambria Math" w:hAnsi="Cambria Math" w:cs="Times New Roman"/>
              <w:color w:val="000000" w:themeColor="text1"/>
            </w:rPr>
            <w:br/>
          </m:r>
        </m:oMath>
      </m:oMathPara>
    </w:p>
    <w:p w14:paraId="7649ECA4" w14:textId="77777777" w:rsidR="001F255F" w:rsidRPr="00CA61FE" w:rsidRDefault="001F255F" w:rsidP="001F255F">
      <w:pPr>
        <w:pStyle w:val="NormalWeb"/>
        <w:rPr>
          <w:color w:val="000000" w:themeColor="text1"/>
        </w:rPr>
      </w:pPr>
      <w:r>
        <w:rPr>
          <w:color w:val="000000" w:themeColor="text1"/>
        </w:rPr>
        <w:t>and</w:t>
      </w:r>
    </w:p>
    <w:p w14:paraId="0D0841B3" w14:textId="77777777" w:rsidR="001F255F" w:rsidRPr="00CA61FE" w:rsidRDefault="00000000" w:rsidP="001F255F">
      <w:pPr>
        <w:rPr>
          <w:rFonts w:ascii="Times New Roman" w:hAnsi="Times New Roman" w:cs="Times New Roman"/>
          <w:color w:val="000000" w:themeColor="text1"/>
        </w:rPr>
      </w:pPr>
      <m:oMathPara>
        <m:oMath>
          <m:sSup>
            <m:sSupPr>
              <m:ctrlPr>
                <w:rPr>
                  <w:rFonts w:ascii="Cambria Math" w:hAnsi="Cambria Math" w:cs="Times New Roman"/>
                  <w:color w:val="000000" w:themeColor="text1"/>
                </w:rPr>
              </m:ctrlPr>
            </m:sSupPr>
            <m:e>
              <m:acc>
                <m:accPr>
                  <m:ctrlPr>
                    <w:rPr>
                      <w:rFonts w:ascii="Cambria Math" w:hAnsi="Cambria Math" w:cs="Times New Roman"/>
                      <w:color w:val="000000" w:themeColor="text1"/>
                    </w:rPr>
                  </m:ctrlPr>
                </m:accPr>
                <m:e>
                  <m:r>
                    <w:rPr>
                      <w:rFonts w:ascii="Cambria Math" w:hAnsi="Cambria Math" w:cs="Times New Roman"/>
                      <w:color w:val="000000" w:themeColor="text1"/>
                    </w:rPr>
                    <m:t>D</m:t>
                  </m:r>
                </m:e>
              </m:acc>
            </m:e>
            <m:sup>
              <m:sSub>
                <m:sSubPr>
                  <m:ctrlPr>
                    <w:rPr>
                      <w:rFonts w:ascii="Cambria Math" w:hAnsi="Cambria Math" w:cs="Times New Roman"/>
                      <w:color w:val="000000" w:themeColor="text1"/>
                    </w:rPr>
                  </m:ctrlPr>
                </m:sSubPr>
                <m:e>
                  <m:r>
                    <w:rPr>
                      <w:rFonts w:ascii="Cambria Math" w:hAnsi="Cambria Math" w:cs="Times New Roman"/>
                      <w:color w:val="000000" w:themeColor="text1"/>
                    </w:rPr>
                    <m:t>R</m:t>
                  </m:r>
                </m:e>
                <m:sub>
                  <m:r>
                    <w:rPr>
                      <w:rFonts w:ascii="Cambria Math" w:hAnsi="Cambria Math" w:cs="Times New Roman"/>
                      <w:color w:val="000000" w:themeColor="text1"/>
                    </w:rPr>
                    <m:t>n</m:t>
                  </m:r>
                </m:sub>
              </m:sSub>
            </m:sup>
          </m:sSup>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sSup>
            <m:sSupPr>
              <m:ctrlPr>
                <w:rPr>
                  <w:rFonts w:ascii="Cambria Math" w:hAnsi="Cambria Math" w:cs="Times New Roman"/>
                  <w:color w:val="000000" w:themeColor="text1"/>
                </w:rPr>
              </m:ctrlPr>
            </m:sSupPr>
            <m:e>
              <m:r>
                <w:rPr>
                  <w:rFonts w:ascii="Cambria Math" w:hAnsi="Cambria Math" w:cs="Times New Roman"/>
                  <w:color w:val="000000" w:themeColor="text1"/>
                </w:rPr>
                <m:t>D</m:t>
              </m:r>
            </m:e>
            <m:sup>
              <m:r>
                <w:rPr>
                  <w:rFonts w:ascii="Cambria Math" w:hAnsi="Cambria Math" w:cs="Times New Roman"/>
                  <w:color w:val="000000" w:themeColor="text1"/>
                </w:rPr>
                <m:t>*</m:t>
              </m:r>
            </m:sup>
          </m:sSup>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10CD2CA6" w14:textId="77777777" w:rsidR="001F255F" w:rsidRPr="00CA61FE" w:rsidRDefault="001F255F" w:rsidP="001F255F">
      <w:pPr>
        <w:pStyle w:val="NormalWeb"/>
        <w:rPr>
          <w:color w:val="000000" w:themeColor="text1"/>
        </w:rPr>
      </w:pPr>
      <w:r>
        <w:rPr>
          <w:color w:val="000000" w:themeColor="text1"/>
        </w:rPr>
        <w:lastRenderedPageBreak/>
        <w:t xml:space="preserve">Because the frozen-reference standardization operator </w:t>
      </w:r>
      <m:oMath>
        <m:sSub>
          <m:sSubPr>
            <m:ctrlPr>
              <w:rPr>
                <w:rFonts w:ascii="Cambria Math" w:hAnsi="Cambria Math"/>
                <w:color w:val="000000" w:themeColor="text1"/>
              </w:rPr>
            </m:ctrlPr>
          </m:sSubPr>
          <m:e>
            <m:r>
              <m:rPr>
                <m:sty m:val="p"/>
              </m:rPr>
              <w:rPr>
                <w:rFonts w:ascii="Cambria Math" w:hAnsi="Cambria Math"/>
                <w:color w:val="000000" w:themeColor="text1"/>
              </w:rPr>
              <m:t>Φ</m:t>
            </m:r>
          </m:e>
          <m:sub>
            <m:r>
              <w:rPr>
                <w:rFonts w:ascii="Cambria Math" w:hAnsi="Cambria Math"/>
                <w:color w:val="000000" w:themeColor="text1"/>
              </w:rPr>
              <m:t>R</m:t>
            </m:r>
          </m:sub>
        </m:sSub>
      </m:oMath>
      <w:r>
        <w:rPr>
          <w:color w:val="000000" w:themeColor="text1"/>
        </w:rPr>
        <w:t xml:space="preserve">and the linear projection by </w:t>
      </w:r>
      <m:oMath>
        <m:r>
          <w:rPr>
            <w:rFonts w:ascii="Cambria Math" w:hAnsi="Cambria Math"/>
            <w:color w:val="000000" w:themeColor="text1"/>
          </w:rPr>
          <m:t>w</m:t>
        </m:r>
      </m:oMath>
      <w:r>
        <w:rPr>
          <w:color w:val="000000" w:themeColor="text1"/>
        </w:rPr>
        <w:t xml:space="preserve">are continuous in these parameters when all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k</m:t>
            </m:r>
          </m:sub>
          <m:sup>
            <m:r>
              <w:rPr>
                <w:rFonts w:ascii="Cambria Math" w:hAnsi="Cambria Math"/>
                <w:color w:val="000000" w:themeColor="text1"/>
              </w:rPr>
              <m:t>*</m:t>
            </m:r>
          </m:sup>
        </m:sSubSup>
        <m:r>
          <w:rPr>
            <w:rFonts w:ascii="Cambria Math" w:hAnsi="Cambria Math"/>
            <w:color w:val="000000" w:themeColor="text1"/>
          </w:rPr>
          <m:t>&gt;0</m:t>
        </m:r>
      </m:oMath>
      <w:r>
        <w:rPr>
          <w:color w:val="000000" w:themeColor="text1"/>
        </w:rPr>
        <w:t>, the continuous mapping theorem gives</w:t>
      </w:r>
    </w:p>
    <w:p w14:paraId="2A368DC2"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sSub>
                <m:sSubPr>
                  <m:ctrlPr>
                    <w:rPr>
                      <w:rFonts w:ascii="Cambria Math" w:hAnsi="Cambria Math" w:cs="Times New Roman"/>
                      <w:color w:val="000000" w:themeColor="text1"/>
                    </w:rPr>
                  </m:ctrlPr>
                </m:sSubPr>
                <m:e>
                  <m:r>
                    <w:rPr>
                      <w:rFonts w:ascii="Cambria Math" w:hAnsi="Cambria Math" w:cs="Times New Roman"/>
                      <w:color w:val="000000" w:themeColor="text1"/>
                    </w:rPr>
                    <m:t>F</m:t>
                  </m:r>
                </m:e>
                <m:sub>
                  <m:r>
                    <w:rPr>
                      <w:rFonts w:ascii="Cambria Math" w:hAnsi="Cambria Math" w:cs="Times New Roman"/>
                      <w:color w:val="000000" w:themeColor="text1"/>
                    </w:rPr>
                    <m:t>n</m:t>
                  </m:r>
                </m:sub>
              </m:sSub>
            </m:e>
          </m:d>
          <m:groupChr>
            <m:groupChrPr>
              <m:chr m:val="→"/>
              <m:vertJc m:val="bot"/>
              <m:ctrlPr>
                <w:rPr>
                  <w:rFonts w:ascii="Cambria Math" w:hAnsi="Cambria Math" w:cs="Times New Roman"/>
                  <w:color w:val="000000" w:themeColor="text1"/>
                </w:rPr>
              </m:ctrlPr>
            </m:groupChrPr>
            <m:e>
              <m:box>
                <m:boxPr>
                  <m:ctrlPr>
                    <w:rPr>
                      <w:rFonts w:ascii="Cambria Math" w:hAnsi="Cambria Math" w:cs="Times New Roman"/>
                      <w:color w:val="000000" w:themeColor="text1"/>
                    </w:rPr>
                  </m:ctrlPr>
                </m:boxPr>
                <m:e>
                  <m:r>
                    <w:rPr>
                      <w:rFonts w:ascii="Cambria Math" w:hAnsi="Cambria Math" w:cs="Times New Roman"/>
                      <w:color w:val="000000" w:themeColor="text1"/>
                    </w:rPr>
                    <m:t>p</m:t>
                  </m:r>
                </m:e>
              </m:box>
            </m:e>
          </m:groupCh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sSup>
                <m:sSupPr>
                  <m:ctrlPr>
                    <w:rPr>
                      <w:rFonts w:ascii="Cambria Math" w:hAnsi="Cambria Math" w:cs="Times New Roman"/>
                      <w:color w:val="000000" w:themeColor="text1"/>
                    </w:rPr>
                  </m:ctrlPr>
                </m:sSupPr>
                <m:e>
                  <m:r>
                    <w:rPr>
                      <w:rFonts w:ascii="Cambria Math" w:hAnsi="Cambria Math" w:cs="Times New Roman"/>
                      <w:color w:val="000000" w:themeColor="text1"/>
                    </w:rPr>
                    <m:t>F</m:t>
                  </m:r>
                </m:e>
                <m:sup>
                  <m:r>
                    <w:rPr>
                      <w:rFonts w:ascii="Cambria Math" w:hAnsi="Cambria Math" w:cs="Times New Roman"/>
                      <w:color w:val="000000" w:themeColor="text1"/>
                    </w:rPr>
                    <m:t>*</m:t>
                  </m:r>
                </m:sup>
              </m:sSup>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09E920D3" w14:textId="77777777" w:rsidR="001F255F" w:rsidRPr="00CA61FE" w:rsidRDefault="001F255F" w:rsidP="0060461E">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3.6 Coordinate-Wise Monotonicity</w:t>
      </w:r>
    </w:p>
    <w:p w14:paraId="4F9CEDDB" w14:textId="77777777" w:rsidR="001F255F" w:rsidRPr="00CA61FE" w:rsidRDefault="001F255F" w:rsidP="001F255F">
      <w:pPr>
        <w:pStyle w:val="NormalWeb"/>
        <w:rPr>
          <w:color w:val="000000" w:themeColor="text1"/>
        </w:rPr>
      </w:pPr>
      <w:r>
        <w:rPr>
          <w:rStyle w:val="Strong"/>
          <w:color w:val="000000" w:themeColor="text1"/>
        </w:rPr>
        <w:t>Proposition 3.6. Coordinate-wise monotonicity.</w:t>
      </w:r>
      <w:r>
        <w:rPr>
          <w:color w:val="000000" w:themeColor="text1"/>
        </w:rPr>
        <w:br/>
        <w:t xml:space="preserve">Let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≥0</m:t>
        </m:r>
      </m:oMath>
      <w:r>
        <w:rPr>
          <w:color w:val="000000" w:themeColor="text1"/>
        </w:rPr>
        <w:t xml:space="preserve">for all </w:t>
      </w:r>
      <m:oMath>
        <m:r>
          <w:rPr>
            <w:rFonts w:ascii="Cambria Math" w:hAnsi="Cambria Math"/>
            <w:color w:val="000000" w:themeColor="text1"/>
          </w:rPr>
          <m:t>k</m:t>
        </m:r>
      </m:oMath>
      <w:r>
        <w:rPr>
          <w:color w:val="000000" w:themeColor="text1"/>
        </w:rPr>
        <w:t>. If</w:t>
      </w:r>
    </w:p>
    <w:p w14:paraId="525DD508" w14:textId="77777777" w:rsidR="001F255F" w:rsidRPr="00CA61FE" w:rsidRDefault="00000000" w:rsidP="001F255F">
      <w:pPr>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m:t>
              </m:r>
            </m:sub>
            <m:sup>
              <m:r>
                <w:rPr>
                  <w:rFonts w:ascii="Cambria Math" w:hAnsi="Cambria Math" w:cs="Times New Roman"/>
                  <w:color w:val="000000" w:themeColor="text1"/>
                </w:rPr>
                <m:t>*</m:t>
              </m:r>
            </m:sup>
          </m:sSubSup>
          <m:r>
            <m:rPr>
              <m:sty m:val="p"/>
            </m:rPr>
            <w:rPr>
              <w:rFonts w:ascii="Cambria Math" w:hAnsi="Cambria Math" w:cs="Times New Roman"/>
              <w:color w:val="000000" w:themeColor="text1"/>
            </w:rPr>
            <w:br/>
          </m:r>
        </m:oMath>
      </m:oMathPara>
    </w:p>
    <w:p w14:paraId="74C27203" w14:textId="77777777" w:rsidR="001F255F" w:rsidRPr="00CA61FE" w:rsidRDefault="001F255F" w:rsidP="001F255F">
      <w:pPr>
        <w:pStyle w:val="NormalWeb"/>
        <w:rPr>
          <w:color w:val="000000" w:themeColor="text1"/>
        </w:rPr>
      </w:pPr>
      <w:r>
        <w:rPr>
          <w:color w:val="000000" w:themeColor="text1"/>
        </w:rPr>
        <w:t>componentwise, then</w:t>
      </w:r>
    </w:p>
    <w:p w14:paraId="629CE2AF"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7B14EAF" w14:textId="77777777" w:rsidR="001F255F" w:rsidRPr="00CA61FE" w:rsidRDefault="001F255F" w:rsidP="001F255F">
      <w:pPr>
        <w:pStyle w:val="NormalWeb"/>
        <w:rPr>
          <w:color w:val="000000" w:themeColor="text1"/>
        </w:rPr>
      </w:pPr>
      <w:r>
        <w:rPr>
          <w:color w:val="000000" w:themeColor="text1"/>
        </w:rPr>
        <w:t>That is, the TCSI functional is coordinate-wise monotone in the reference-standardized stress coordinates.</w:t>
      </w:r>
    </w:p>
    <w:p w14:paraId="282453C3" w14:textId="77777777" w:rsidR="001F255F" w:rsidRPr="00CA61FE" w:rsidRDefault="001F255F" w:rsidP="001F255F">
      <w:pPr>
        <w:pStyle w:val="NormalWeb"/>
        <w:rPr>
          <w:color w:val="000000" w:themeColor="text1"/>
        </w:rPr>
      </w:pPr>
      <w:r>
        <w:rPr>
          <w:rStyle w:val="Strong"/>
          <w:color w:val="000000" w:themeColor="text1"/>
        </w:rPr>
        <w:t>Proof.</w:t>
      </w:r>
      <w:r>
        <w:rPr>
          <w:color w:val="000000" w:themeColor="text1"/>
        </w:rPr>
        <w:br/>
        <w:t>By definition,</w:t>
      </w:r>
    </w:p>
    <w:p w14:paraId="14AE1E8F"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nary>
            <m:naryPr>
              <m:chr m:val="∑"/>
              <m:limLoc m:val="undOvr"/>
              <m:grow m:val="1"/>
              <m:ctrlPr>
                <w:rPr>
                  <w:rFonts w:ascii="Cambria Math" w:hAnsi="Cambria Math" w:cs="Times New Roman"/>
                  <w:color w:val="000000" w:themeColor="text1"/>
                </w:rPr>
              </m:ctrlPr>
            </m:naryPr>
            <m:sub>
              <m:r>
                <w:rPr>
                  <w:rFonts w:ascii="Cambria Math" w:hAnsi="Cambria Math" w:cs="Times New Roman"/>
                  <w:color w:val="000000" w:themeColor="text1"/>
                </w:rPr>
                <m:t>k=1</m:t>
              </m:r>
            </m:sub>
            <m:sup>
              <m:r>
                <w:rPr>
                  <w:rFonts w:ascii="Cambria Math" w:hAnsi="Cambria Math" w:cs="Times New Roman"/>
                  <w:color w:val="000000" w:themeColor="text1"/>
                </w:rPr>
                <m:t>K</m:t>
              </m:r>
            </m:sup>
            <m:e>
              <m:sSub>
                <m:sSubPr>
                  <m:ctrlPr>
                    <w:rPr>
                      <w:rFonts w:ascii="Cambria Math" w:hAnsi="Cambria Math" w:cs="Times New Roman"/>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k</m:t>
                  </m:r>
                </m:sub>
              </m:sSub>
            </m:e>
          </m:nary>
          <m:d>
            <m:dPr>
              <m:ctrlPr>
                <w:rPr>
                  <w:rFonts w:ascii="Cambria Math" w:hAnsi="Cambria Math" w:cs="Times New Roman"/>
                  <w:color w:val="000000" w:themeColor="text1"/>
                </w:rPr>
              </m:ctrlPr>
            </m:dPr>
            <m:e>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ik</m:t>
                  </m:r>
                </m:sub>
                <m:sup>
                  <m:r>
                    <w:rPr>
                      <w:rFonts w:ascii="Cambria Math" w:hAnsi="Cambria Math" w:cs="Times New Roman"/>
                      <w:color w:val="000000" w:themeColor="text1"/>
                    </w:rPr>
                    <m:t>*</m:t>
                  </m:r>
                </m:sup>
              </m:sSubSup>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jk</m:t>
                  </m:r>
                </m:sub>
                <m:sup>
                  <m:r>
                    <w:rPr>
                      <w:rFonts w:ascii="Cambria Math" w:hAnsi="Cambria Math" w:cs="Times New Roman"/>
                      <w:color w:val="000000" w:themeColor="text1"/>
                    </w:rPr>
                    <m:t>*</m:t>
                  </m:r>
                </m:sup>
              </m:sSubSup>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76D708B2" w14:textId="77777777" w:rsidR="001F255F" w:rsidRPr="00CA61FE" w:rsidRDefault="001F255F" w:rsidP="001F255F">
      <w:pPr>
        <w:pStyle w:val="NormalWeb"/>
        <w:rPr>
          <w:color w:val="000000" w:themeColor="text1"/>
        </w:rPr>
      </w:pPr>
      <w:r>
        <w:rPr>
          <w:color w:val="000000" w:themeColor="text1"/>
        </w:rPr>
        <w:t xml:space="preserve">Since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≥0</m:t>
        </m:r>
      </m:oMath>
      <w:r>
        <w:rPr>
          <w:color w:val="000000" w:themeColor="text1"/>
        </w:rPr>
        <w:t xml:space="preserve">and </w:t>
      </w:r>
      <m:oMath>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ik</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z</m:t>
            </m:r>
          </m:e>
          <m:sub>
            <m:r>
              <w:rPr>
                <w:rFonts w:ascii="Cambria Math" w:hAnsi="Cambria Math"/>
                <w:color w:val="000000" w:themeColor="text1"/>
              </w:rPr>
              <m:t>jk</m:t>
            </m:r>
          </m:sub>
          <m:sup>
            <m:r>
              <w:rPr>
                <w:rFonts w:ascii="Cambria Math" w:hAnsi="Cambria Math"/>
                <w:color w:val="000000" w:themeColor="text1"/>
              </w:rPr>
              <m:t>*</m:t>
            </m:r>
          </m:sup>
        </m:sSubSup>
        <m:r>
          <w:rPr>
            <w:rFonts w:ascii="Cambria Math" w:hAnsi="Cambria Math"/>
            <w:color w:val="000000" w:themeColor="text1"/>
          </w:rPr>
          <m:t>≥0</m:t>
        </m:r>
      </m:oMath>
      <w:r>
        <w:rPr>
          <w:color w:val="000000" w:themeColor="text1"/>
        </w:rPr>
        <w:t xml:space="preserve">for every </w:t>
      </w:r>
      <m:oMath>
        <m:r>
          <w:rPr>
            <w:rFonts w:ascii="Cambria Math" w:hAnsi="Cambria Math"/>
            <w:color w:val="000000" w:themeColor="text1"/>
          </w:rPr>
          <m:t>k</m:t>
        </m:r>
      </m:oMath>
      <w:r>
        <w:rPr>
          <w:color w:val="000000" w:themeColor="text1"/>
        </w:rPr>
        <w:t>, each summand is nonnegative. Therefore, the total sum is nonnegative, and</w:t>
      </w:r>
    </w:p>
    <w:p w14:paraId="32759012"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i</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e>
            <m:e>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6324E2AC" w14:textId="77777777" w:rsidR="004631A7" w:rsidRPr="00CA61FE" w:rsidRDefault="00000000">
      <w:pPr>
        <w:rPr>
          <w:rFonts w:ascii="Times New Roman" w:hAnsi="Times New Roman" w:cs="Times New Roman"/>
          <w:color w:val="000000" w:themeColor="text1"/>
        </w:rPr>
      </w:pPr>
      <w:r>
        <w:rPr>
          <w:rFonts w:ascii="Times New Roman" w:hAnsi="Times New Roman" w:cs="Times New Roman"/>
          <w:color w:val="000000" w:themeColor="text1"/>
        </w:rPr>
        <w:t xml:space="preserve">An additional consideration concerns alternative scalar summaries of the composite stress coordinate. The L₂ norm ‖z̃_i‖₂ = √(Σ_k z̃_ik²) could serve as an alternative aggregate burden measure, as could the Mahalanobis distance d_M(z̃_i, 0) = √(z̃_iᵀ Σ_z̃⁻¹ z̃_i) if a covariance estimate Σ_z̃ were available. However, both alternatives have disadvantages for the present framework. The L₂ norm is symmetric under sign reversal: a sample with all stress axes strongly negative would receive the same L₂ value as a sample with all axes strongly positive, conflating high-stress and low-stress phenotypes. The Mahalanobis distance requires estimating a K×K covariance matrix from the reference cohort, introducing estimation error and requiring the </w:t>
      </w:r>
      <w:r>
        <w:rPr>
          <w:rFonts w:ascii="Times New Roman" w:hAnsi="Times New Roman" w:cs="Times New Roman"/>
          <w:color w:val="000000" w:themeColor="text1"/>
        </w:rPr>
        <w:lastRenderedPageBreak/>
        <w:t>reference cohort to be large relative to K; more importantly, it is invariant under rotations, losing the axis-wise biological interpretation that is a defining property of the CSC framework. The equal-weight linear projection wᵀ z̃_i is directionally asymmetric (preserving the distinction between high-stress and low-stress), requires no covariance estimation, is exactly decomposable, and under compound symmetry is spectral-equivalent to PC1. These advantages motivate the linear projection as the canonical scalar summary.</w:t>
      </w:r>
    </w:p>
    <w:p w14:paraId="1918BC0D"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Remark 3.0 (Distinctiveness of the CSC/TCSI framework). </w:t>
      </w:r>
      <w:r>
        <w:rPr>
          <w:rFonts w:ascii="Times New Roman" w:hAnsi="Times New Roman" w:cs="Times New Roman"/>
          <w:color w:val="000000" w:themeColor="text1"/>
        </w:rPr>
        <w:t>Any weighted linear combination of pathway scores is by construction decomposable. The distinction of the CSC/TCSI framework lies not in any single property but in the joint satisfaction of all six properties under a single, locked operator construction. Single-sample computability (Proposition 3.1) addresses portability; outcome independence in construction (Proposition 3.2) addresses validity threats from overfitting; frozen-coordinate comparability (Proposition 3.3) addresses cross-study interpretability; monotone transformation stability (Proposition 3.4) addresses preprocessing robustness; large-sample reference consistency (Proposition 3.5) provides a statistical foundation for the frozen-reference design; and coordinate-wise monotonicity (Proposition 3.6) ensures directional coherence of the scalar summary. Existing pathway score panels satisfy biological interpretability but not reference invariance; outcome-trained signatures violate outcome independence; and PCA-derived scores violate fixed biological axes and, without explicit freezing, violate single-sample computability. The CSC/TCSI operator is the minimal construction that satisfies all six properties simultaneously under a single locked versioned specification. Furthermore, Theorem 4.1 establishes spectral justification for the equal-weight projection under the compound-symmetric assumption, and Theorem 4.2 quantifies noise attenuation theoretical grounding that is absent from ad hoc score combinations. Together, these properties and results constitute a framework rather than merely a score.</w:t>
      </w:r>
    </w:p>
    <w:p w14:paraId="64F2F0D9"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Remark 3.1 (Convergent Measurement Property). </w:t>
      </w:r>
      <w:r>
        <w:rPr>
          <w:rFonts w:ascii="Times New Roman" w:hAnsi="Times New Roman" w:cs="Times New Roman"/>
          <w:color w:val="000000" w:themeColor="text1"/>
        </w:rPr>
        <w:t>Because TCSI encodes a latent biological stress state rather than a regression of observed clinical outcomes, it admits convergent measurement: any measurement modality whose physical or biochemical contrast mechanism reflects one or more of the stress-pathway processes formalised in the TCSI coordinate definition constitutes a theoretically valid surrogate observable for the corresponding TCSI coordinate component, provided the identifiability conditions of Assumptions A1–A3 are satisfied. Under convergent measurement, molecular and noninvasive estimates of TCSI are independent downstream observables of the same latent state</w:t>
      </w:r>
      <w:r w:rsidR="00545C89">
        <w:rPr>
          <w:rFonts w:ascii="Times New Roman" w:hAnsi="Times New Roman" w:cs="Times New Roman"/>
          <w:color w:val="000000" w:themeColor="text1"/>
        </w:rPr>
        <w:t xml:space="preserve">; </w:t>
      </w:r>
      <w:r>
        <w:rPr>
          <w:rFonts w:ascii="Times New Roman" w:hAnsi="Times New Roman" w:cs="Times New Roman"/>
          <w:color w:val="000000" w:themeColor="text1"/>
        </w:rPr>
        <w:t>neither is causally upstream of the other. The existence of this property is a structural consequence of the TCSI framework and does not depend on any particular measurement instrument or imaging protocol. The sufficiency conditions for a proposed instrument to qualify as a valid noninvasive TCSI surrogate, including domain-specific feature selection criteria and identifiability requirements, are deferred to subsequent work in this series.</w:t>
      </w:r>
    </w:p>
    <w:p w14:paraId="570EA287" w14:textId="77777777" w:rsidR="004631A7" w:rsidRPr="00CA61FE" w:rsidRDefault="00000000" w:rsidP="0060461E">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3.7 Topological Properties of the Stress Coordinate Map</w:t>
      </w:r>
    </w:p>
    <w:p w14:paraId="677DEBE2" w14:textId="77777777" w:rsidR="004631A7" w:rsidRPr="00CA61FE" w:rsidRDefault="00000000">
      <w:pPr>
        <w:pStyle w:val="NormalWeb"/>
        <w:rPr>
          <w:color w:val="000000" w:themeColor="text1"/>
        </w:rPr>
      </w:pPr>
      <w:r>
        <w:rPr>
          <w:color w:val="000000" w:themeColor="text1"/>
        </w:rPr>
        <w:t xml:space="preserve">The map Ψ: ℝᵖ → ℝᴷ induces a natural topological structure on the space of molecular profiles. For any target stress coordinate z </w:t>
      </w:r>
      <w:r>
        <w:rPr>
          <w:rFonts w:ascii="Cambria Math" w:hAnsi="Cambria Math" w:cs="Cambria Math"/>
          <w:color w:val="000000" w:themeColor="text1"/>
        </w:rPr>
        <w:t>∈</w:t>
      </w:r>
      <w:r>
        <w:rPr>
          <w:color w:val="000000" w:themeColor="text1"/>
        </w:rPr>
        <w:t xml:space="preserve"> ℝᴷ, the fiber of Ψ at z is the preimage</w:t>
      </w:r>
    </w:p>
    <w:p w14:paraId="64CF2AF2" w14:textId="77777777" w:rsidR="004631A7" w:rsidRPr="00CA61FE" w:rsidRDefault="00000000">
      <w:pPr>
        <w:pStyle w:val="NormalWeb"/>
        <w:rPr>
          <w:color w:val="000000" w:themeColor="text1"/>
        </w:rPr>
      </w:pPr>
      <w:r>
        <w:rPr>
          <w:color w:val="000000" w:themeColor="text1"/>
        </w:rPr>
        <w:lastRenderedPageBreak/>
        <w:t xml:space="preserve">Ψ⁻¹(z) = { x </w:t>
      </w:r>
      <w:r>
        <w:rPr>
          <w:rFonts w:ascii="Cambria Math" w:hAnsi="Cambria Math" w:cs="Cambria Math"/>
          <w:color w:val="000000" w:themeColor="text1"/>
        </w:rPr>
        <w:t>∈</w:t>
      </w:r>
      <w:r>
        <w:rPr>
          <w:color w:val="000000" w:themeColor="text1"/>
        </w:rPr>
        <w:t xml:space="preserve"> ℝᵖ : Ψ(x) = z }</w:t>
      </w:r>
    </w:p>
    <w:p w14:paraId="7AAF6AB0" w14:textId="77777777" w:rsidR="004631A7" w:rsidRPr="00CA61FE" w:rsidRDefault="00000000">
      <w:pPr>
        <w:pStyle w:val="NormalWeb"/>
        <w:rPr>
          <w:color w:val="000000" w:themeColor="text1"/>
        </w:rPr>
      </w:pPr>
      <w:r>
        <w:rPr>
          <w:color w:val="000000" w:themeColor="text1"/>
        </w:rPr>
        <w:t>The fiber Ψ⁻¹(z) is the set of all molecular profiles that produce identical pathway-level stress coordinates. Biologically, samples within the same fiber carry identical stress-pathway activity across all K axes but may differ arbitrarily in gene-level expression. This within-fiber molecular diversity is invisible to the scalar TCSI index and represents a fundamental interpretive boundary of any K-dimensional stress projection: samples equated by TCSI may be biologically heterogeneous at the gene level.</w:t>
      </w:r>
    </w:p>
    <w:p w14:paraId="369CEDE8" w14:textId="77777777" w:rsidR="004631A7" w:rsidRPr="00CA61FE" w:rsidRDefault="00000000">
      <w:pPr>
        <w:pStyle w:val="NormalWeb"/>
        <w:rPr>
          <w:color w:val="000000" w:themeColor="text1"/>
        </w:rPr>
      </w:pPr>
      <w:r>
        <w:rPr>
          <w:color w:val="000000" w:themeColor="text1"/>
        </w:rPr>
        <w:t>Each TCSI level set is a union of fibers:</w:t>
      </w:r>
    </w:p>
    <w:p w14:paraId="3D5F9C72" w14:textId="77777777" w:rsidR="004631A7" w:rsidRPr="00CA61FE" w:rsidRDefault="00000000">
      <w:pPr>
        <w:pStyle w:val="NormalWeb"/>
        <w:rPr>
          <w:color w:val="000000" w:themeColor="text1"/>
        </w:rPr>
      </w:pPr>
      <w:r>
        <w:rPr>
          <w:color w:val="000000" w:themeColor="text1"/>
        </w:rPr>
        <w:t xml:space="preserve">τₐ⁻¹(c) = </w:t>
      </w:r>
      <w:r>
        <w:rPr>
          <w:rFonts w:ascii="Cambria Math" w:hAnsi="Cambria Math" w:cs="Cambria Math"/>
          <w:color w:val="000000" w:themeColor="text1"/>
        </w:rPr>
        <w:t>⋃</w:t>
      </w:r>
      <w:r>
        <w:rPr>
          <w:color w:val="000000" w:themeColor="text1"/>
        </w:rPr>
        <w:t xml:space="preserve"> { Ψ⁻¹(z) : w·z = c }</w:t>
      </w:r>
    </w:p>
    <w:p w14:paraId="18019FFA" w14:textId="77777777" w:rsidR="004631A7" w:rsidRPr="00CA61FE" w:rsidRDefault="00000000">
      <w:pPr>
        <w:pStyle w:val="NormalWeb"/>
        <w:rPr>
          <w:color w:val="000000" w:themeColor="text1"/>
        </w:rPr>
      </w:pPr>
      <w:r>
        <w:rPr>
          <w:color w:val="000000" w:themeColor="text1"/>
        </w:rPr>
        <w:t xml:space="preserve">In the reference-standardized coordinate space ℝᴷ, the level sets { z </w:t>
      </w:r>
      <w:r>
        <w:rPr>
          <w:rFonts w:ascii="Cambria Math" w:hAnsi="Cambria Math" w:cs="Cambria Math"/>
          <w:color w:val="000000" w:themeColor="text1"/>
        </w:rPr>
        <w:t>∈</w:t>
      </w:r>
      <w:r>
        <w:rPr>
          <w:color w:val="000000" w:themeColor="text1"/>
        </w:rPr>
        <w:t xml:space="preserve"> ℝᴷ : wᵀz = c } are closed affine hyperplanes orthogonal to the equal-weight direction (as stated in §2). These hyperplanes are contractible and carry no nontrivial intrinsic topology. However, when Ψ is restricted to a biologically realizable molecular manifold M </w:t>
      </w:r>
      <w:r>
        <w:rPr>
          <w:rFonts w:ascii="Cambria Math" w:hAnsi="Cambria Math" w:cs="Cambria Math"/>
          <w:color w:val="000000" w:themeColor="text1"/>
        </w:rPr>
        <w:t>⊂</w:t>
      </w:r>
      <w:r>
        <w:rPr>
          <w:color w:val="000000" w:themeColor="text1"/>
        </w:rPr>
        <w:t xml:space="preserve"> ℝᵖ,  the set of expression profiles accessible under the biological constraints of the system, the image Ψ(M) may carry nontrivial topology in ℝᴷ, and its intersection with a TCSI level hyperplane may exhibit multiple connected components, loops, or voids. These features correspond to distinct molecular subtypes that share the same scalar TCSI score but occupy topologically separated regions of stress-coordinate space.</w:t>
      </w:r>
    </w:p>
    <w:p w14:paraId="1162F624" w14:textId="77777777" w:rsidR="004631A7" w:rsidRPr="00CA61FE" w:rsidRDefault="00000000">
      <w:pPr>
        <w:pStyle w:val="NormalWeb"/>
        <w:rPr>
          <w:color w:val="000000" w:themeColor="text1"/>
        </w:rPr>
      </w:pPr>
      <w:r>
        <w:rPr>
          <w:b/>
          <w:bCs/>
          <w:color w:val="000000" w:themeColor="text1"/>
        </w:rPr>
        <w:t>Remark 3.1.</w:t>
      </w:r>
      <w:r>
        <w:rPr>
          <w:color w:val="000000" w:themeColor="text1"/>
        </w:rPr>
        <w:t xml:space="preserve"> Characterizing the topology of Ψ(M) for a specific disease context requires a realized sample and is therefore an empirical question addressed in domain-specific validation studies. The formal operator defined by the locked specification F is independent of this topology; the fiber structure is a property of the relationship between the high-dimensional molecular space and the K-dimensional stress projection.</w:t>
      </w:r>
    </w:p>
    <w:p w14:paraId="1C897F06" w14:textId="77777777" w:rsidR="001F255F" w:rsidRPr="00CA61FE" w:rsidRDefault="001F255F" w:rsidP="00965C91">
      <w:pPr>
        <w:pStyle w:val="Heading1"/>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Spectral Analysis and Noise Attenuation</w:t>
      </w:r>
    </w:p>
    <w:p w14:paraId="61DAC8A4" w14:textId="77777777" w:rsidR="001F255F" w:rsidRPr="00CA61FE" w:rsidRDefault="001F255F" w:rsidP="000B13CD">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Latent Stress-State Model</w:t>
      </w:r>
    </w:p>
    <w:p w14:paraId="21503603" w14:textId="77777777" w:rsidR="001F255F" w:rsidRPr="00CA61FE" w:rsidRDefault="001F255F" w:rsidP="001F255F">
      <w:pPr>
        <w:pStyle w:val="NormalWeb"/>
        <w:rPr>
          <w:color w:val="000000" w:themeColor="text1"/>
        </w:rPr>
      </w:pPr>
      <w:r>
        <w:rPr>
          <w:rStyle w:val="Strong"/>
          <w:color w:val="000000" w:themeColor="text1"/>
        </w:rPr>
        <w:t>Definition 4.1. Latent stress-state model.</w:t>
      </w:r>
      <w:r>
        <w:rPr>
          <w:color w:val="000000" w:themeColor="text1"/>
        </w:rPr>
        <w:br/>
        <w:t>Assume the reference-standardized pathway vector admits the decomposition</w:t>
      </w:r>
    </w:p>
    <w:p w14:paraId="1D34E34A" w14:textId="77777777" w:rsidR="001F255F" w:rsidRPr="00CA61FE" w:rsidRDefault="00000000" w:rsidP="001F255F">
      <w:pPr>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=λ</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11004B54" w14:textId="77777777" w:rsidR="001F255F" w:rsidRPr="00CA61FE" w:rsidRDefault="001F255F" w:rsidP="001F255F">
      <w:pPr>
        <w:pStyle w:val="NormalWeb"/>
        <w:rPr>
          <w:color w:val="000000" w:themeColor="text1"/>
        </w:rPr>
      </w:pPr>
      <w:r>
        <w:rPr>
          <w:color w:val="000000" w:themeColor="text1"/>
        </w:rPr>
        <w:t xml:space="preserve">where </w:t>
      </w:r>
      <m:oMath>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oMath>
      <w:r>
        <w:rPr>
          <w:color w:val="000000" w:themeColor="text1"/>
        </w:rPr>
        <w:t xml:space="preserve">is an unobserved integrated stress state, </w:t>
      </w:r>
      <m:oMath>
        <m:r>
          <w:rPr>
            <w:rFonts w:ascii="Cambria Math" w:hAnsi="Cambria Math"/>
            <w:color w:val="000000" w:themeColor="text1"/>
          </w:rPr>
          <m:t>λ∈</m:t>
        </m:r>
        <m:sSup>
          <m:sSupPr>
            <m:ctrlPr>
              <w:rPr>
                <w:rFonts w:ascii="Cambria Math" w:hAnsi="Cambria Math"/>
                <w:color w:val="000000" w:themeColor="text1"/>
              </w:rPr>
            </m:ctrlPr>
          </m:sSupPr>
          <m:e>
            <m:r>
              <m:rPr>
                <m:scr m:val="double-struck"/>
              </m:rPr>
              <w:rPr>
                <w:rFonts w:ascii="Cambria Math" w:hAnsi="Cambria Math"/>
                <w:color w:val="000000" w:themeColor="text1"/>
              </w:rPr>
              <m:t>R</m:t>
            </m:r>
          </m:e>
          <m:sup>
            <m:r>
              <w:rPr>
                <w:rFonts w:ascii="Cambria Math" w:hAnsi="Cambria Math"/>
                <w:color w:val="000000" w:themeColor="text1"/>
              </w:rPr>
              <m:t>K</m:t>
            </m:r>
          </m:sup>
        </m:sSup>
      </m:oMath>
      <w:r>
        <w:rPr>
          <w:color w:val="000000" w:themeColor="text1"/>
        </w:rPr>
        <w:t xml:space="preserve">is a vector of pathway loadings, and </w:t>
      </w:r>
      <m:oMath>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oMath>
      <w:r>
        <w:rPr>
          <w:color w:val="000000" w:themeColor="text1"/>
        </w:rPr>
        <w:t>is a vector of idiosyncratic pathway residuals with</w:t>
      </w:r>
    </w:p>
    <w:p w14:paraId="535686E4" w14:textId="77777777" w:rsidR="001F255F" w:rsidRPr="00CA61FE" w:rsidRDefault="001F255F" w:rsidP="001F255F">
      <w:pPr>
        <w:rPr>
          <w:rFonts w:ascii="Times New Roman" w:hAnsi="Times New Roman" w:cs="Times New Roman"/>
          <w:color w:val="000000" w:themeColor="text1"/>
        </w:rPr>
      </w:pPr>
      <m:oMathPara>
        <m:oMath>
          <m:r>
            <w:rPr>
              <w:rFonts w:ascii="Cambria Math" w:hAnsi="Cambria Math" w:cs="Times New Roman"/>
              <w:color w:val="000000" w:themeColor="text1"/>
            </w:rPr>
            <m:t>E</m:t>
          </m:r>
          <m:d>
            <m:dPr>
              <m:begChr m:val="["/>
              <m:endChr m:val="]"/>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=0.</m:t>
          </m:r>
          <m:r>
            <m:rPr>
              <m:sty m:val="p"/>
            </m:rPr>
            <w:rPr>
              <w:rFonts w:ascii="Cambria Math" w:hAnsi="Cambria Math" w:cs="Times New Roman"/>
              <w:color w:val="000000" w:themeColor="text1"/>
            </w:rPr>
            <w:br/>
          </m:r>
        </m:oMath>
      </m:oMathPara>
    </w:p>
    <w:p w14:paraId="3981CD91" w14:textId="77777777" w:rsidR="001F255F" w:rsidRPr="00CA61FE" w:rsidRDefault="001F255F" w:rsidP="001F255F">
      <w:pPr>
        <w:pStyle w:val="NormalWeb"/>
        <w:rPr>
          <w:color w:val="000000" w:themeColor="text1"/>
        </w:rPr>
      </w:pPr>
      <w:r>
        <w:rPr>
          <w:color w:val="000000" w:themeColor="text1"/>
        </w:rPr>
        <w:t>Substituting this decomposition into the TCSI operator gives</w:t>
      </w:r>
    </w:p>
    <w:p w14:paraId="43B80D5D"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d>
            <m:dPr>
              <m:ctrlPr>
                <w:rPr>
                  <w:rFonts w:ascii="Cambria Math" w:hAnsi="Cambria Math" w:cs="Times New Roman"/>
                  <w:color w:val="000000" w:themeColor="text1"/>
                </w:rPr>
              </m:ctrlPr>
            </m:dPr>
            <m:e>
              <m:r>
                <w:rPr>
                  <w:rFonts w:ascii="Cambria Math" w:hAnsi="Cambria Math" w:cs="Times New Roman"/>
                  <w:color w:val="000000" w:themeColor="text1"/>
                </w:rPr>
                <m:t>λ</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r>
                <w:rPr>
                  <w:rFonts w:ascii="Cambria Math" w:hAnsi="Cambria Math" w:cs="Times New Roman"/>
                  <w:color w:val="000000" w:themeColor="text1"/>
                </w:rPr>
                <m:t>λ</m:t>
              </m:r>
            </m:e>
          </m:d>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06E592E3" w14:textId="77777777" w:rsidR="001F255F" w:rsidRPr="00CA61FE" w:rsidRDefault="001F255F" w:rsidP="001F255F">
      <w:pPr>
        <w:pStyle w:val="NormalWeb"/>
        <w:rPr>
          <w:color w:val="000000" w:themeColor="text1"/>
        </w:rPr>
      </w:pPr>
      <w:r>
        <w:rPr>
          <w:color w:val="000000" w:themeColor="text1"/>
        </w:rPr>
        <w:t>Thus, TCSI estimates the shared stress state up to a scaling factor, provided the pathway loadings are positive and reasonably aligned.</w:t>
      </w:r>
    </w:p>
    <w:p w14:paraId="3040C9BC" w14:textId="77777777" w:rsidR="001F255F" w:rsidRPr="00CA61FE" w:rsidRDefault="001F255F" w:rsidP="001F255F">
      <w:pPr>
        <w:ind w:left="0" w:firstLine="0"/>
        <w:rPr>
          <w:rFonts w:ascii="Times New Roman" w:hAnsi="Times New Roman" w:cs="Times New Roman"/>
          <w:color w:val="000000" w:themeColor="text1"/>
        </w:rPr>
      </w:pPr>
    </w:p>
    <w:p w14:paraId="4087FEC6" w14:textId="77777777" w:rsidR="001F255F" w:rsidRPr="00CA61FE" w:rsidRDefault="001F255F" w:rsidP="00290545">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Spectral Equivalence Under Compound Symmetry</w:t>
      </w:r>
    </w:p>
    <w:p w14:paraId="3C45C4BA" w14:textId="77777777" w:rsidR="001F255F" w:rsidRPr="00CA61FE" w:rsidRDefault="001F255F" w:rsidP="001F255F">
      <w:pPr>
        <w:pStyle w:val="NormalWeb"/>
        <w:rPr>
          <w:color w:val="000000" w:themeColor="text1"/>
        </w:rPr>
      </w:pPr>
      <w:r>
        <w:rPr>
          <w:rStyle w:val="Strong"/>
          <w:color w:val="000000" w:themeColor="text1"/>
        </w:rPr>
        <w:t>Theorem 4.1. Spectral equivalence.</w:t>
      </w:r>
      <w:r>
        <w:rPr>
          <w:color w:val="000000" w:themeColor="text1"/>
        </w:rPr>
        <w:br/>
        <w:t xml:space="preserve">Let </w:t>
      </w:r>
      <m:oMath>
        <m:sSup>
          <m:sSupPr>
            <m:ctrlPr>
              <w:rPr>
                <w:rFonts w:ascii="Cambria Math" w:hAnsi="Cambria Math"/>
                <w:color w:val="000000" w:themeColor="text1"/>
              </w:rPr>
            </m:ctrlPr>
          </m:sSupPr>
          <m:e>
            <m:r>
              <w:rPr>
                <w:rFonts w:ascii="Cambria Math" w:hAnsi="Cambria Math"/>
                <w:color w:val="000000" w:themeColor="text1"/>
              </w:rPr>
              <m:t>z</m:t>
            </m:r>
          </m:e>
          <m:sup>
            <m:r>
              <w:rPr>
                <w:rFonts w:ascii="Cambria Math" w:hAnsi="Cambria Math"/>
                <w:color w:val="000000" w:themeColor="text1"/>
              </w:rPr>
              <m:t>*</m:t>
            </m:r>
          </m:sup>
        </m:sSup>
      </m:oMath>
      <w:r>
        <w:rPr>
          <w:color w:val="000000" w:themeColor="text1"/>
        </w:rPr>
        <w:t>be the frozen-reference standardized pathway vector with population covariance matrix</w:t>
      </w:r>
    </w:p>
    <w:p w14:paraId="5B98E265"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Σ</m:t>
          </m:r>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I+ρ</m:t>
              </m:r>
              <m:sSup>
                <m:sSupPr>
                  <m:ctrlPr>
                    <w:rPr>
                      <w:rFonts w:ascii="Cambria Math" w:hAnsi="Cambria Math" w:cs="Times New Roman"/>
                      <w:color w:val="000000" w:themeColor="text1"/>
                    </w:rPr>
                  </m:ctrlPr>
                </m:sSupPr>
                <m:e>
                  <m:r>
                    <w:rPr>
                      <w:rFonts w:ascii="Cambria Math" w:hAnsi="Cambria Math" w:cs="Times New Roman"/>
                      <w:color w:val="000000" w:themeColor="text1"/>
                    </w:rPr>
                    <m:t>11</m:t>
                  </m:r>
                </m:e>
                <m:sup>
                  <m:r>
                    <w:rPr>
                      <w:rFonts w:ascii="Cambria Math" w:hAnsi="Cambria Math" w:cs="Times New Roman"/>
                      <w:color w:val="000000" w:themeColor="text1"/>
                    </w:rPr>
                    <m:t>T</m:t>
                  </m:r>
                </m:sup>
              </m:sSup>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133219D5" w14:textId="77777777" w:rsidR="001F255F" w:rsidRPr="00CA61FE" w:rsidRDefault="001F255F" w:rsidP="001F255F">
      <w:pPr>
        <w:pStyle w:val="NormalWeb"/>
        <w:rPr>
          <w:color w:val="000000" w:themeColor="text1"/>
        </w:rPr>
      </w:pPr>
      <w:r>
        <w:rPr>
          <w:color w:val="000000" w:themeColor="text1"/>
        </w:rPr>
        <w:t xml:space="preserve">where </w:t>
      </w:r>
      <m:oMath>
        <m:r>
          <w:rPr>
            <w:rFonts w:ascii="Cambria Math" w:hAnsi="Cambria Math"/>
            <w:color w:val="000000" w:themeColor="text1"/>
          </w:rPr>
          <m:t>ρ&gt;0</m:t>
        </m:r>
      </m:oMath>
      <w:r>
        <w:rPr>
          <w:color w:val="000000" w:themeColor="text1"/>
        </w:rPr>
        <w:t>. Then:</w:t>
      </w:r>
    </w:p>
    <w:p w14:paraId="0415AB64" w14:textId="77777777" w:rsidR="001F255F" w:rsidRPr="00CA61FE" w:rsidRDefault="001F255F" w:rsidP="001F255F">
      <w:pPr>
        <w:numPr>
          <w:ilvl w:val="0"/>
          <w:numId w:val="2"/>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The leading eigenvector of </w:t>
      </w:r>
      <m:oMath>
        <m:r>
          <m:rPr>
            <m:sty m:val="p"/>
          </m:rPr>
          <w:rPr>
            <w:rFonts w:ascii="Cambria Math" w:hAnsi="Cambria Math" w:cs="Times New Roman"/>
            <w:color w:val="000000" w:themeColor="text1"/>
          </w:rPr>
          <m:t>Σ</m:t>
        </m:r>
      </m:oMath>
      <w:r>
        <w:rPr>
          <w:rFonts w:ascii="Times New Roman" w:hAnsi="Times New Roman" w:cs="Times New Roman"/>
          <w:color w:val="000000" w:themeColor="text1"/>
        </w:rPr>
        <w:t>is</w:t>
      </w:r>
    </w:p>
    <w:p w14:paraId="4E5CD8D8" w14:textId="77777777" w:rsidR="001F255F" w:rsidRPr="00CA61FE" w:rsidRDefault="00000000" w:rsidP="001F255F">
      <w:pPr>
        <w:spacing w:after="0"/>
        <w:ind w:left="0" w:firstLine="0"/>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v</m:t>
              </m:r>
            </m:e>
            <m:sub>
              <m:r>
                <w:rPr>
                  <w:rFonts w:ascii="Cambria Math" w:hAnsi="Cambria Math" w:cs="Times New Roman"/>
                  <w:color w:val="000000" w:themeColor="text1"/>
                </w:rPr>
                <m:t>1</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-1/2</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5AF7B52D" w14:textId="77777777" w:rsidR="001F255F" w:rsidRPr="00CA61FE" w:rsidRDefault="001F255F" w:rsidP="001F255F">
      <w:pPr>
        <w:pStyle w:val="NormalWeb"/>
        <w:rPr>
          <w:color w:val="000000" w:themeColor="text1"/>
        </w:rPr>
      </w:pPr>
      <w:r>
        <w:rPr>
          <w:color w:val="000000" w:themeColor="text1"/>
        </w:rPr>
        <w:t>with leading eigenvalue</w:t>
      </w:r>
    </w:p>
    <w:p w14:paraId="6BEE6FF6"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d>
                <m:dPr>
                  <m:ctrlPr>
                    <w:rPr>
                      <w:rFonts w:ascii="Cambria Math" w:hAnsi="Cambria Math" w:cs="Times New Roman"/>
                      <w:color w:val="000000" w:themeColor="text1"/>
                    </w:rPr>
                  </m:ctrlPr>
                </m:dPr>
                <m:e>
                  <m:r>
                    <w:rPr>
                      <w:rFonts w:ascii="Cambria Math" w:hAnsi="Cambria Math" w:cs="Times New Roman"/>
                      <w:color w:val="000000" w:themeColor="text1"/>
                    </w:rPr>
                    <m:t>K-1</m:t>
                  </m:r>
                </m:e>
              </m:d>
              <m:r>
                <w:rPr>
                  <w:rFonts w:ascii="Cambria Math" w:hAnsi="Cambria Math" w:cs="Times New Roman"/>
                  <w:color w:val="000000" w:themeColor="text1"/>
                </w:rPr>
                <m:t>ρ</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54A30CC" w14:textId="77777777" w:rsidR="001F255F" w:rsidRPr="00CA61FE" w:rsidRDefault="001F255F" w:rsidP="001F255F">
      <w:pPr>
        <w:numPr>
          <w:ilvl w:val="0"/>
          <w:numId w:val="3"/>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All remaining eigenvectors orthogonal to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oMath>
      <w:r>
        <w:rPr>
          <w:rFonts w:ascii="Times New Roman" w:hAnsi="Times New Roman" w:cs="Times New Roman"/>
          <w:color w:val="000000" w:themeColor="text1"/>
        </w:rPr>
        <w:t>have common eigenvalue</w:t>
      </w:r>
    </w:p>
    <w:p w14:paraId="7A3EC252" w14:textId="77777777" w:rsidR="001F255F" w:rsidRPr="00CA61FE" w:rsidRDefault="00000000" w:rsidP="001F255F">
      <w:pPr>
        <w:spacing w:after="0"/>
        <w:ind w:left="0" w:firstLine="0"/>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54B1B72D" w14:textId="77777777" w:rsidR="001F255F" w:rsidRPr="00CA61FE" w:rsidRDefault="001F255F" w:rsidP="001F255F">
      <w:pPr>
        <w:numPr>
          <w:ilvl w:val="0"/>
          <w:numId w:val="4"/>
        </w:numPr>
        <w:spacing w:before="100" w:beforeAutospacing="1" w:after="100" w:afterAutospacing="1" w:line="240" w:lineRule="auto"/>
        <w:jc w:val="left"/>
        <w:rPr>
          <w:rFonts w:ascii="Times New Roman" w:hAnsi="Times New Roman" w:cs="Times New Roman"/>
          <w:color w:val="000000" w:themeColor="text1"/>
        </w:rPr>
      </w:pPr>
      <w:r>
        <w:rPr>
          <w:rFonts w:ascii="Times New Roman" w:hAnsi="Times New Roman" w:cs="Times New Roman"/>
          <w:color w:val="000000" w:themeColor="text1"/>
        </w:rPr>
        <w:t xml:space="preserve">Since </w:t>
      </w:r>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&gt;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oMath>
      <w:r>
        <w:rPr>
          <w:rFonts w:ascii="Times New Roman" w:hAnsi="Times New Roman" w:cs="Times New Roman"/>
          <w:color w:val="000000" w:themeColor="text1"/>
        </w:rPr>
        <w:t xml:space="preserve">for </w:t>
      </w:r>
      <m:oMath>
        <m:r>
          <w:rPr>
            <w:rFonts w:ascii="Cambria Math" w:hAnsi="Cambria Math" w:cs="Times New Roman"/>
            <w:color w:val="000000" w:themeColor="text1"/>
          </w:rPr>
          <m:t>ρ&gt;0</m:t>
        </m:r>
      </m:oMath>
      <w:r>
        <w:rPr>
          <w:rFonts w:ascii="Times New Roman" w:hAnsi="Times New Roman" w:cs="Times New Roman"/>
          <w:color w:val="000000" w:themeColor="text1"/>
        </w:rPr>
        <w:t>, the canonical TCSI score satisfies</w:t>
      </w:r>
    </w:p>
    <w:p w14:paraId="40CD2F0F" w14:textId="77777777" w:rsidR="001F255F" w:rsidRPr="00CA61FE" w:rsidRDefault="00000000" w:rsidP="001F255F">
      <w:pPr>
        <w:spacing w:after="0"/>
        <w:ind w:left="0" w:firstLine="0"/>
        <w:rPr>
          <w:rFonts w:ascii="Times New Roman" w:hAnsi="Times New Roman" w:cs="Times New Roman"/>
          <w:color w:val="000000" w:themeColor="text1"/>
        </w:rPr>
      </w:pPr>
      <m:oMathPara>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TCSI</m:t>
              </m:r>
            </m:fName>
            <m:e>
              <m:r>
                <w:rPr>
                  <w:rFonts w:ascii="Cambria Math" w:hAnsi="Cambria Math" w:cs="Times New Roman"/>
                  <w:color w:val="000000" w:themeColor="text1"/>
                </w:rPr>
                <m:t>=</m:t>
              </m:r>
            </m:e>
          </m:func>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-1/2</m:t>
              </m:r>
            </m:sup>
          </m:sSup>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PC</m:t>
              </m:r>
              <m:r>
                <w:rPr>
                  <w:rFonts w:ascii="Cambria Math" w:hAnsi="Cambria Math" w:cs="Times New Roman"/>
                  <w:color w:val="000000" w:themeColor="text1"/>
                </w:rPr>
                <m:t>1</m:t>
              </m:r>
            </m:fName>
            <m:e>
              <m:r>
                <w:rPr>
                  <w:rFonts w:ascii="Cambria Math" w:hAnsi="Cambria Math" w:cs="Times New Roman"/>
                  <w:color w:val="000000" w:themeColor="text1"/>
                </w:rPr>
                <m:t>.</m:t>
              </m:r>
            </m:e>
          </m:func>
          <m:r>
            <m:rPr>
              <m:sty m:val="p"/>
            </m:rPr>
            <w:rPr>
              <w:rFonts w:ascii="Cambria Math" w:hAnsi="Cambria Math" w:cs="Times New Roman"/>
              <w:color w:val="000000" w:themeColor="text1"/>
            </w:rPr>
            <w:br/>
          </m:r>
        </m:oMath>
      </m:oMathPara>
    </w:p>
    <w:p w14:paraId="1A933A01" w14:textId="77777777" w:rsidR="001F255F" w:rsidRPr="00CA61FE" w:rsidRDefault="001F255F" w:rsidP="001F255F">
      <w:pPr>
        <w:pStyle w:val="NormalWeb"/>
        <w:rPr>
          <w:color w:val="000000" w:themeColor="text1"/>
        </w:rPr>
      </w:pPr>
      <w:r>
        <w:rPr>
          <w:color w:val="000000" w:themeColor="text1"/>
        </w:rPr>
        <w:t>Consequently, under exact compound symmetry, equal-weight TCSI is proportional to the first principal-component score.</w:t>
      </w:r>
    </w:p>
    <w:p w14:paraId="1D24ECE4" w14:textId="77777777" w:rsidR="001F255F" w:rsidRPr="00CA61FE" w:rsidRDefault="001F255F" w:rsidP="001F255F">
      <w:pPr>
        <w:pStyle w:val="NormalWeb"/>
        <w:rPr>
          <w:color w:val="000000" w:themeColor="text1"/>
        </w:rPr>
      </w:pPr>
      <w:r>
        <w:rPr>
          <w:rStyle w:val="Strong"/>
          <w:color w:val="000000" w:themeColor="text1"/>
        </w:rPr>
        <w:t>Proof.</w:t>
      </w:r>
      <w:r>
        <w:rPr>
          <w:color w:val="000000" w:themeColor="text1"/>
        </w:rPr>
        <w:br/>
        <w:t xml:space="preserve">For the all-ones vector </w:t>
      </w:r>
      <m:oMath>
        <m:sSub>
          <m:sSubPr>
            <m:ctrlPr>
              <w:rPr>
                <w:rFonts w:ascii="Cambria Math" w:hAnsi="Cambria Math"/>
                <w:color w:val="000000" w:themeColor="text1"/>
              </w:rPr>
            </m:ctrlPr>
          </m:sSubPr>
          <m:e>
            <m:r>
              <w:rPr>
                <w:rFonts w:ascii="Cambria Math" w:hAnsi="Cambria Math"/>
                <w:color w:val="000000" w:themeColor="text1"/>
              </w:rPr>
              <m:t>1</m:t>
            </m:r>
          </m:e>
          <m:sub>
            <m:r>
              <w:rPr>
                <w:rFonts w:ascii="Cambria Math" w:hAnsi="Cambria Math"/>
                <w:color w:val="000000" w:themeColor="text1"/>
              </w:rPr>
              <m:t>K</m:t>
            </m:r>
          </m:sub>
        </m:sSub>
      </m:oMath>
      <w:r>
        <w:rPr>
          <w:color w:val="000000" w:themeColor="text1"/>
        </w:rPr>
        <w:t>,</w:t>
      </w:r>
    </w:p>
    <w:p w14:paraId="2CA0A6F8" w14:textId="77777777" w:rsidR="001F255F" w:rsidRPr="00CA61FE" w:rsidRDefault="00CA61FE"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w:lastRenderedPageBreak/>
            <m:t>Σ</m:t>
          </m:r>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I+ρ</m:t>
              </m:r>
              <m:sSup>
                <m:sSupPr>
                  <m:ctrlPr>
                    <w:rPr>
                      <w:rFonts w:ascii="Cambria Math" w:hAnsi="Cambria Math" w:cs="Times New Roman"/>
                      <w:color w:val="000000" w:themeColor="text1"/>
                    </w:rPr>
                  </m:ctrlPr>
                </m:sSupPr>
                <m:e>
                  <m:r>
                    <w:rPr>
                      <w:rFonts w:ascii="Cambria Math" w:hAnsi="Cambria Math" w:cs="Times New Roman"/>
                      <w:color w:val="000000" w:themeColor="text1"/>
                    </w:rPr>
                    <m:t>11</m:t>
                  </m:r>
                </m:e>
                <m:sup>
                  <m:r>
                    <w:rPr>
                      <w:rFonts w:ascii="Cambria Math" w:hAnsi="Cambria Math" w:cs="Times New Roman"/>
                      <w:color w:val="000000" w:themeColor="text1"/>
                    </w:rPr>
                    <m:t>T</m:t>
                  </m:r>
                </m:sup>
              </m:sSup>
            </m:e>
          </m:d>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2A323E27" w14:textId="77777777" w:rsidR="001F255F" w:rsidRPr="00CA61FE" w:rsidRDefault="001F255F" w:rsidP="001F255F">
      <w:pPr>
        <w:pStyle w:val="NormalWeb"/>
        <w:rPr>
          <w:color w:val="000000" w:themeColor="text1"/>
        </w:rPr>
      </w:pPr>
      <w:r>
        <w:rPr>
          <w:color w:val="000000" w:themeColor="text1"/>
        </w:rPr>
        <w:t xml:space="preserve">Since </w:t>
      </w:r>
      <m:oMath>
        <m:r>
          <w:rPr>
            <w:rFonts w:ascii="Cambria Math" w:hAnsi="Cambria Math"/>
            <w:color w:val="000000" w:themeColor="text1"/>
          </w:rPr>
          <m:t>I</m:t>
        </m:r>
        <m:sSub>
          <m:sSubPr>
            <m:ctrlPr>
              <w:rPr>
                <w:rFonts w:ascii="Cambria Math" w:hAnsi="Cambria Math"/>
                <w:color w:val="000000" w:themeColor="text1"/>
              </w:rPr>
            </m:ctrlPr>
          </m:sSubPr>
          <m:e>
            <m:r>
              <w:rPr>
                <w:rFonts w:ascii="Cambria Math" w:hAnsi="Cambria Math"/>
                <w:color w:val="000000" w:themeColor="text1"/>
              </w:rPr>
              <m:t>1</m:t>
            </m:r>
          </m:e>
          <m:sub>
            <m:r>
              <w:rPr>
                <w:rFonts w:ascii="Cambria Math" w:hAnsi="Cambria Math"/>
                <w:color w:val="000000" w:themeColor="text1"/>
              </w:rPr>
              <m:t>K</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1</m:t>
            </m:r>
          </m:e>
          <m:sub>
            <m:r>
              <w:rPr>
                <w:rFonts w:ascii="Cambria Math" w:hAnsi="Cambria Math"/>
                <w:color w:val="000000" w:themeColor="text1"/>
              </w:rPr>
              <m:t>K</m:t>
            </m:r>
          </m:sub>
        </m:sSub>
      </m:oMath>
      <w:r>
        <w:rPr>
          <w:color w:val="000000" w:themeColor="text1"/>
        </w:rPr>
        <w:t xml:space="preserve">and </w:t>
      </w:r>
      <m:oMath>
        <m:sSup>
          <m:sSupPr>
            <m:ctrlPr>
              <w:rPr>
                <w:rFonts w:ascii="Cambria Math" w:hAnsi="Cambria Math"/>
                <w:color w:val="000000" w:themeColor="text1"/>
              </w:rPr>
            </m:ctrlPr>
          </m:sSupPr>
          <m:e>
            <m:r>
              <w:rPr>
                <w:rFonts w:ascii="Cambria Math" w:hAnsi="Cambria Math"/>
                <w:color w:val="000000" w:themeColor="text1"/>
              </w:rPr>
              <m:t>1</m:t>
            </m:r>
          </m:e>
          <m:sup>
            <m:r>
              <w:rPr>
                <w:rFonts w:ascii="Cambria Math" w:hAnsi="Cambria Math"/>
                <w:color w:val="000000" w:themeColor="text1"/>
              </w:rPr>
              <m:t>T</m:t>
            </m:r>
          </m:sup>
        </m:sSup>
        <m:r>
          <w:rPr>
            <w:rFonts w:ascii="Cambria Math" w:hAnsi="Cambria Math"/>
            <w:color w:val="000000" w:themeColor="text1"/>
          </w:rPr>
          <m:t>1=K</m:t>
        </m:r>
      </m:oMath>
      <w:r>
        <w:rPr>
          <w:color w:val="000000" w:themeColor="text1"/>
        </w:rPr>
        <w:t>,</w:t>
      </w:r>
    </w:p>
    <w:p w14:paraId="648731A3" w14:textId="77777777" w:rsidR="001F255F" w:rsidRPr="00CA61FE" w:rsidRDefault="00CA61FE"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Σ</m:t>
          </m:r>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d>
                <m:dPr>
                  <m:ctrlPr>
                    <w:rPr>
                      <w:rFonts w:ascii="Cambria Math" w:hAnsi="Cambria Math" w:cs="Times New Roman"/>
                      <w:color w:val="000000" w:themeColor="text1"/>
                    </w:rPr>
                  </m:ctrlPr>
                </m:dPr>
                <m:e>
                  <m:r>
                    <w:rPr>
                      <w:rFonts w:ascii="Cambria Math" w:hAnsi="Cambria Math" w:cs="Times New Roman"/>
                      <w:color w:val="000000" w:themeColor="text1"/>
                    </w:rPr>
                    <m:t>1-ρ</m:t>
                  </m:r>
                </m:e>
              </m:d>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+ρK</m:t>
              </m:r>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d>
                <m:dPr>
                  <m:ctrlPr>
                    <w:rPr>
                      <w:rFonts w:ascii="Cambria Math" w:hAnsi="Cambria Math" w:cs="Times New Roman"/>
                      <w:color w:val="000000" w:themeColor="text1"/>
                    </w:rPr>
                  </m:ctrlPr>
                </m:dPr>
                <m:e>
                  <m:r>
                    <w:rPr>
                      <w:rFonts w:ascii="Cambria Math" w:hAnsi="Cambria Math" w:cs="Times New Roman"/>
                      <w:color w:val="000000" w:themeColor="text1"/>
                    </w:rPr>
                    <m:t>K-1</m:t>
                  </m:r>
                </m:e>
              </m:d>
              <m:r>
                <w:rPr>
                  <w:rFonts w:ascii="Cambria Math" w:hAnsi="Cambria Math" w:cs="Times New Roman"/>
                  <w:color w:val="000000" w:themeColor="text1"/>
                </w:rPr>
                <m:t>ρ</m:t>
              </m:r>
            </m:e>
          </m:d>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1882164" w14:textId="77777777" w:rsidR="001F255F" w:rsidRPr="00CA61FE" w:rsidRDefault="001F255F" w:rsidP="001F255F">
      <w:pPr>
        <w:pStyle w:val="NormalWeb"/>
        <w:rPr>
          <w:color w:val="000000" w:themeColor="text1"/>
        </w:rPr>
      </w:pPr>
      <w:r>
        <w:rPr>
          <w:color w:val="000000" w:themeColor="text1"/>
        </w:rPr>
        <w:t xml:space="preserve">Thus,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-1/2</m:t>
            </m:r>
          </m:sup>
        </m:sSup>
        <m:sSub>
          <m:sSubPr>
            <m:ctrlPr>
              <w:rPr>
                <w:rFonts w:ascii="Cambria Math" w:hAnsi="Cambria Math"/>
                <w:color w:val="000000" w:themeColor="text1"/>
              </w:rPr>
            </m:ctrlPr>
          </m:sSubPr>
          <m:e>
            <m:r>
              <w:rPr>
                <w:rFonts w:ascii="Cambria Math" w:hAnsi="Cambria Math"/>
                <w:color w:val="000000" w:themeColor="text1"/>
              </w:rPr>
              <m:t>1</m:t>
            </m:r>
          </m:e>
          <m:sub>
            <m:r>
              <w:rPr>
                <w:rFonts w:ascii="Cambria Math" w:hAnsi="Cambria Math"/>
                <w:color w:val="000000" w:themeColor="text1"/>
              </w:rPr>
              <m:t>K</m:t>
            </m:r>
          </m:sub>
        </m:sSub>
      </m:oMath>
      <w:r>
        <w:rPr>
          <w:color w:val="000000" w:themeColor="text1"/>
        </w:rPr>
        <w:t>is an eigenvector with eigenvalue</w:t>
      </w:r>
    </w:p>
    <w:p w14:paraId="4E75D7BD"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d>
                <m:dPr>
                  <m:ctrlPr>
                    <w:rPr>
                      <w:rFonts w:ascii="Cambria Math" w:hAnsi="Cambria Math" w:cs="Times New Roman"/>
                      <w:color w:val="000000" w:themeColor="text1"/>
                    </w:rPr>
                  </m:ctrlPr>
                </m:dPr>
                <m:e>
                  <m:r>
                    <w:rPr>
                      <w:rFonts w:ascii="Cambria Math" w:hAnsi="Cambria Math" w:cs="Times New Roman"/>
                      <w:color w:val="000000" w:themeColor="text1"/>
                    </w:rPr>
                    <m:t>K-1</m:t>
                  </m:r>
                </m:e>
              </m:d>
              <m:r>
                <w:rPr>
                  <w:rFonts w:ascii="Cambria Math" w:hAnsi="Cambria Math" w:cs="Times New Roman"/>
                  <w:color w:val="000000" w:themeColor="text1"/>
                </w:rPr>
                <m:t>ρ</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19E24268" w14:textId="77777777" w:rsidR="001F255F" w:rsidRPr="00CA61FE" w:rsidRDefault="001F255F" w:rsidP="001F255F">
      <w:pPr>
        <w:pStyle w:val="NormalWeb"/>
        <w:rPr>
          <w:color w:val="000000" w:themeColor="text1"/>
        </w:rPr>
      </w:pPr>
      <w:r>
        <w:rPr>
          <w:color w:val="000000" w:themeColor="text1"/>
        </w:rPr>
        <w:t xml:space="preserve">Now let </w:t>
      </w:r>
      <m:oMath>
        <m:r>
          <w:rPr>
            <w:rFonts w:ascii="Cambria Math" w:hAnsi="Cambria Math"/>
            <w:color w:val="000000" w:themeColor="text1"/>
          </w:rPr>
          <m:t>v</m:t>
        </m:r>
      </m:oMath>
      <w:r>
        <w:rPr>
          <w:color w:val="000000" w:themeColor="text1"/>
        </w:rPr>
        <w:t xml:space="preserve">be any vector such that </w:t>
      </w:r>
      <m:oMath>
        <m:sSup>
          <m:sSupPr>
            <m:ctrlPr>
              <w:rPr>
                <w:rFonts w:ascii="Cambria Math" w:hAnsi="Cambria Math"/>
                <w:color w:val="000000" w:themeColor="text1"/>
              </w:rPr>
            </m:ctrlPr>
          </m:sSupPr>
          <m:e>
            <m:r>
              <w:rPr>
                <w:rFonts w:ascii="Cambria Math" w:hAnsi="Cambria Math"/>
                <w:color w:val="000000" w:themeColor="text1"/>
              </w:rPr>
              <m:t>v</m:t>
            </m:r>
          </m:e>
          <m:sup>
            <m:r>
              <w:rPr>
                <w:rFonts w:ascii="Cambria Math" w:hAnsi="Cambria Math"/>
                <w:color w:val="000000" w:themeColor="text1"/>
              </w:rPr>
              <m:t>T</m:t>
            </m:r>
          </m:sup>
        </m:sSup>
        <m:sSub>
          <m:sSubPr>
            <m:ctrlPr>
              <w:rPr>
                <w:rFonts w:ascii="Cambria Math" w:hAnsi="Cambria Math"/>
                <w:color w:val="000000" w:themeColor="text1"/>
              </w:rPr>
            </m:ctrlPr>
          </m:sSubPr>
          <m:e>
            <m:r>
              <w:rPr>
                <w:rFonts w:ascii="Cambria Math" w:hAnsi="Cambria Math"/>
                <w:color w:val="000000" w:themeColor="text1"/>
              </w:rPr>
              <m:t>1</m:t>
            </m:r>
          </m:e>
          <m:sub>
            <m:r>
              <w:rPr>
                <w:rFonts w:ascii="Cambria Math" w:hAnsi="Cambria Math"/>
                <w:color w:val="000000" w:themeColor="text1"/>
              </w:rPr>
              <m:t>K</m:t>
            </m:r>
          </m:sub>
        </m:sSub>
        <m:r>
          <w:rPr>
            <w:rFonts w:ascii="Cambria Math" w:hAnsi="Cambria Math"/>
            <w:color w:val="000000" w:themeColor="text1"/>
          </w:rPr>
          <m:t>=0</m:t>
        </m:r>
      </m:oMath>
      <w:r>
        <w:rPr>
          <w:color w:val="000000" w:themeColor="text1"/>
        </w:rPr>
        <w:t xml:space="preserve">. Then </w:t>
      </w:r>
      <m:oMath>
        <m:sSup>
          <m:sSupPr>
            <m:ctrlPr>
              <w:rPr>
                <w:rFonts w:ascii="Cambria Math" w:hAnsi="Cambria Math"/>
                <w:color w:val="000000" w:themeColor="text1"/>
              </w:rPr>
            </m:ctrlPr>
          </m:sSupPr>
          <m:e>
            <m:r>
              <w:rPr>
                <w:rFonts w:ascii="Cambria Math" w:hAnsi="Cambria Math"/>
                <w:color w:val="000000" w:themeColor="text1"/>
              </w:rPr>
              <m:t>11</m:t>
            </m:r>
          </m:e>
          <m:sup>
            <m:r>
              <w:rPr>
                <w:rFonts w:ascii="Cambria Math" w:hAnsi="Cambria Math"/>
                <w:color w:val="000000" w:themeColor="text1"/>
              </w:rPr>
              <m:t>T</m:t>
            </m:r>
          </m:sup>
        </m:sSup>
        <m:r>
          <w:rPr>
            <w:rFonts w:ascii="Cambria Math" w:hAnsi="Cambria Math"/>
            <w:color w:val="000000" w:themeColor="text1"/>
          </w:rPr>
          <m:t>v=0</m:t>
        </m:r>
      </m:oMath>
      <w:r>
        <w:rPr>
          <w:color w:val="000000" w:themeColor="text1"/>
        </w:rPr>
        <w:t>, so</w:t>
      </w:r>
    </w:p>
    <w:p w14:paraId="181A53F8" w14:textId="77777777" w:rsidR="001F255F" w:rsidRPr="00CA61FE" w:rsidRDefault="00CA61FE"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Σ</m:t>
          </m:r>
          <m:r>
            <w:rPr>
              <w:rFonts w:ascii="Cambria Math" w:hAnsi="Cambria Math" w:cs="Times New Roman"/>
              <w:color w:val="000000" w:themeColor="text1"/>
            </w:rPr>
            <m:t>v=</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v.</m:t>
          </m:r>
          <m:r>
            <m:rPr>
              <m:sty m:val="p"/>
            </m:rPr>
            <w:rPr>
              <w:rFonts w:ascii="Cambria Math" w:hAnsi="Cambria Math" w:cs="Times New Roman"/>
              <w:color w:val="000000" w:themeColor="text1"/>
            </w:rPr>
            <w:br/>
          </m:r>
        </m:oMath>
      </m:oMathPara>
    </w:p>
    <w:p w14:paraId="45140FCF" w14:textId="77777777" w:rsidR="001F255F" w:rsidRPr="00CA61FE" w:rsidRDefault="001F255F" w:rsidP="001F255F">
      <w:pPr>
        <w:pStyle w:val="NormalWeb"/>
        <w:rPr>
          <w:color w:val="000000" w:themeColor="text1"/>
        </w:rPr>
      </w:pPr>
      <w:r>
        <w:rPr>
          <w:color w:val="000000" w:themeColor="text1"/>
        </w:rPr>
        <w:t xml:space="preserve">Therefore, every vector orthogonal to </w:t>
      </w:r>
      <m:oMath>
        <m:sSub>
          <m:sSubPr>
            <m:ctrlPr>
              <w:rPr>
                <w:rFonts w:ascii="Cambria Math" w:hAnsi="Cambria Math"/>
                <w:color w:val="000000" w:themeColor="text1"/>
              </w:rPr>
            </m:ctrlPr>
          </m:sSubPr>
          <m:e>
            <m:r>
              <w:rPr>
                <w:rFonts w:ascii="Cambria Math" w:hAnsi="Cambria Math"/>
                <w:color w:val="000000" w:themeColor="text1"/>
              </w:rPr>
              <m:t>1</m:t>
            </m:r>
          </m:e>
          <m:sub>
            <m:r>
              <w:rPr>
                <w:rFonts w:ascii="Cambria Math" w:hAnsi="Cambria Math"/>
                <w:color w:val="000000" w:themeColor="text1"/>
              </w:rPr>
              <m:t>K</m:t>
            </m:r>
          </m:sub>
        </m:sSub>
      </m:oMath>
      <w:r>
        <w:rPr>
          <w:color w:val="000000" w:themeColor="text1"/>
        </w:rPr>
        <w:t>is an eigenvector with eigenvalue</w:t>
      </w:r>
    </w:p>
    <w:p w14:paraId="2DAF5350"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A1BF91B" w14:textId="77777777" w:rsidR="001F255F" w:rsidRPr="00CA61FE" w:rsidRDefault="001F255F" w:rsidP="001F255F">
      <w:pPr>
        <w:pStyle w:val="NormalWeb"/>
        <w:rPr>
          <w:color w:val="000000" w:themeColor="text1"/>
        </w:rPr>
      </w:pPr>
      <w:r>
        <w:rPr>
          <w:color w:val="000000" w:themeColor="text1"/>
        </w:rPr>
        <w:t xml:space="preserve">For </w:t>
      </w:r>
      <m:oMath>
        <m:r>
          <w:rPr>
            <w:rFonts w:ascii="Cambria Math" w:hAnsi="Cambria Math"/>
            <w:color w:val="000000" w:themeColor="text1"/>
          </w:rPr>
          <m:t>ρ&gt;0</m:t>
        </m:r>
      </m:oMath>
      <w:r>
        <w:rPr>
          <w:color w:val="000000" w:themeColor="text1"/>
        </w:rPr>
        <w:t>,</w:t>
      </w:r>
    </w:p>
    <w:p w14:paraId="5E3060DD"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1</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λ</m:t>
              </m:r>
            </m:e>
            <m:sub>
              <m:r>
                <w:rPr>
                  <w:rFonts w:ascii="Cambria Math" w:hAnsi="Cambria Math" w:cs="Times New Roman"/>
                  <w:color w:val="000000" w:themeColor="text1"/>
                </w:rPr>
                <m:t>2</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1+</m:t>
              </m:r>
              <m:d>
                <m:dPr>
                  <m:ctrlPr>
                    <w:rPr>
                      <w:rFonts w:ascii="Cambria Math" w:hAnsi="Cambria Math" w:cs="Times New Roman"/>
                      <w:color w:val="000000" w:themeColor="text1"/>
                    </w:rPr>
                  </m:ctrlPr>
                </m:dPr>
                <m:e>
                  <m:r>
                    <w:rPr>
                      <w:rFonts w:ascii="Cambria Math" w:hAnsi="Cambria Math" w:cs="Times New Roman"/>
                      <w:color w:val="000000" w:themeColor="text1"/>
                    </w:rPr>
                    <m:t>K-1</m:t>
                  </m:r>
                </m:e>
              </m:d>
              <m:r>
                <w:rPr>
                  <w:rFonts w:ascii="Cambria Math" w:hAnsi="Cambria Math" w:cs="Times New Roman"/>
                  <w:color w:val="000000" w:themeColor="text1"/>
                </w:rPr>
                <m:t>ρ</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d>
            <m:dPr>
              <m:ctrlPr>
                <w:rPr>
                  <w:rFonts w:ascii="Cambria Math" w:hAnsi="Cambria Math" w:cs="Times New Roman"/>
                  <w:color w:val="000000" w:themeColor="text1"/>
                </w:rPr>
              </m:ctrlPr>
            </m:dPr>
            <m:e>
              <m:r>
                <w:rPr>
                  <w:rFonts w:ascii="Cambria Math" w:hAnsi="Cambria Math" w:cs="Times New Roman"/>
                  <w:color w:val="000000" w:themeColor="text1"/>
                </w:rPr>
                <m:t>1-ρ</m:t>
              </m:r>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σ</m:t>
              </m:r>
            </m:e>
            <m:sup>
              <m:r>
                <w:rPr>
                  <w:rFonts w:ascii="Cambria Math" w:hAnsi="Cambria Math" w:cs="Times New Roman"/>
                  <w:color w:val="000000" w:themeColor="text1"/>
                </w:rPr>
                <m:t>2</m:t>
              </m:r>
            </m:sup>
          </m:sSup>
          <m:r>
            <w:rPr>
              <w:rFonts w:ascii="Cambria Math" w:hAnsi="Cambria Math" w:cs="Times New Roman"/>
              <w:color w:val="000000" w:themeColor="text1"/>
            </w:rPr>
            <m:t>Kρ&gt;0.</m:t>
          </m:r>
          <m:r>
            <m:rPr>
              <m:sty m:val="p"/>
            </m:rPr>
            <w:rPr>
              <w:rFonts w:ascii="Cambria Math" w:hAnsi="Cambria Math" w:cs="Times New Roman"/>
              <w:color w:val="000000" w:themeColor="text1"/>
            </w:rPr>
            <w:br/>
          </m:r>
        </m:oMath>
      </m:oMathPara>
    </w:p>
    <w:p w14:paraId="0100F93F" w14:textId="77777777" w:rsidR="001F255F" w:rsidRPr="00CA61FE" w:rsidRDefault="001F255F" w:rsidP="001F255F">
      <w:pPr>
        <w:pStyle w:val="NormalWeb"/>
        <w:rPr>
          <w:color w:val="000000" w:themeColor="text1"/>
        </w:rPr>
      </w:pPr>
      <w:r>
        <w:rPr>
          <w:color w:val="000000" w:themeColor="text1"/>
        </w:rPr>
        <w:t xml:space="preserve">Hence, </w:t>
      </w:r>
      <m:oMath>
        <m:sSub>
          <m:sSubPr>
            <m:ctrlPr>
              <w:rPr>
                <w:rFonts w:ascii="Cambria Math" w:hAnsi="Cambria Math"/>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oMath>
      <w:r>
        <w:rPr>
          <w:color w:val="000000" w:themeColor="text1"/>
        </w:rPr>
        <w:t>is the leading eigenvector. Under canonical equal weights,</w:t>
      </w:r>
    </w:p>
    <w:p w14:paraId="1D669C23" w14:textId="77777777" w:rsidR="001F255F" w:rsidRPr="00CA61FE" w:rsidRDefault="00CA61FE" w:rsidP="001F255F">
      <w:pPr>
        <w:rPr>
          <w:rFonts w:ascii="Times New Roman" w:hAnsi="Times New Roman" w:cs="Times New Roman"/>
          <w:color w:val="000000" w:themeColor="text1"/>
        </w:rPr>
      </w:pPr>
      <m:oMathPara>
        <m:oMath>
          <m:r>
            <w:rPr>
              <w:rFonts w:ascii="Cambria Math" w:hAnsi="Cambria Math" w:cs="Times New Roman"/>
              <w:color w:val="000000" w:themeColor="text1"/>
            </w:rPr>
            <m:t>w=</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0480B1AD" w14:textId="77777777" w:rsidR="001F255F" w:rsidRPr="00CA61FE" w:rsidRDefault="001F255F" w:rsidP="001F255F">
      <w:pPr>
        <w:pStyle w:val="NormalWeb"/>
        <w:rPr>
          <w:color w:val="000000" w:themeColor="text1"/>
        </w:rPr>
      </w:pPr>
      <w:r>
        <w:rPr>
          <w:color w:val="000000" w:themeColor="text1"/>
        </w:rPr>
        <w:t>The TCSI score is</w:t>
      </w:r>
    </w:p>
    <w:p w14:paraId="582CF959" w14:textId="77777777" w:rsidR="001F255F" w:rsidRPr="00CA61FE" w:rsidRDefault="00000000" w:rsidP="001F255F">
      <w:pPr>
        <w:rPr>
          <w:rFonts w:ascii="Times New Roman" w:hAnsi="Times New Roman" w:cs="Times New Roman"/>
          <w:color w:val="000000" w:themeColor="text1"/>
        </w:rPr>
      </w:pPr>
      <m:oMathPara>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TCSI</m:t>
              </m:r>
            </m:fName>
            <m:e>
              <m:r>
                <w:rPr>
                  <w:rFonts w:ascii="Cambria Math" w:hAnsi="Cambria Math" w:cs="Times New Roman"/>
                  <w:color w:val="000000" w:themeColor="text1"/>
                </w:rPr>
                <m:t>=</m:t>
              </m:r>
            </m:e>
          </m:func>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m:t>
              </m:r>
            </m:sup>
          </m:sSup>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sSubSup>
            <m:sSubSupPr>
              <m:ctrlPr>
                <w:rPr>
                  <w:rFonts w:ascii="Cambria Math" w:hAnsi="Cambria Math" w:cs="Times New Roman"/>
                  <w:color w:val="000000" w:themeColor="text1"/>
                </w:rPr>
              </m:ctrlPr>
            </m:sSubSupPr>
            <m:e>
              <m:r>
                <w:rPr>
                  <w:rFonts w:ascii="Cambria Math" w:hAnsi="Cambria Math" w:cs="Times New Roman"/>
                  <w:color w:val="000000" w:themeColor="text1"/>
                </w:rPr>
                <m:t>1</m:t>
              </m:r>
            </m:e>
            <m:sub>
              <m:r>
                <w:rPr>
                  <w:rFonts w:ascii="Cambria Math" w:hAnsi="Cambria Math" w:cs="Times New Roman"/>
                  <w:color w:val="000000" w:themeColor="text1"/>
                </w:rPr>
                <m:t>K</m:t>
              </m:r>
            </m:sub>
            <m:sup>
              <m:r>
                <w:rPr>
                  <w:rFonts w:ascii="Cambria Math" w:hAnsi="Cambria Math" w:cs="Times New Roman"/>
                  <w:color w:val="000000" w:themeColor="text1"/>
                </w:rPr>
                <m:t>T</m:t>
              </m:r>
            </m:sup>
          </m:sSubSup>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m:t>
              </m:r>
            </m:sup>
          </m:sSup>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5066B611" w14:textId="77777777" w:rsidR="001F255F" w:rsidRPr="00CA61FE" w:rsidRDefault="001F255F" w:rsidP="001F255F">
      <w:pPr>
        <w:pStyle w:val="NormalWeb"/>
        <w:rPr>
          <w:color w:val="000000" w:themeColor="text1"/>
        </w:rPr>
      </w:pPr>
      <w:r>
        <w:rPr>
          <w:color w:val="000000" w:themeColor="text1"/>
        </w:rPr>
        <w:t>The first principal-component score is</w:t>
      </w:r>
    </w:p>
    <w:p w14:paraId="0F638D89" w14:textId="77777777" w:rsidR="001F255F" w:rsidRPr="00CA61FE" w:rsidRDefault="00000000" w:rsidP="001F255F">
      <w:pPr>
        <w:rPr>
          <w:rFonts w:ascii="Times New Roman" w:hAnsi="Times New Roman" w:cs="Times New Roman"/>
          <w:color w:val="000000" w:themeColor="text1"/>
        </w:rPr>
      </w:pPr>
      <m:oMathPara>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PC</m:t>
              </m:r>
              <m:r>
                <w:rPr>
                  <w:rFonts w:ascii="Cambria Math" w:hAnsi="Cambria Math" w:cs="Times New Roman"/>
                  <w:color w:val="000000" w:themeColor="text1"/>
                </w:rPr>
                <m:t>1</m:t>
              </m:r>
            </m:fName>
            <m:e>
              <m:r>
                <w:rPr>
                  <w:rFonts w:ascii="Cambria Math" w:hAnsi="Cambria Math" w:cs="Times New Roman"/>
                  <w:color w:val="000000" w:themeColor="text1"/>
                </w:rPr>
                <m:t>=</m:t>
              </m:r>
            </m:e>
          </m:func>
          <m:sSubSup>
            <m:sSubSupPr>
              <m:ctrlPr>
                <w:rPr>
                  <w:rFonts w:ascii="Cambria Math" w:hAnsi="Cambria Math" w:cs="Times New Roman"/>
                  <w:color w:val="000000" w:themeColor="text1"/>
                </w:rPr>
              </m:ctrlPr>
            </m:sSubSupPr>
            <m:e>
              <m:r>
                <w:rPr>
                  <w:rFonts w:ascii="Cambria Math" w:hAnsi="Cambria Math" w:cs="Times New Roman"/>
                  <w:color w:val="000000" w:themeColor="text1"/>
                </w:rPr>
                <m:t>v</m:t>
              </m:r>
            </m:e>
            <m:sub>
              <m:r>
                <w:rPr>
                  <w:rFonts w:ascii="Cambria Math" w:hAnsi="Cambria Math" w:cs="Times New Roman"/>
                  <w:color w:val="000000" w:themeColor="text1"/>
                </w:rPr>
                <m:t>1</m:t>
              </m:r>
            </m:sub>
            <m:sup>
              <m:r>
                <w:rPr>
                  <w:rFonts w:ascii="Cambria Math" w:hAnsi="Cambria Math" w:cs="Times New Roman"/>
                  <w:color w:val="000000" w:themeColor="text1"/>
                </w:rPr>
                <m:t>T</m:t>
              </m:r>
            </m:sup>
          </m:sSubSup>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m:t>
              </m:r>
            </m:sup>
          </m:s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-1/2</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1</m:t>
              </m:r>
            </m:e>
            <m:sub>
              <m:r>
                <w:rPr>
                  <w:rFonts w:ascii="Cambria Math" w:hAnsi="Cambria Math" w:cs="Times New Roman"/>
                  <w:color w:val="000000" w:themeColor="text1"/>
                </w:rPr>
                <m:t>K</m:t>
              </m:r>
            </m:sub>
            <m:sup>
              <m:r>
                <w:rPr>
                  <w:rFonts w:ascii="Cambria Math" w:hAnsi="Cambria Math" w:cs="Times New Roman"/>
                  <w:color w:val="000000" w:themeColor="text1"/>
                </w:rPr>
                <m:t>T</m:t>
              </m:r>
            </m:sup>
          </m:sSubSup>
          <m:sSup>
            <m:sSupPr>
              <m:ctrlPr>
                <w:rPr>
                  <w:rFonts w:ascii="Cambria Math" w:hAnsi="Cambria Math" w:cs="Times New Roman"/>
                  <w:color w:val="000000" w:themeColor="text1"/>
                </w:rPr>
              </m:ctrlPr>
            </m:sSupPr>
            <m:e>
              <m:r>
                <w:rPr>
                  <w:rFonts w:ascii="Cambria Math" w:hAnsi="Cambria Math" w:cs="Times New Roman"/>
                  <w:color w:val="000000" w:themeColor="text1"/>
                </w:rPr>
                <m:t>z</m:t>
              </m:r>
            </m:e>
            <m:sup>
              <m:r>
                <w:rPr>
                  <w:rFonts w:ascii="Cambria Math" w:hAnsi="Cambria Math" w:cs="Times New Roman"/>
                  <w:color w:val="000000" w:themeColor="text1"/>
                </w:rPr>
                <m:t>*</m:t>
              </m:r>
            </m:sup>
          </m:sSup>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79396EB3" w14:textId="77777777" w:rsidR="001F255F" w:rsidRPr="00CA61FE" w:rsidRDefault="001F255F" w:rsidP="001F255F">
      <w:pPr>
        <w:pStyle w:val="NormalWeb"/>
        <w:rPr>
          <w:color w:val="000000" w:themeColor="text1"/>
        </w:rPr>
      </w:pPr>
      <w:r>
        <w:rPr>
          <w:color w:val="000000" w:themeColor="text1"/>
        </w:rPr>
        <w:lastRenderedPageBreak/>
        <w:t>Therefore,</w:t>
      </w:r>
    </w:p>
    <w:p w14:paraId="2B58B021" w14:textId="77777777" w:rsidR="001F255F" w:rsidRPr="00CA61FE" w:rsidRDefault="00000000" w:rsidP="001F255F">
      <w:pPr>
        <w:rPr>
          <w:rFonts w:ascii="Times New Roman" w:hAnsi="Times New Roman" w:cs="Times New Roman"/>
          <w:color w:val="000000" w:themeColor="text1"/>
        </w:rPr>
      </w:pPr>
      <m:oMathPara>
        <m:oMath>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TCSI</m:t>
              </m:r>
            </m:fName>
            <m:e>
              <m:r>
                <w:rPr>
                  <w:rFonts w:ascii="Cambria Math" w:hAnsi="Cambria Math" w:cs="Times New Roman"/>
                  <w:color w:val="000000" w:themeColor="text1"/>
                </w:rPr>
                <m:t>=</m:t>
              </m:r>
            </m:e>
          </m:func>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-1/2</m:t>
              </m:r>
            </m:sup>
          </m:sSup>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PC</m:t>
              </m:r>
              <m:r>
                <w:rPr>
                  <w:rFonts w:ascii="Cambria Math" w:hAnsi="Cambria Math" w:cs="Times New Roman"/>
                  <w:color w:val="000000" w:themeColor="text1"/>
                </w:rPr>
                <m:t>1</m:t>
              </m:r>
            </m:fName>
            <m:e>
              <m:r>
                <w:rPr>
                  <w:rFonts w:ascii="Cambria Math" w:hAnsi="Cambria Math" w:cs="Times New Roman"/>
                  <w:color w:val="000000" w:themeColor="text1"/>
                </w:rPr>
                <m:t>.</m:t>
              </m:r>
            </m:e>
          </m:func>
          <m:r>
            <m:rPr>
              <m:sty m:val="p"/>
            </m:rPr>
            <w:rPr>
              <w:rFonts w:ascii="Cambria Math" w:hAnsi="Cambria Math" w:cs="Times New Roman"/>
              <w:color w:val="000000" w:themeColor="text1"/>
            </w:rPr>
            <w:br/>
          </m:r>
        </m:oMath>
      </m:oMathPara>
    </w:p>
    <w:p w14:paraId="0469B96F" w14:textId="77777777" w:rsidR="001F255F" w:rsidRPr="00CA61FE" w:rsidRDefault="001F255F" w:rsidP="001F255F">
      <w:pPr>
        <w:ind w:left="0" w:firstLine="0"/>
        <w:rPr>
          <w:rFonts w:ascii="Times New Roman" w:hAnsi="Times New Roman" w:cs="Times New Roman"/>
          <w:color w:val="000000" w:themeColor="text1"/>
        </w:rPr>
      </w:pPr>
    </w:p>
    <w:p w14:paraId="66FB89D3" w14:textId="77777777" w:rsidR="001F255F" w:rsidRPr="00CA61FE" w:rsidRDefault="001F255F" w:rsidP="00290545">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Idiosyncratic Noise Attenuation</w:t>
      </w:r>
    </w:p>
    <w:p w14:paraId="5AE34DD3" w14:textId="77777777" w:rsidR="001F255F" w:rsidRPr="00CA61FE" w:rsidRDefault="001F255F" w:rsidP="001F255F">
      <w:pPr>
        <w:pStyle w:val="NormalWeb"/>
        <w:rPr>
          <w:color w:val="000000" w:themeColor="text1"/>
        </w:rPr>
      </w:pPr>
      <w:r>
        <w:rPr>
          <w:rStyle w:val="Strong"/>
          <w:color w:val="000000" w:themeColor="text1"/>
        </w:rPr>
        <w:t>Theorem 4.2. Noise attenuation.</w:t>
      </w:r>
      <w:r>
        <w:rPr>
          <w:color w:val="000000" w:themeColor="text1"/>
        </w:rPr>
        <w:br/>
        <w:t>Assume the simplified single-factor model</w:t>
      </w:r>
    </w:p>
    <w:p w14:paraId="5D2D8040" w14:textId="77777777" w:rsidR="001F255F" w:rsidRPr="00CA61FE" w:rsidRDefault="00000000" w:rsidP="001F255F">
      <w:pPr>
        <w:rPr>
          <w:rFonts w:ascii="Times New Roman" w:hAnsi="Times New Roman" w:cs="Times New Roman"/>
          <w:color w:val="000000" w:themeColor="text1"/>
        </w:rPr>
      </w:pPr>
      <m:oMathPara>
        <m:oMath>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59E06F8" w14:textId="77777777" w:rsidR="001F255F" w:rsidRPr="00CA61FE" w:rsidRDefault="001F255F" w:rsidP="001F255F">
      <w:pPr>
        <w:pStyle w:val="NormalWeb"/>
        <w:rPr>
          <w:color w:val="000000" w:themeColor="text1"/>
        </w:rPr>
      </w:pPr>
      <w:r>
        <w:rPr>
          <w:color w:val="000000" w:themeColor="text1"/>
        </w:rPr>
        <w:t>where residuals are mutually independent with</w:t>
      </w:r>
    </w:p>
    <w:p w14:paraId="0A7E2B45" w14:textId="77777777" w:rsidR="001F255F" w:rsidRPr="00CA61FE" w:rsidRDefault="00CA61FE"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ik</m:t>
                  </m:r>
                </m:sub>
              </m:sSub>
            </m:e>
          </m:d>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254E9B02" w14:textId="77777777" w:rsidR="001F255F" w:rsidRPr="00CA61FE" w:rsidRDefault="001F255F" w:rsidP="001F255F">
      <w:pPr>
        <w:pStyle w:val="NormalWeb"/>
        <w:rPr>
          <w:color w:val="000000" w:themeColor="text1"/>
        </w:rPr>
      </w:pPr>
      <w:r>
        <w:rPr>
          <w:color w:val="000000" w:themeColor="text1"/>
        </w:rPr>
        <w:t>Then</w:t>
      </w:r>
    </w:p>
    <w:p w14:paraId="539D6442"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m:rPr>
              <m:sty m:val="p"/>
            </m:rPr>
            <w:rPr>
              <w:rFonts w:ascii="Cambria Math" w:hAnsi="Cambria Math" w:cs="Times New Roman"/>
              <w:color w:val="000000" w:themeColor="text1"/>
            </w:rPr>
            <w:br/>
          </m:r>
        </m:oMath>
      </m:oMathPara>
    </w:p>
    <w:p w14:paraId="581C0B39" w14:textId="77777777" w:rsidR="001F255F" w:rsidRPr="00CA61FE" w:rsidRDefault="001F255F" w:rsidP="001F255F">
      <w:pPr>
        <w:pStyle w:val="NormalWeb"/>
        <w:rPr>
          <w:color w:val="000000" w:themeColor="text1"/>
        </w:rPr>
      </w:pPr>
      <w:r>
        <w:rPr>
          <w:color w:val="000000" w:themeColor="text1"/>
        </w:rPr>
        <w:t>and</w:t>
      </w:r>
    </w:p>
    <w:p w14:paraId="46E75BFA" w14:textId="77777777" w:rsidR="001F255F" w:rsidRPr="00CA61FE" w:rsidRDefault="00CA61FE"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e>
          </m:d>
          <m:r>
            <w:rPr>
              <w:rFonts w:ascii="Cambria Math" w:hAnsi="Cambria Math" w:cs="Times New Roman"/>
              <w:color w:val="000000" w:themeColor="text1"/>
            </w:rPr>
            <m:t>=</m:t>
          </m:r>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K</m:t>
              </m:r>
            </m:den>
          </m:f>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4C07098" w14:textId="77777777" w:rsidR="001F255F" w:rsidRPr="00CA61FE" w:rsidRDefault="001F255F" w:rsidP="001F255F">
      <w:pPr>
        <w:pStyle w:val="NormalWeb"/>
        <w:rPr>
          <w:color w:val="000000" w:themeColor="text1"/>
        </w:rPr>
      </w:pPr>
      <w:r>
        <w:rPr>
          <w:color w:val="000000" w:themeColor="text1"/>
        </w:rPr>
        <w:t xml:space="preserve">For </w:t>
      </w:r>
      <m:oMath>
        <m:r>
          <w:rPr>
            <w:rFonts w:ascii="Cambria Math" w:hAnsi="Cambria Math"/>
            <w:color w:val="000000" w:themeColor="text1"/>
          </w:rPr>
          <m:t>K=5</m:t>
        </m:r>
      </m:oMath>
      <w:r>
        <w:rPr>
          <w:color w:val="000000" w:themeColor="text1"/>
        </w:rPr>
        <w:t xml:space="preserve">, the independent residual variance is reduced to </w:t>
      </w:r>
      <m:oMath>
        <m:r>
          <w:rPr>
            <w:rFonts w:ascii="Cambria Math" w:hAnsi="Cambria Math"/>
            <w:color w:val="000000" w:themeColor="text1"/>
          </w:rPr>
          <m:t xml:space="preserve">20% </m:t>
        </m:r>
      </m:oMath>
      <w:r>
        <w:rPr>
          <w:color w:val="000000" w:themeColor="text1"/>
        </w:rPr>
        <w:t xml:space="preserve">of the individual pathway residual variance, corresponding to an </w:t>
      </w:r>
      <m:oMath>
        <m:r>
          <w:rPr>
            <w:rFonts w:ascii="Cambria Math" w:hAnsi="Cambria Math"/>
            <w:color w:val="000000" w:themeColor="text1"/>
          </w:rPr>
          <m:t xml:space="preserve">80% </m:t>
        </m:r>
      </m:oMath>
      <w:r>
        <w:rPr>
          <w:color w:val="000000" w:themeColor="text1"/>
        </w:rPr>
        <w:t>reduction.</w:t>
      </w:r>
    </w:p>
    <w:p w14:paraId="55AC4AD6" w14:textId="77777777" w:rsidR="001F255F" w:rsidRPr="00CA61FE" w:rsidRDefault="001F255F" w:rsidP="001F255F">
      <w:pPr>
        <w:pStyle w:val="NormalWeb"/>
        <w:rPr>
          <w:color w:val="000000" w:themeColor="text1"/>
        </w:rPr>
      </w:pPr>
      <w:r>
        <w:rPr>
          <w:rStyle w:val="Strong"/>
          <w:color w:val="000000" w:themeColor="text1"/>
        </w:rPr>
        <w:t>Proof.</w:t>
      </w:r>
      <w:r>
        <w:rPr>
          <w:color w:val="000000" w:themeColor="text1"/>
        </w:rPr>
        <w:br/>
        <w:t>Under equal weights,</w:t>
      </w:r>
    </w:p>
    <w:p w14:paraId="4DBFE8DB" w14:textId="77777777" w:rsidR="001F255F" w:rsidRPr="00CA61FE" w:rsidRDefault="00CA61FE" w:rsidP="001F255F">
      <w:pPr>
        <w:rPr>
          <w:rFonts w:ascii="Times New Roman" w:hAnsi="Times New Roman" w:cs="Times New Roman"/>
          <w:color w:val="000000" w:themeColor="text1"/>
        </w:rPr>
      </w:pPr>
      <m:oMathPara>
        <m:oMath>
          <m:r>
            <w:rPr>
              <w:rFonts w:ascii="Cambria Math" w:hAnsi="Cambria Math" w:cs="Times New Roman"/>
              <w:color w:val="000000" w:themeColor="text1"/>
            </w:rPr>
            <m:t>w=</m:t>
          </m:r>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5654EFBA" w14:textId="77777777" w:rsidR="001F255F" w:rsidRPr="00CA61FE" w:rsidRDefault="001F255F" w:rsidP="001F255F">
      <w:pPr>
        <w:pStyle w:val="NormalWeb"/>
        <w:rPr>
          <w:color w:val="000000" w:themeColor="text1"/>
        </w:rPr>
      </w:pPr>
      <w:r>
        <w:rPr>
          <w:color w:val="000000" w:themeColor="text1"/>
        </w:rPr>
        <w:t>Substituting the single-factor model into the TCSI operator gives</w:t>
      </w:r>
    </w:p>
    <w:p w14:paraId="137D8811"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Sup>
            <m:sSubSupPr>
              <m:ctrlPr>
                <w:rPr>
                  <w:rFonts w:ascii="Cambria Math" w:hAnsi="Cambria Math" w:cs="Times New Roman"/>
                  <w:color w:val="000000" w:themeColor="text1"/>
                </w:rPr>
              </m:ctrlPr>
            </m:sSubSupPr>
            <m:e>
              <m:r>
                <w:rPr>
                  <w:rFonts w:ascii="Cambria Math" w:hAnsi="Cambria Math" w:cs="Times New Roman"/>
                  <w:color w:val="000000" w:themeColor="text1"/>
                </w:rPr>
                <m:t>z</m:t>
              </m:r>
            </m:e>
            <m:sub>
              <m:r>
                <w:rPr>
                  <w:rFonts w:ascii="Cambria Math" w:hAnsi="Cambria Math" w:cs="Times New Roman"/>
                  <w:color w:val="000000" w:themeColor="text1"/>
                </w:rPr>
                <m:t>i</m:t>
              </m:r>
            </m:sub>
            <m:sup>
              <m:r>
                <w:rPr>
                  <w:rFonts w:ascii="Cambria Math" w:hAnsi="Cambria Math" w:cs="Times New Roman"/>
                  <w:color w:val="000000" w:themeColor="text1"/>
                </w:rPr>
                <m:t>*</m:t>
              </m:r>
            </m:sup>
          </m:sSubSup>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1</m:t>
              </m:r>
            </m:e>
            <m:sub>
              <m:r>
                <w:rPr>
                  <w:rFonts w:ascii="Cambria Math" w:hAnsi="Cambria Math" w:cs="Times New Roman"/>
                  <w:color w:val="000000" w:themeColor="text1"/>
                </w:rPr>
                <m:t>K</m:t>
              </m:r>
            </m:sub>
          </m:sSub>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51D9B151" w14:textId="77777777" w:rsidR="001F255F" w:rsidRPr="00CA61FE" w:rsidRDefault="001F255F" w:rsidP="001F255F">
      <w:pPr>
        <w:pStyle w:val="NormalWeb"/>
        <w:rPr>
          <w:color w:val="000000" w:themeColor="text1"/>
        </w:rPr>
      </w:pPr>
      <w:r>
        <w:rPr>
          <w:color w:val="000000" w:themeColor="text1"/>
        </w:rPr>
        <w:lastRenderedPageBreak/>
        <w:t xml:space="preserve">Since </w:t>
      </w:r>
      <m:oMath>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sSub>
          <m:sSubPr>
            <m:ctrlPr>
              <w:rPr>
                <w:rFonts w:ascii="Cambria Math" w:hAnsi="Cambria Math"/>
                <w:color w:val="000000" w:themeColor="text1"/>
              </w:rPr>
            </m:ctrlPr>
          </m:sSubPr>
          <m:e>
            <m:r>
              <w:rPr>
                <w:rFonts w:ascii="Cambria Math" w:hAnsi="Cambria Math"/>
                <w:color w:val="000000" w:themeColor="text1"/>
              </w:rPr>
              <m:t>1</m:t>
            </m:r>
          </m:e>
          <m:sub>
            <m:r>
              <w:rPr>
                <w:rFonts w:ascii="Cambria Math" w:hAnsi="Cambria Math"/>
                <w:color w:val="000000" w:themeColor="text1"/>
              </w:rPr>
              <m:t>K</m:t>
            </m:r>
          </m:sub>
        </m:sSub>
        <m:r>
          <w:rPr>
            <w:rFonts w:ascii="Cambria Math" w:hAnsi="Cambria Math"/>
            <w:color w:val="000000" w:themeColor="text1"/>
          </w:rPr>
          <m:t>=1</m:t>
        </m:r>
      </m:oMath>
      <w:r>
        <w:rPr>
          <w:color w:val="000000" w:themeColor="text1"/>
        </w:rPr>
        <w:t>,</w:t>
      </w:r>
    </w:p>
    <w:p w14:paraId="277452A9"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r>
            <w:rPr>
              <w:rFonts w:ascii="Cambria Math" w:hAnsi="Cambria Math" w:cs="Times New Roman"/>
              <w:color w:val="000000" w:themeColor="text1"/>
            </w:rPr>
            <m:t>+</m:t>
          </m:r>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493D5E4" w14:textId="77777777" w:rsidR="001F255F" w:rsidRPr="00CA61FE" w:rsidRDefault="001F255F" w:rsidP="001F255F">
      <w:pPr>
        <w:pStyle w:val="NormalWeb"/>
        <w:rPr>
          <w:color w:val="000000" w:themeColor="text1"/>
        </w:rPr>
      </w:pPr>
      <w:r>
        <w:rPr>
          <w:color w:val="000000" w:themeColor="text1"/>
        </w:rPr>
        <w:t xml:space="preserve">Conditional on </w:t>
      </w:r>
      <m:oMath>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i</m:t>
            </m:r>
          </m:sub>
        </m:sSub>
      </m:oMath>
      <w:r>
        <w:rPr>
          <w:color w:val="000000" w:themeColor="text1"/>
        </w:rPr>
        <w:t xml:space="preserve">, the only random component is </w:t>
      </w:r>
      <m:oMath>
        <m:sSup>
          <m:sSupPr>
            <m:ctrlPr>
              <w:rPr>
                <w:rFonts w:ascii="Cambria Math" w:hAnsi="Cambria Math"/>
                <w:color w:val="000000" w:themeColor="text1"/>
              </w:rPr>
            </m:ctrlPr>
          </m:sSupPr>
          <m:e>
            <m:r>
              <w:rPr>
                <w:rFonts w:ascii="Cambria Math" w:hAnsi="Cambria Math"/>
                <w:color w:val="000000" w:themeColor="text1"/>
              </w:rPr>
              <m:t>w</m:t>
            </m:r>
          </m:e>
          <m:sup>
            <m:r>
              <w:rPr>
                <w:rFonts w:ascii="Cambria Math" w:hAnsi="Cambria Math"/>
                <w:color w:val="000000" w:themeColor="text1"/>
              </w:rPr>
              <m:t>T</m:t>
            </m:r>
          </m:sup>
        </m:sSup>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m:t>
            </m:r>
          </m:sub>
        </m:sSub>
      </m:oMath>
      <w:r>
        <w:rPr>
          <w:color w:val="000000" w:themeColor="text1"/>
        </w:rPr>
        <w:t xml:space="preserve">. With mutually independent residuals and </w:t>
      </w:r>
      <m:oMath>
        <m:r>
          <m:rPr>
            <m:sty m:val="p"/>
          </m:rPr>
          <w:rPr>
            <w:rFonts w:ascii="Cambria Math" w:hAnsi="Cambria Math"/>
            <w:color w:val="000000" w:themeColor="text1"/>
          </w:rPr>
          <m:t>Var</m:t>
        </m:r>
        <m:r>
          <w:rPr>
            <w:rFonts w:ascii="Cambria Math" w:hAnsi="Cambria Math"/>
            <w:color w:val="000000" w:themeColor="text1"/>
          </w:rPr>
          <m:t>⁡</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ε</m:t>
                </m:r>
              </m:e>
              <m:sub>
                <m:r>
                  <w:rPr>
                    <w:rFonts w:ascii="Cambria Math" w:hAnsi="Cambria Math"/>
                    <w:color w:val="000000" w:themeColor="text1"/>
                  </w:rPr>
                  <m:t>ik</m:t>
                </m:r>
              </m:sub>
            </m:sSub>
          </m:e>
        </m:d>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ε</m:t>
            </m:r>
          </m:sub>
          <m:sup>
            <m:r>
              <w:rPr>
                <w:rFonts w:ascii="Cambria Math" w:hAnsi="Cambria Math"/>
                <w:color w:val="000000" w:themeColor="text1"/>
              </w:rPr>
              <m:t>2</m:t>
            </m:r>
          </m:sup>
        </m:sSubSup>
      </m:oMath>
      <w:r>
        <w:rPr>
          <w:color w:val="000000" w:themeColor="text1"/>
        </w:rPr>
        <w:t>,</w:t>
      </w:r>
    </w:p>
    <w:p w14:paraId="26816405" w14:textId="77777777" w:rsidR="001F255F" w:rsidRPr="00CA61FE" w:rsidRDefault="00CA61FE"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m:t>
          </m:r>
          <m:nary>
            <m:naryPr>
              <m:chr m:val="∑"/>
              <m:limLoc m:val="undOvr"/>
              <m:grow m:val="1"/>
              <m:ctrlPr>
                <w:rPr>
                  <w:rFonts w:ascii="Cambria Math" w:hAnsi="Cambria Math" w:cs="Times New Roman"/>
                  <w:color w:val="000000" w:themeColor="text1"/>
                </w:rPr>
              </m:ctrlPr>
            </m:naryPr>
            <m:sub>
              <m:r>
                <w:rPr>
                  <w:rFonts w:ascii="Cambria Math" w:hAnsi="Cambria Math" w:cs="Times New Roman"/>
                  <w:color w:val="000000" w:themeColor="text1"/>
                </w:rPr>
                <m:t>k=1</m:t>
              </m:r>
            </m:sub>
            <m:sup>
              <m:r>
                <w:rPr>
                  <w:rFonts w:ascii="Cambria Math" w:hAnsi="Cambria Math" w:cs="Times New Roman"/>
                  <w:color w:val="000000" w:themeColor="text1"/>
                </w:rPr>
                <m:t>K</m:t>
              </m:r>
            </m:sup>
            <m:e>
              <m:sSubSup>
                <m:sSubSupPr>
                  <m:ctrlPr>
                    <w:rPr>
                      <w:rFonts w:ascii="Cambria Math" w:hAnsi="Cambria Math" w:cs="Times New Roman"/>
                      <w:color w:val="000000" w:themeColor="text1"/>
                    </w:rPr>
                  </m:ctrlPr>
                </m:sSubSupPr>
                <m:e>
                  <m:r>
                    <w:rPr>
                      <w:rFonts w:ascii="Cambria Math" w:hAnsi="Cambria Math" w:cs="Times New Roman"/>
                      <w:color w:val="000000" w:themeColor="text1"/>
                    </w:rPr>
                    <m:t>w</m:t>
                  </m:r>
                </m:e>
                <m:sub>
                  <m:r>
                    <w:rPr>
                      <w:rFonts w:ascii="Cambria Math" w:hAnsi="Cambria Math" w:cs="Times New Roman"/>
                      <w:color w:val="000000" w:themeColor="text1"/>
                    </w:rPr>
                    <m:t>k</m:t>
                  </m:r>
                </m:sub>
                <m:sup>
                  <m:r>
                    <w:rPr>
                      <w:rFonts w:ascii="Cambria Math" w:hAnsi="Cambria Math" w:cs="Times New Roman"/>
                      <w:color w:val="000000" w:themeColor="text1"/>
                    </w:rPr>
                    <m:t>2</m:t>
                  </m:r>
                </m:sup>
              </m:sSubSup>
            </m:e>
          </m:nary>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4CE6E5A3" w14:textId="77777777" w:rsidR="001F255F" w:rsidRPr="00CA61FE" w:rsidRDefault="001F255F" w:rsidP="001F255F">
      <w:pPr>
        <w:pStyle w:val="NormalWeb"/>
        <w:rPr>
          <w:color w:val="000000" w:themeColor="text1"/>
        </w:rPr>
      </w:pPr>
      <w:r>
        <w:rPr>
          <w:color w:val="000000" w:themeColor="text1"/>
        </w:rPr>
        <w:t xml:space="preserve">Because </w:t>
      </w:r>
      <m:oMath>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k</m:t>
            </m:r>
          </m:sub>
        </m:sSub>
        <m:r>
          <w:rPr>
            <w:rFonts w:ascii="Cambria Math" w:hAnsi="Cambria Math"/>
            <w:color w:val="000000" w:themeColor="text1"/>
          </w:rPr>
          <m:t>=1/K</m:t>
        </m:r>
      </m:oMath>
      <w:r>
        <w:rPr>
          <w:color w:val="000000" w:themeColor="text1"/>
        </w:rPr>
        <w:t>,</w:t>
      </w:r>
    </w:p>
    <w:p w14:paraId="5104858A" w14:textId="77777777" w:rsidR="001F255F" w:rsidRPr="00CA61FE" w:rsidRDefault="00CA61FE"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p>
                <m:sSupPr>
                  <m:ctrlPr>
                    <w:rPr>
                      <w:rFonts w:ascii="Cambria Math" w:hAnsi="Cambria Math" w:cs="Times New Roman"/>
                      <w:color w:val="000000" w:themeColor="text1"/>
                    </w:rPr>
                  </m:ctrlPr>
                </m:sSupPr>
                <m:e>
                  <m:r>
                    <w:rPr>
                      <w:rFonts w:ascii="Cambria Math" w:hAnsi="Cambria Math" w:cs="Times New Roman"/>
                      <w:color w:val="000000" w:themeColor="text1"/>
                    </w:rPr>
                    <m:t>w</m:t>
                  </m:r>
                </m:e>
                <m:sup>
                  <m:r>
                    <w:rPr>
                      <w:rFonts w:ascii="Cambria Math" w:hAnsi="Cambria Math" w:cs="Times New Roman"/>
                      <w:color w:val="000000" w:themeColor="text1"/>
                    </w:rPr>
                    <m:t>T</m:t>
                  </m:r>
                </m:sup>
              </m:sSup>
              <m:sSub>
                <m:sSubPr>
                  <m:ctrlPr>
                    <w:rPr>
                      <w:rFonts w:ascii="Cambria Math" w:hAnsi="Cambria Math" w:cs="Times New Roman"/>
                      <w:color w:val="000000" w:themeColor="text1"/>
                    </w:rPr>
                  </m:ctrlPr>
                </m:sSubPr>
                <m:e>
                  <m:r>
                    <w:rPr>
                      <w:rFonts w:ascii="Cambria Math" w:hAnsi="Cambria Math" w:cs="Times New Roman"/>
                      <w:color w:val="000000" w:themeColor="text1"/>
                    </w:rPr>
                    <m:t>ε</m:t>
                  </m:r>
                </m:e>
                <m:sub>
                  <m:r>
                    <w:rPr>
                      <w:rFonts w:ascii="Cambria Math" w:hAnsi="Cambria Math" w:cs="Times New Roman"/>
                      <w:color w:val="000000" w:themeColor="text1"/>
                    </w:rPr>
                    <m:t>i</m:t>
                  </m:r>
                </m:sub>
              </m:sSub>
            </m:e>
          </m:d>
          <m:r>
            <w:rPr>
              <w:rFonts w:ascii="Cambria Math" w:hAnsi="Cambria Math" w:cs="Times New Roman"/>
              <w:color w:val="000000" w:themeColor="text1"/>
            </w:rPr>
            <m:t>=K</m:t>
          </m:r>
          <m:d>
            <m:dPr>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1</m:t>
                  </m:r>
                </m:num>
                <m:den>
                  <m:sSup>
                    <m:sSupPr>
                      <m:ctrlPr>
                        <w:rPr>
                          <w:rFonts w:ascii="Cambria Math" w:hAnsi="Cambria Math" w:cs="Times New Roman"/>
                          <w:color w:val="000000" w:themeColor="text1"/>
                        </w:rPr>
                      </m:ctrlPr>
                    </m:sSupPr>
                    <m:e>
                      <m:r>
                        <w:rPr>
                          <w:rFonts w:ascii="Cambria Math" w:hAnsi="Cambria Math" w:cs="Times New Roman"/>
                          <w:color w:val="000000" w:themeColor="text1"/>
                        </w:rPr>
                        <m:t>K</m:t>
                      </m:r>
                    </m:e>
                    <m:sup>
                      <m:r>
                        <w:rPr>
                          <w:rFonts w:ascii="Cambria Math" w:hAnsi="Cambria Math" w:cs="Times New Roman"/>
                          <w:color w:val="000000" w:themeColor="text1"/>
                        </w:rPr>
                        <m:t>2</m:t>
                      </m:r>
                    </m:sup>
                  </m:sSup>
                </m:den>
              </m:f>
            </m:e>
          </m:d>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r>
            <w:rPr>
              <w:rFonts w:ascii="Cambria Math" w:hAnsi="Cambria Math" w:cs="Times New Roman"/>
              <w:color w:val="000000" w:themeColor="text1"/>
            </w:rPr>
            <m:t>=</m:t>
          </m:r>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K</m:t>
              </m:r>
            </m:den>
          </m:f>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583EB7B" w14:textId="77777777" w:rsidR="001F255F" w:rsidRPr="00CA61FE" w:rsidRDefault="001F255F" w:rsidP="001F255F">
      <w:pPr>
        <w:pStyle w:val="NormalWeb"/>
        <w:rPr>
          <w:color w:val="000000" w:themeColor="text1"/>
        </w:rPr>
      </w:pPr>
      <w:r>
        <w:rPr>
          <w:color w:val="000000" w:themeColor="text1"/>
        </w:rPr>
        <w:t>Thus,</w:t>
      </w:r>
    </w:p>
    <w:p w14:paraId="20ED9A30" w14:textId="77777777" w:rsidR="001F255F" w:rsidRPr="00CA61FE" w:rsidRDefault="00CA61FE"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e>
          </m:d>
          <m:r>
            <w:rPr>
              <w:rFonts w:ascii="Cambria Math" w:hAnsi="Cambria Math" w:cs="Times New Roman"/>
              <w:color w:val="000000" w:themeColor="text1"/>
            </w:rPr>
            <m:t>=</m:t>
          </m:r>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K</m:t>
              </m:r>
            </m:den>
          </m:f>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5640E85F" w14:textId="77777777" w:rsidR="001F255F" w:rsidRPr="00CA61FE" w:rsidRDefault="001F255F" w:rsidP="001F255F">
      <w:pPr>
        <w:pStyle w:val="NormalWeb"/>
        <w:rPr>
          <w:color w:val="000000" w:themeColor="text1"/>
        </w:rPr>
      </w:pPr>
      <w:r>
        <w:rPr>
          <w:color w:val="000000" w:themeColor="text1"/>
        </w:rPr>
        <w:t xml:space="preserve">For </w:t>
      </w:r>
      <m:oMath>
        <m:r>
          <w:rPr>
            <w:rFonts w:ascii="Cambria Math" w:hAnsi="Cambria Math"/>
            <w:color w:val="000000" w:themeColor="text1"/>
          </w:rPr>
          <m:t>K=5</m:t>
        </m:r>
      </m:oMath>
      <w:r>
        <w:rPr>
          <w:color w:val="000000" w:themeColor="text1"/>
        </w:rPr>
        <w:t>,</w:t>
      </w:r>
    </w:p>
    <w:p w14:paraId="131F628D" w14:textId="77777777" w:rsidR="001F255F" w:rsidRPr="00CA61FE" w:rsidRDefault="00000000" w:rsidP="001F255F">
      <w:pPr>
        <w:rPr>
          <w:rFonts w:ascii="Times New Roman" w:hAnsi="Times New Roman" w:cs="Times New Roman"/>
          <w:color w:val="000000" w:themeColor="text1"/>
        </w:rPr>
      </w:pPr>
      <m:oMathPara>
        <m:oMath>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K</m:t>
              </m:r>
            </m:den>
          </m:f>
          <m:r>
            <w:rPr>
              <w:rFonts w:ascii="Cambria Math" w:hAnsi="Cambria Math" w:cs="Times New Roman"/>
              <w:color w:val="000000" w:themeColor="text1"/>
            </w:rPr>
            <m:t>=</m:t>
          </m:r>
          <m:f>
            <m:fPr>
              <m:ctrlPr>
                <w:rPr>
                  <w:rFonts w:ascii="Cambria Math" w:hAnsi="Cambria Math" w:cs="Times New Roman"/>
                  <w:color w:val="000000" w:themeColor="text1"/>
                </w:rPr>
              </m:ctrlPr>
            </m:fPr>
            <m:num>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num>
            <m:den>
              <m:r>
                <w:rPr>
                  <w:rFonts w:ascii="Cambria Math" w:hAnsi="Cambria Math" w:cs="Times New Roman"/>
                  <w:color w:val="000000" w:themeColor="text1"/>
                </w:rPr>
                <m:t>5</m:t>
              </m:r>
            </m:den>
          </m:f>
          <m:r>
            <w:rPr>
              <w:rFonts w:ascii="Cambria Math" w:hAnsi="Cambria Math" w:cs="Times New Roman"/>
              <w:color w:val="000000" w:themeColor="text1"/>
            </w:rPr>
            <m:t>=0.2</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6146D20" w14:textId="77777777" w:rsidR="001F255F" w:rsidRPr="00CA61FE" w:rsidRDefault="001F255F" w:rsidP="00CA61FE">
      <w:pPr>
        <w:pStyle w:val="NormalWeb"/>
        <w:rPr>
          <w:color w:val="000000" w:themeColor="text1"/>
        </w:rPr>
      </w:pPr>
      <w:r>
        <w:rPr>
          <w:color w:val="000000" w:themeColor="text1"/>
        </w:rPr>
        <w:t xml:space="preserve">This corresponds to an </w:t>
      </w:r>
      <m:oMath>
        <m:r>
          <w:rPr>
            <w:rFonts w:ascii="Cambria Math" w:hAnsi="Cambria Math"/>
            <w:color w:val="000000" w:themeColor="text1"/>
          </w:rPr>
          <m:t>80%</m:t>
        </m:r>
      </m:oMath>
      <w:r w:rsidR="00903B63">
        <w:rPr>
          <w:color w:val="000000" w:themeColor="text1"/>
        </w:rPr>
        <w:t xml:space="preserve"> </w:t>
      </w:r>
      <w:r>
        <w:rPr>
          <w:color w:val="000000" w:themeColor="text1"/>
        </w:rPr>
        <w:t xml:space="preserve">reduction relative to the residual variance of a single pathway axis. </w:t>
      </w:r>
    </w:p>
    <w:p w14:paraId="48AB3D6A" w14:textId="77777777" w:rsidR="001F255F" w:rsidRPr="00CA61FE" w:rsidRDefault="001F255F" w:rsidP="001F255F">
      <w:pPr>
        <w:pStyle w:val="NormalWeb"/>
        <w:rPr>
          <w:color w:val="000000" w:themeColor="text1"/>
        </w:rPr>
      </w:pPr>
      <w:r>
        <w:rPr>
          <w:rStyle w:val="Strong"/>
          <w:color w:val="000000" w:themeColor="text1"/>
        </w:rPr>
        <w:t>Corollary 4.1. Correlated residuals.</w:t>
      </w:r>
      <w:r>
        <w:rPr>
          <w:color w:val="000000" w:themeColor="text1"/>
        </w:rPr>
        <w:br/>
        <w:t xml:space="preserve">Under compound-symmetric residual covariance with variance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ε</m:t>
            </m:r>
          </m:sub>
          <m:sup>
            <m:r>
              <w:rPr>
                <w:rFonts w:ascii="Cambria Math" w:hAnsi="Cambria Math"/>
                <w:color w:val="000000" w:themeColor="text1"/>
              </w:rPr>
              <m:t>2</m:t>
            </m:r>
          </m:sup>
        </m:sSubSup>
        <m:r>
          <w:rPr>
            <w:rFonts w:ascii="Cambria Math" w:hAnsi="Cambria Math"/>
            <w:color w:val="000000" w:themeColor="text1"/>
          </w:rPr>
          <m:t xml:space="preserve"> </m:t>
        </m:r>
      </m:oMath>
      <w:r>
        <w:rPr>
          <w:color w:val="000000" w:themeColor="text1"/>
        </w:rPr>
        <w:t xml:space="preserve">and pairwise correlation </w:t>
      </w:r>
      <m:oMath>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ε</m:t>
            </m:r>
          </m:sub>
        </m:sSub>
      </m:oMath>
      <w:r>
        <w:rPr>
          <w:color w:val="000000" w:themeColor="text1"/>
        </w:rPr>
        <w:t>,</w:t>
      </w:r>
    </w:p>
    <w:p w14:paraId="6C5FEEB6"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e>
          </m:d>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d>
            <m:dPr>
              <m:begChr m:val="["/>
              <m:endChr m:val="]"/>
              <m:ctrlPr>
                <w:rPr>
                  <w:rFonts w:ascii="Cambria Math" w:hAnsi="Cambria Math" w:cs="Times New Roman"/>
                  <w:color w:val="000000" w:themeColor="text1"/>
                </w:rPr>
              </m:ctrlPr>
            </m:dPr>
            <m:e>
              <m:f>
                <m:fPr>
                  <m:ctrlPr>
                    <w:rPr>
                      <w:rFonts w:ascii="Cambria Math" w:hAnsi="Cambria Math" w:cs="Times New Roman"/>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K</m:t>
                  </m:r>
                </m:den>
              </m:f>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K-1</m:t>
                  </m:r>
                </m:num>
                <m:den>
                  <m:r>
                    <w:rPr>
                      <w:rFonts w:ascii="Cambria Math" w:hAnsi="Cambria Math" w:cs="Times New Roman"/>
                      <w:color w:val="000000" w:themeColor="text1"/>
                    </w:rPr>
                    <m:t>K</m:t>
                  </m:r>
                </m:den>
              </m:f>
              <m:sSub>
                <m:sSubPr>
                  <m:ctrlPr>
                    <w:rPr>
                      <w:rFonts w:ascii="Cambria Math" w:hAnsi="Cambria Math" w:cs="Times New Roman"/>
                      <w:color w:val="000000" w:themeColor="text1"/>
                    </w:rPr>
                  </m:ctrlPr>
                </m:sSubPr>
                <m:e>
                  <m:r>
                    <w:rPr>
                      <w:rFonts w:ascii="Cambria Math" w:hAnsi="Cambria Math" w:cs="Times New Roman"/>
                      <w:color w:val="000000" w:themeColor="text1"/>
                    </w:rPr>
                    <m:t>ρ</m:t>
                  </m:r>
                </m:e>
                <m:sub>
                  <m:r>
                    <w:rPr>
                      <w:rFonts w:ascii="Cambria Math" w:hAnsi="Cambria Math" w:cs="Times New Roman"/>
                      <w:color w:val="000000" w:themeColor="text1"/>
                    </w:rPr>
                    <m:t>ε</m:t>
                  </m:r>
                </m:sub>
              </m:sSub>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3755A8D7" w14:textId="77777777" w:rsidR="001F255F" w:rsidRPr="00CA61FE" w:rsidRDefault="001F255F" w:rsidP="001F255F">
      <w:pPr>
        <w:pStyle w:val="NormalWeb"/>
        <w:rPr>
          <w:color w:val="000000" w:themeColor="text1"/>
        </w:rPr>
      </w:pPr>
      <w:r>
        <w:rPr>
          <w:color w:val="000000" w:themeColor="text1"/>
        </w:rPr>
        <w:t xml:space="preserve">For </w:t>
      </w:r>
      <m:oMath>
        <m:r>
          <w:rPr>
            <w:rFonts w:ascii="Cambria Math" w:hAnsi="Cambria Math"/>
            <w:color w:val="000000" w:themeColor="text1"/>
          </w:rPr>
          <m:t>K=5</m:t>
        </m:r>
      </m:oMath>
      <w:r>
        <w:rPr>
          <w:color w:val="000000" w:themeColor="text1"/>
        </w:rPr>
        <w:t>,</w:t>
      </w:r>
    </w:p>
    <w:p w14:paraId="6C3B0928"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Var</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θ</m:t>
                  </m:r>
                </m:e>
                <m:sub>
                  <m:r>
                    <w:rPr>
                      <w:rFonts w:ascii="Cambria Math" w:hAnsi="Cambria Math" w:cs="Times New Roman"/>
                      <w:color w:val="000000" w:themeColor="text1"/>
                    </w:rPr>
                    <m:t>i</m:t>
                  </m:r>
                </m:sub>
              </m:sSub>
            </m:e>
          </m:d>
          <m:r>
            <w:rPr>
              <w:rFonts w:ascii="Cambria Math" w:hAnsi="Cambria Math" w:cs="Times New Roman"/>
              <w:color w:val="000000" w:themeColor="text1"/>
            </w:rPr>
            <m:t>=</m:t>
          </m:r>
          <m:sSubSup>
            <m:sSubSupPr>
              <m:ctrlPr>
                <w:rPr>
                  <w:rFonts w:ascii="Cambria Math" w:hAnsi="Cambria Math" w:cs="Times New Roman"/>
                  <w:color w:val="000000" w:themeColor="text1"/>
                </w:rPr>
              </m:ctrlPr>
            </m:sSubSupPr>
            <m:e>
              <m:r>
                <w:rPr>
                  <w:rFonts w:ascii="Cambria Math" w:hAnsi="Cambria Math" w:cs="Times New Roman"/>
                  <w:color w:val="000000" w:themeColor="text1"/>
                </w:rPr>
                <m:t>σ</m:t>
              </m:r>
            </m:e>
            <m:sub>
              <m:r>
                <w:rPr>
                  <w:rFonts w:ascii="Cambria Math" w:hAnsi="Cambria Math" w:cs="Times New Roman"/>
                  <w:color w:val="000000" w:themeColor="text1"/>
                </w:rPr>
                <m:t>ε</m:t>
              </m:r>
            </m:sub>
            <m:sup>
              <m:r>
                <w:rPr>
                  <w:rFonts w:ascii="Cambria Math" w:hAnsi="Cambria Math" w:cs="Times New Roman"/>
                  <w:color w:val="000000" w:themeColor="text1"/>
                </w:rPr>
                <m:t>2</m:t>
              </m:r>
            </m:sup>
          </m:sSubSup>
          <m:d>
            <m:dPr>
              <m:begChr m:val="["/>
              <m:endChr m:val="]"/>
              <m:ctrlPr>
                <w:rPr>
                  <w:rFonts w:ascii="Cambria Math" w:hAnsi="Cambria Math" w:cs="Times New Roman"/>
                  <w:color w:val="000000" w:themeColor="text1"/>
                </w:rPr>
              </m:ctrlPr>
            </m:dPr>
            <m:e>
              <m:r>
                <w:rPr>
                  <w:rFonts w:ascii="Cambria Math" w:hAnsi="Cambria Math" w:cs="Times New Roman"/>
                  <w:color w:val="000000" w:themeColor="text1"/>
                </w:rPr>
                <m:t>0.2+0.8</m:t>
              </m:r>
              <m:sSub>
                <m:sSubPr>
                  <m:ctrlPr>
                    <w:rPr>
                      <w:rFonts w:ascii="Cambria Math" w:hAnsi="Cambria Math" w:cs="Times New Roman"/>
                      <w:color w:val="000000" w:themeColor="text1"/>
                    </w:rPr>
                  </m:ctrlPr>
                </m:sSubPr>
                <m:e>
                  <m:r>
                    <w:rPr>
                      <w:rFonts w:ascii="Cambria Math" w:hAnsi="Cambria Math" w:cs="Times New Roman"/>
                      <w:color w:val="000000" w:themeColor="text1"/>
                    </w:rPr>
                    <m:t>ρ</m:t>
                  </m:r>
                </m:e>
                <m:sub>
                  <m:r>
                    <w:rPr>
                      <w:rFonts w:ascii="Cambria Math" w:hAnsi="Cambria Math" w:cs="Times New Roman"/>
                      <w:color w:val="000000" w:themeColor="text1"/>
                    </w:rPr>
                    <m:t>ε</m:t>
                  </m:r>
                </m:sub>
              </m:sSub>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2FDB478E" w14:textId="77777777" w:rsidR="001F255F" w:rsidRPr="00CA61FE" w:rsidRDefault="001F255F" w:rsidP="001F255F">
      <w:pPr>
        <w:pStyle w:val="NormalWeb"/>
        <w:rPr>
          <w:color w:val="000000" w:themeColor="text1"/>
        </w:rPr>
      </w:pPr>
      <w:r>
        <w:rPr>
          <w:color w:val="000000" w:themeColor="text1"/>
        </w:rPr>
        <w:lastRenderedPageBreak/>
        <w:t xml:space="preserve">If </w:t>
      </w:r>
      <m:oMath>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ε</m:t>
            </m:r>
          </m:sub>
        </m:sSub>
        <m:r>
          <w:rPr>
            <w:rFonts w:ascii="Cambria Math" w:hAnsi="Cambria Math"/>
            <w:color w:val="000000" w:themeColor="text1"/>
          </w:rPr>
          <m:t>=0</m:t>
        </m:r>
      </m:oMath>
      <w:r>
        <w:rPr>
          <w:color w:val="000000" w:themeColor="text1"/>
        </w:rPr>
        <w:t xml:space="preserve">, residuals are independent and residual variance is reduced to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ε</m:t>
            </m:r>
          </m:sub>
          <m:sup>
            <m:r>
              <w:rPr>
                <w:rFonts w:ascii="Cambria Math" w:hAnsi="Cambria Math"/>
                <w:color w:val="000000" w:themeColor="text1"/>
              </w:rPr>
              <m:t>2</m:t>
            </m:r>
          </m:sup>
        </m:sSubSup>
        <m:r>
          <w:rPr>
            <w:rFonts w:ascii="Cambria Math" w:hAnsi="Cambria Math"/>
            <w:color w:val="000000" w:themeColor="text1"/>
          </w:rPr>
          <m:t>/K</m:t>
        </m:r>
      </m:oMath>
      <w:r>
        <w:rPr>
          <w:color w:val="000000" w:themeColor="text1"/>
        </w:rPr>
        <w:t xml:space="preserve">. If </w:t>
      </w:r>
      <m:oMath>
        <m:sSub>
          <m:sSubPr>
            <m:ctrlPr>
              <w:rPr>
                <w:rFonts w:ascii="Cambria Math" w:hAnsi="Cambria Math"/>
                <w:color w:val="000000" w:themeColor="text1"/>
              </w:rPr>
            </m:ctrlPr>
          </m:sSubPr>
          <m:e>
            <m:r>
              <w:rPr>
                <w:rFonts w:ascii="Cambria Math" w:hAnsi="Cambria Math"/>
                <w:color w:val="000000" w:themeColor="text1"/>
              </w:rPr>
              <m:t>ρ</m:t>
            </m:r>
          </m:e>
          <m:sub>
            <m:r>
              <w:rPr>
                <w:rFonts w:ascii="Cambria Math" w:hAnsi="Cambria Math"/>
                <w:color w:val="000000" w:themeColor="text1"/>
              </w:rPr>
              <m:t>ε</m:t>
            </m:r>
          </m:sub>
        </m:sSub>
        <m:r>
          <w:rPr>
            <w:rFonts w:ascii="Cambria Math" w:hAnsi="Cambria Math"/>
            <w:color w:val="000000" w:themeColor="text1"/>
          </w:rPr>
          <m:t>=1</m:t>
        </m:r>
      </m:oMath>
      <w:r>
        <w:rPr>
          <w:color w:val="000000" w:themeColor="text1"/>
        </w:rPr>
        <w:t xml:space="preserve">, residuals are fully correlated and residual variance equals </w:t>
      </w:r>
      <m:oMath>
        <m:sSubSup>
          <m:sSubSupPr>
            <m:ctrlPr>
              <w:rPr>
                <w:rFonts w:ascii="Cambria Math" w:hAnsi="Cambria Math"/>
                <w:color w:val="000000" w:themeColor="text1"/>
              </w:rPr>
            </m:ctrlPr>
          </m:sSubSupPr>
          <m:e>
            <m:r>
              <w:rPr>
                <w:rFonts w:ascii="Cambria Math" w:hAnsi="Cambria Math"/>
                <w:color w:val="000000" w:themeColor="text1"/>
              </w:rPr>
              <m:t>σ</m:t>
            </m:r>
          </m:e>
          <m:sub>
            <m:r>
              <w:rPr>
                <w:rFonts w:ascii="Cambria Math" w:hAnsi="Cambria Math"/>
                <w:color w:val="000000" w:themeColor="text1"/>
              </w:rPr>
              <m:t>ε</m:t>
            </m:r>
          </m:sub>
          <m:sup>
            <m:r>
              <w:rPr>
                <w:rFonts w:ascii="Cambria Math" w:hAnsi="Cambria Math"/>
                <w:color w:val="000000" w:themeColor="text1"/>
              </w:rPr>
              <m:t>2</m:t>
            </m:r>
          </m:sup>
        </m:sSubSup>
      </m:oMath>
      <w:r>
        <w:rPr>
          <w:color w:val="000000" w:themeColor="text1"/>
        </w:rPr>
        <w:t>, so averaging provides no attenuation.</w:t>
      </w:r>
    </w:p>
    <w:p w14:paraId="0A54EE60" w14:textId="77777777" w:rsidR="001F255F" w:rsidRPr="00CA61FE" w:rsidRDefault="001F255F" w:rsidP="001F255F">
      <w:pPr>
        <w:ind w:left="0" w:firstLine="0"/>
        <w:rPr>
          <w:rFonts w:ascii="Times New Roman" w:hAnsi="Times New Roman" w:cs="Times New Roman"/>
          <w:color w:val="000000" w:themeColor="text1"/>
        </w:rPr>
      </w:pPr>
    </w:p>
    <w:p w14:paraId="77499FE7" w14:textId="77777777" w:rsidR="001F255F" w:rsidRPr="00CA61FE" w:rsidRDefault="001F255F" w:rsidP="000B13CD">
      <w:pPr>
        <w:pStyle w:val="Heading1"/>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Spatial Extension</w:t>
      </w:r>
    </w:p>
    <w:p w14:paraId="5E88689D" w14:textId="77777777" w:rsidR="001F255F" w:rsidRPr="00CA61FE" w:rsidRDefault="001F255F" w:rsidP="001F255F">
      <w:pPr>
        <w:pStyle w:val="NormalWeb"/>
        <w:rPr>
          <w:color w:val="000000" w:themeColor="text1"/>
        </w:rPr>
      </w:pPr>
      <w:r>
        <w:rPr>
          <w:color w:val="000000" w:themeColor="text1"/>
        </w:rPr>
        <w:t xml:space="preserve">Spatial transcriptomics technologies generate expression profiles at spatially indexed locations within tissue sections. Each location </w:t>
      </w:r>
      <m:oMath>
        <m:r>
          <w:rPr>
            <w:rFonts w:ascii="Cambria Math" w:hAnsi="Cambria Math"/>
            <w:color w:val="000000" w:themeColor="text1"/>
          </w:rPr>
          <m:t>s</m:t>
        </m:r>
      </m:oMath>
      <w:r>
        <w:rPr>
          <w:color w:val="000000" w:themeColor="text1"/>
        </w:rPr>
        <w:t xml:space="preserve">carries a transcriptomic profile </w:t>
      </w:r>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s</m:t>
            </m:r>
          </m:e>
        </m:d>
      </m:oMath>
      <w:r>
        <w:rPr>
          <w:color w:val="000000" w:themeColor="text1"/>
        </w:rPr>
        <w:t>, enabling molecular phenotyping while preserving tissue-coordinate information.</w:t>
      </w:r>
    </w:p>
    <w:p w14:paraId="32222714" w14:textId="77777777" w:rsidR="001F255F" w:rsidRPr="00CA61FE" w:rsidRDefault="001F255F" w:rsidP="0060461E">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Definition </w:t>
      </w:r>
      <w:r w:rsidR="00965C91">
        <w:rPr>
          <w:rFonts w:ascii="Times New Roman" w:hAnsi="Times New Roman" w:cs="Times New Roman"/>
          <w:color w:val="000000" w:themeColor="text1"/>
          <w:sz w:val="24"/>
        </w:rPr>
        <w:t>3</w:t>
      </w:r>
      <w:r>
        <w:rPr>
          <w:rFonts w:ascii="Times New Roman" w:hAnsi="Times New Roman" w:cs="Times New Roman"/>
          <w:color w:val="000000" w:themeColor="text1"/>
          <w:sz w:val="24"/>
        </w:rPr>
        <w:t>.1. Location-wise stress field</w:t>
      </w:r>
    </w:p>
    <w:p w14:paraId="6341EE26" w14:textId="77777777" w:rsidR="001F255F" w:rsidRPr="00CA61FE" w:rsidRDefault="001F255F" w:rsidP="001F255F">
      <w:pPr>
        <w:pStyle w:val="NormalWeb"/>
        <w:rPr>
          <w:color w:val="000000" w:themeColor="text1"/>
        </w:rPr>
      </w:pPr>
      <w:r>
        <w:rPr>
          <w:color w:val="000000" w:themeColor="text1"/>
        </w:rPr>
        <w:t>Define the unsmoothed spatial TCSI field as</w:t>
      </w:r>
    </w:p>
    <w:p w14:paraId="735A175F"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TCSI</m:t>
          </m:r>
          <m:r>
            <w:rPr>
              <w:rFonts w:ascii="Cambria Math" w:hAnsi="Cambria Math" w:cs="Times New Roman"/>
              <w:color w:val="000000" w:themeColor="text1"/>
            </w:rPr>
            <m:t>⁡</m:t>
          </m:r>
          <m:d>
            <m:dPr>
              <m:ctrlPr>
                <w:rPr>
                  <w:rFonts w:ascii="Cambria Math" w:hAnsi="Cambria Math" w:cs="Times New Roman"/>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r>
            <m:rPr>
              <m:sty m:val="p"/>
            </m:rPr>
            <w:rPr>
              <w:rFonts w:ascii="Cambria Math" w:hAnsi="Cambria Math" w:cs="Times New Roman"/>
              <w:color w:val="000000" w:themeColor="text1"/>
            </w:rPr>
            <m:t>TCSI</m:t>
          </m:r>
          <m:r>
            <w:rPr>
              <w:rFonts w:ascii="Cambria Math" w:hAnsi="Cambria Math" w:cs="Times New Roman"/>
              <w:color w:val="000000" w:themeColor="text1"/>
            </w:rPr>
            <m:t>⁡</m:t>
          </m:r>
          <m:d>
            <m:dPr>
              <m:sepChr m:val=";"/>
              <m:ctrlPr>
                <w:rPr>
                  <w:rFonts w:ascii="Cambria Math" w:hAnsi="Cambria Math" w:cs="Times New Roman"/>
                  <w:color w:val="000000" w:themeColor="text1"/>
                </w:rPr>
              </m:ctrlPr>
            </m:dPr>
            <m:e>
              <m:r>
                <w:rPr>
                  <w:rFonts w:ascii="Cambria Math" w:hAnsi="Cambria Math" w:cs="Times New Roman"/>
                  <w:color w:val="000000" w:themeColor="text1"/>
                </w:rPr>
                <m:t>x</m:t>
              </m:r>
            </m:e>
            <m:e>
              <m:d>
                <m:dPr>
                  <m:ctrlPr>
                    <w:rPr>
                      <w:rFonts w:ascii="Cambria Math" w:hAnsi="Cambria Math" w:cs="Times New Roman"/>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F</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623F831B" w14:textId="77777777" w:rsidR="001F255F" w:rsidRPr="00CA61FE" w:rsidRDefault="001F255F" w:rsidP="001F255F">
      <w:pPr>
        <w:pStyle w:val="NormalWeb"/>
        <w:rPr>
          <w:color w:val="000000" w:themeColor="text1"/>
        </w:rPr>
      </w:pPr>
      <w:r>
        <w:rPr>
          <w:color w:val="000000" w:themeColor="text1"/>
        </w:rPr>
        <w:t xml:space="preserve">Single-sample computability, as stated in Proposition 3.1, extends immediately to each spatial location because the score depends only on the local profile </w:t>
      </w:r>
      <m:oMath>
        <m:r>
          <w:rPr>
            <w:rFonts w:ascii="Cambria Math" w:hAnsi="Cambria Math"/>
            <w:color w:val="000000" w:themeColor="text1"/>
          </w:rPr>
          <m:t>x</m:t>
        </m:r>
        <m:d>
          <m:dPr>
            <m:ctrlPr>
              <w:rPr>
                <w:rFonts w:ascii="Cambria Math" w:hAnsi="Cambria Math"/>
                <w:color w:val="000000" w:themeColor="text1"/>
              </w:rPr>
            </m:ctrlPr>
          </m:dPr>
          <m:e>
            <m:r>
              <w:rPr>
                <w:rFonts w:ascii="Cambria Math" w:hAnsi="Cambria Math"/>
                <w:color w:val="000000" w:themeColor="text1"/>
              </w:rPr>
              <m:t>s</m:t>
            </m:r>
          </m:e>
        </m:d>
      </m:oMath>
      <w:r>
        <w:rPr>
          <w:color w:val="000000" w:themeColor="text1"/>
        </w:rPr>
        <w:t xml:space="preserve">and the fixed elements of </w:t>
      </w:r>
      <m:oMath>
        <m:r>
          <w:rPr>
            <w:rFonts w:ascii="Cambria Math" w:hAnsi="Cambria Math"/>
            <w:color w:val="000000" w:themeColor="text1"/>
          </w:rPr>
          <m:t>F</m:t>
        </m:r>
      </m:oMath>
      <w:r>
        <w:rPr>
          <w:color w:val="000000" w:themeColor="text1"/>
        </w:rPr>
        <w:t>.</w:t>
      </w:r>
    </w:p>
    <w:p w14:paraId="39959CB8" w14:textId="77777777" w:rsidR="001F255F" w:rsidRPr="00CA61FE" w:rsidRDefault="001F255F" w:rsidP="001F255F">
      <w:pPr>
        <w:ind w:left="0" w:firstLine="0"/>
        <w:rPr>
          <w:rFonts w:ascii="Times New Roman" w:hAnsi="Times New Roman" w:cs="Times New Roman"/>
          <w:color w:val="000000" w:themeColor="text1"/>
        </w:rPr>
      </w:pPr>
    </w:p>
    <w:p w14:paraId="3BAA06A0" w14:textId="77777777" w:rsidR="001F255F" w:rsidRPr="00CA61FE" w:rsidRDefault="001F255F" w:rsidP="0060461E">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Definition </w:t>
      </w:r>
      <w:r w:rsidR="00965C91">
        <w:rPr>
          <w:rFonts w:ascii="Times New Roman" w:hAnsi="Times New Roman" w:cs="Times New Roman"/>
          <w:color w:val="000000" w:themeColor="text1"/>
          <w:sz w:val="24"/>
        </w:rPr>
        <w:t>3</w:t>
      </w:r>
      <w:r>
        <w:rPr>
          <w:rFonts w:ascii="Times New Roman" w:hAnsi="Times New Roman" w:cs="Times New Roman"/>
          <w:color w:val="000000" w:themeColor="text1"/>
          <w:sz w:val="24"/>
        </w:rPr>
        <w:t>.2. Kernel-smoothed field</w:t>
      </w:r>
    </w:p>
    <w:p w14:paraId="04CD026B" w14:textId="77777777" w:rsidR="001F255F" w:rsidRPr="00CA61FE" w:rsidRDefault="001F255F" w:rsidP="001F255F">
      <w:pPr>
        <w:pStyle w:val="NormalWeb"/>
        <w:rPr>
          <w:color w:val="000000" w:themeColor="text1"/>
        </w:rPr>
      </w:pPr>
      <w:r>
        <w:rPr>
          <w:color w:val="000000" w:themeColor="text1"/>
        </w:rPr>
        <w:t xml:space="preserve">For observed spatial locations </w:t>
      </w:r>
      <m:oMath>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j</m:t>
                </m:r>
              </m:sub>
            </m:sSub>
          </m:e>
        </m:d>
      </m:oMath>
      <w:r>
        <w:rPr>
          <w:color w:val="000000" w:themeColor="text1"/>
        </w:rPr>
        <w:t>, define the kernel-smoothed TCSI field as</w:t>
      </w:r>
    </w:p>
    <w:p w14:paraId="47E271A0"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h</m:t>
              </m:r>
            </m:sub>
          </m:sSub>
          <m:d>
            <m:dPr>
              <m:ctrlPr>
                <w:rPr>
                  <w:rFonts w:ascii="Cambria Math" w:hAnsi="Cambria Math" w:cs="Times New Roman"/>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f>
            <m:fPr>
              <m:ctrlPr>
                <w:rPr>
                  <w:rFonts w:ascii="Cambria Math" w:hAnsi="Cambria Math" w:cs="Times New Roman"/>
                  <w:color w:val="000000" w:themeColor="text1"/>
                </w:rPr>
              </m:ctrlPr>
            </m:fPr>
            <m:num>
              <m:nary>
                <m:naryPr>
                  <m:chr m:val="∑"/>
                  <m:limLoc m:val="undOvr"/>
                  <m:grow m:val="1"/>
                  <m:supHide m:val="1"/>
                  <m:ctrlPr>
                    <w:rPr>
                      <w:rFonts w:ascii="Cambria Math" w:hAnsi="Cambria Math" w:cs="Times New Roman"/>
                      <w:color w:val="000000" w:themeColor="text1"/>
                    </w:rPr>
                  </m:ctrlPr>
                </m:naryPr>
                <m:sub>
                  <m:r>
                    <w:rPr>
                      <w:rFonts w:ascii="Cambria Math" w:hAnsi="Cambria Math" w:cs="Times New Roman"/>
                      <w:color w:val="000000" w:themeColor="text1"/>
                    </w:rPr>
                    <m:t>j</m:t>
                  </m:r>
                </m:sub>
                <m:sup/>
                <m:e>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h</m:t>
                      </m:r>
                    </m:sub>
                  </m:sSub>
                </m:e>
              </m:nary>
              <m:d>
                <m:dPr>
                  <m:sepChr m:val=","/>
                  <m:ctrlPr>
                    <w:rPr>
                      <w:rFonts w:ascii="Cambria Math" w:hAnsi="Cambria Math" w:cs="Times New Roman"/>
                      <w:color w:val="000000" w:themeColor="text1"/>
                    </w:rPr>
                  </m:ctrlPr>
                </m:dPr>
                <m:e>
                  <m:r>
                    <w:rPr>
                      <w:rFonts w:ascii="Cambria Math" w:hAnsi="Cambria Math" w:cs="Times New Roman"/>
                      <w:color w:val="000000" w:themeColor="text1"/>
                    </w:rPr>
                    <m:t>s</m:t>
                  </m:r>
                </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e>
              </m:d>
              <m:r>
                <m:rPr>
                  <m:sty m:val="p"/>
                </m:rPr>
                <w:rPr>
                  <w:rFonts w:ascii="Cambria Math" w:hAnsi="Cambria Math" w:cs="Times New Roman"/>
                  <w:color w:val="000000" w:themeColor="text1"/>
                </w:rPr>
                <m:t>TCSI</m:t>
              </m:r>
              <m:r>
                <w:rPr>
                  <w:rFonts w:ascii="Cambria Math" w:hAnsi="Cambria Math" w:cs="Times New Roman"/>
                  <w:color w:val="000000" w:themeColor="text1"/>
                </w:rPr>
                <m:t>⁡</m:t>
              </m:r>
              <m:d>
                <m:dPr>
                  <m:ctrlPr>
                    <w:rPr>
                      <w:rFonts w:ascii="Cambria Math" w:hAnsi="Cambria Math" w:cs="Times New Roman"/>
                      <w:color w:val="000000" w:themeColor="text1"/>
                    </w:rPr>
                  </m:ctrlPr>
                </m:dPr>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e>
              </m:d>
            </m:num>
            <m:den>
              <m:nary>
                <m:naryPr>
                  <m:chr m:val="∑"/>
                  <m:limLoc m:val="undOvr"/>
                  <m:grow m:val="1"/>
                  <m:supHide m:val="1"/>
                  <m:ctrlPr>
                    <w:rPr>
                      <w:rFonts w:ascii="Cambria Math" w:hAnsi="Cambria Math" w:cs="Times New Roman"/>
                      <w:color w:val="000000" w:themeColor="text1"/>
                    </w:rPr>
                  </m:ctrlPr>
                </m:naryPr>
                <m:sub>
                  <m:r>
                    <w:rPr>
                      <w:rFonts w:ascii="Cambria Math" w:hAnsi="Cambria Math" w:cs="Times New Roman"/>
                      <w:color w:val="000000" w:themeColor="text1"/>
                    </w:rPr>
                    <m:t>j</m:t>
                  </m:r>
                </m:sub>
                <m:sup/>
                <m:e>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h</m:t>
                      </m:r>
                    </m:sub>
                  </m:sSub>
                </m:e>
              </m:nary>
              <m:d>
                <m:dPr>
                  <m:sepChr m:val=","/>
                  <m:ctrlPr>
                    <w:rPr>
                      <w:rFonts w:ascii="Cambria Math" w:hAnsi="Cambria Math" w:cs="Times New Roman"/>
                      <w:color w:val="000000" w:themeColor="text1"/>
                    </w:rPr>
                  </m:ctrlPr>
                </m:dPr>
                <m:e>
                  <m:r>
                    <w:rPr>
                      <w:rFonts w:ascii="Cambria Math" w:hAnsi="Cambria Math" w:cs="Times New Roman"/>
                      <w:color w:val="000000" w:themeColor="text1"/>
                    </w:rPr>
                    <m:t>s</m:t>
                  </m:r>
                </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e>
              </m:d>
            </m:den>
          </m:f>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552DEE27" w14:textId="77777777" w:rsidR="001F255F" w:rsidRPr="00CA61FE" w:rsidRDefault="001F255F" w:rsidP="001F255F">
      <w:pPr>
        <w:pStyle w:val="NormalWeb"/>
        <w:rPr>
          <w:color w:val="000000" w:themeColor="text1"/>
        </w:rPr>
      </w:pPr>
      <w:r>
        <w:rPr>
          <w:color w:val="000000" w:themeColor="text1"/>
        </w:rPr>
        <w:t>using the Gaussian spatial kernel</w:t>
      </w:r>
    </w:p>
    <w:p w14:paraId="5E161EA4" w14:textId="77777777" w:rsidR="001F255F" w:rsidRPr="00CA61FE" w:rsidRDefault="00000000" w:rsidP="001F255F">
      <w:pPr>
        <w:rPr>
          <w:rFonts w:ascii="Times New Roman" w:hAnsi="Times New Roman" w:cs="Times New Roman"/>
          <w:color w:val="000000" w:themeColor="text1"/>
        </w:rPr>
      </w:pPr>
      <m:oMathPara>
        <m:oMath>
          <m:sSub>
            <m:sSubPr>
              <m:ctrlPr>
                <w:rPr>
                  <w:rFonts w:ascii="Cambria Math" w:hAnsi="Cambria Math" w:cs="Times New Roman"/>
                  <w:color w:val="000000" w:themeColor="text1"/>
                </w:rPr>
              </m:ctrlPr>
            </m:sSubPr>
            <m:e>
              <m:r>
                <w:rPr>
                  <w:rFonts w:ascii="Cambria Math" w:hAnsi="Cambria Math" w:cs="Times New Roman"/>
                  <w:color w:val="000000" w:themeColor="text1"/>
                </w:rPr>
                <m:t>K</m:t>
              </m:r>
            </m:e>
            <m:sub>
              <m:r>
                <w:rPr>
                  <w:rFonts w:ascii="Cambria Math" w:hAnsi="Cambria Math" w:cs="Times New Roman"/>
                  <w:color w:val="000000" w:themeColor="text1"/>
                </w:rPr>
                <m:t>h</m:t>
              </m:r>
            </m:sub>
          </m:sSub>
          <m:d>
            <m:dPr>
              <m:sepChr m:val=","/>
              <m:ctrlPr>
                <w:rPr>
                  <w:rFonts w:ascii="Cambria Math" w:hAnsi="Cambria Math" w:cs="Times New Roman"/>
                  <w:color w:val="000000" w:themeColor="text1"/>
                </w:rPr>
              </m:ctrlPr>
            </m:dPr>
            <m:e>
              <m:r>
                <w:rPr>
                  <w:rFonts w:ascii="Cambria Math" w:hAnsi="Cambria Math" w:cs="Times New Roman"/>
                  <w:color w:val="000000" w:themeColor="text1"/>
                </w:rPr>
                <m:t>s</m:t>
              </m:r>
            </m:e>
            <m:e>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e>
          </m:d>
          <m:r>
            <w:rPr>
              <w:rFonts w:ascii="Cambria Math" w:hAnsi="Cambria Math" w:cs="Times New Roman"/>
              <w:color w:val="000000" w:themeColor="text1"/>
            </w:rPr>
            <m:t>=</m:t>
          </m:r>
          <m:func>
            <m:funcPr>
              <m:ctrlPr>
                <w:rPr>
                  <w:rFonts w:ascii="Cambria Math" w:hAnsi="Cambria Math" w:cs="Times New Roman"/>
                  <w:color w:val="000000" w:themeColor="text1"/>
                </w:rPr>
              </m:ctrlPr>
            </m:funcPr>
            <m:fName>
              <m:r>
                <m:rPr>
                  <m:sty m:val="p"/>
                </m:rPr>
                <w:rPr>
                  <w:rFonts w:ascii="Cambria Math" w:hAnsi="Cambria Math" w:cs="Times New Roman"/>
                  <w:color w:val="000000" w:themeColor="text1"/>
                </w:rPr>
                <m:t>exp</m:t>
              </m:r>
            </m:fName>
            <m:e>
              <m:d>
                <m:dPr>
                  <m:ctrlPr>
                    <w:rPr>
                      <w:rFonts w:ascii="Cambria Math" w:hAnsi="Cambria Math" w:cs="Times New Roman"/>
                      <w:color w:val="000000" w:themeColor="text1"/>
                    </w:rPr>
                  </m:ctrlPr>
                </m:dPr>
                <m:e>
                  <m:r>
                    <w:rPr>
                      <w:rFonts w:ascii="Cambria Math" w:hAnsi="Cambria Math" w:cs="Times New Roman"/>
                      <w:color w:val="000000" w:themeColor="text1"/>
                    </w:rPr>
                    <m:t>-</m:t>
                  </m:r>
                  <m:f>
                    <m:fPr>
                      <m:ctrlPr>
                        <w:rPr>
                          <w:rFonts w:ascii="Cambria Math" w:hAnsi="Cambria Math" w:cs="Times New Roman"/>
                          <w:color w:val="000000" w:themeColor="text1"/>
                        </w:rPr>
                      </m:ctrlPr>
                    </m:fPr>
                    <m:num>
                      <m:r>
                        <w:rPr>
                          <w:rFonts w:ascii="Cambria Math" w:hAnsi="Cambria Math" w:cs="Times New Roman"/>
                          <w:color w:val="000000" w:themeColor="text1"/>
                        </w:rPr>
                        <m:t>∥s-</m:t>
                      </m:r>
                      <m:sSub>
                        <m:sSubPr>
                          <m:ctrlPr>
                            <w:rPr>
                              <w:rFonts w:ascii="Cambria Math" w:hAnsi="Cambria Math" w:cs="Times New Roman"/>
                              <w:color w:val="000000" w:themeColor="text1"/>
                            </w:rPr>
                          </m:ctrlPr>
                        </m:sSubPr>
                        <m:e>
                          <m:r>
                            <w:rPr>
                              <w:rFonts w:ascii="Cambria Math" w:hAnsi="Cambria Math" w:cs="Times New Roman"/>
                              <w:color w:val="000000" w:themeColor="text1"/>
                            </w:rPr>
                            <m:t>s</m:t>
                          </m:r>
                        </m:e>
                        <m:sub>
                          <m:r>
                            <w:rPr>
                              <w:rFonts w:ascii="Cambria Math" w:hAnsi="Cambria Math" w:cs="Times New Roman"/>
                              <w:color w:val="000000" w:themeColor="text1"/>
                            </w:rPr>
                            <m:t>j</m:t>
                          </m:r>
                        </m:sub>
                      </m:sSub>
                      <m:sSup>
                        <m:sSupPr>
                          <m:ctrlPr>
                            <w:rPr>
                              <w:rFonts w:ascii="Cambria Math" w:hAnsi="Cambria Math" w:cs="Times New Roman"/>
                              <w:color w:val="000000" w:themeColor="text1"/>
                            </w:rPr>
                          </m:ctrlPr>
                        </m:sSupPr>
                        <m:e>
                          <m:r>
                            <w:rPr>
                              <w:rFonts w:ascii="Cambria Math" w:hAnsi="Cambria Math" w:cs="Times New Roman"/>
                              <w:color w:val="000000" w:themeColor="text1"/>
                            </w:rPr>
                            <m:t>∥</m:t>
                          </m:r>
                        </m:e>
                        <m:sup>
                          <m:r>
                            <w:rPr>
                              <w:rFonts w:ascii="Cambria Math" w:hAnsi="Cambria Math" w:cs="Times New Roman"/>
                              <w:color w:val="000000" w:themeColor="text1"/>
                            </w:rPr>
                            <m:t>2</m:t>
                          </m:r>
                        </m:sup>
                      </m:sSup>
                    </m:num>
                    <m:den>
                      <m:r>
                        <w:rPr>
                          <w:rFonts w:ascii="Cambria Math" w:hAnsi="Cambria Math" w:cs="Times New Roman"/>
                          <w:color w:val="000000" w:themeColor="text1"/>
                        </w:rPr>
                        <m:t>2</m:t>
                      </m:r>
                      <m:sSup>
                        <m:sSupPr>
                          <m:ctrlPr>
                            <w:rPr>
                              <w:rFonts w:ascii="Cambria Math" w:hAnsi="Cambria Math" w:cs="Times New Roman"/>
                              <w:color w:val="000000" w:themeColor="text1"/>
                            </w:rPr>
                          </m:ctrlPr>
                        </m:sSupPr>
                        <m:e>
                          <m:r>
                            <w:rPr>
                              <w:rFonts w:ascii="Cambria Math" w:hAnsi="Cambria Math" w:cs="Times New Roman"/>
                              <w:color w:val="000000" w:themeColor="text1"/>
                            </w:rPr>
                            <m:t>h</m:t>
                          </m:r>
                        </m:e>
                        <m:sup>
                          <m:r>
                            <w:rPr>
                              <w:rFonts w:ascii="Cambria Math" w:hAnsi="Cambria Math" w:cs="Times New Roman"/>
                              <w:color w:val="000000" w:themeColor="text1"/>
                            </w:rPr>
                            <m:t>2</m:t>
                          </m:r>
                        </m:sup>
                      </m:sSup>
                    </m:den>
                  </m:f>
                </m:e>
              </m:d>
            </m:e>
          </m:func>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11A25691" w14:textId="77777777" w:rsidR="001F255F" w:rsidRPr="00CA61FE" w:rsidRDefault="001F255F" w:rsidP="001F255F">
      <w:pPr>
        <w:pStyle w:val="NormalWeb"/>
        <w:rPr>
          <w:color w:val="000000" w:themeColor="text1"/>
        </w:rPr>
      </w:pPr>
      <w:r>
        <w:rPr>
          <w:color w:val="000000" w:themeColor="text1"/>
        </w:rPr>
        <w:t xml:space="preserve">where </w:t>
      </w:r>
      <m:oMath>
        <m:r>
          <w:rPr>
            <w:rFonts w:ascii="Cambria Math" w:hAnsi="Cambria Math"/>
            <w:color w:val="000000" w:themeColor="text1"/>
          </w:rPr>
          <m:t xml:space="preserve">h </m:t>
        </m:r>
      </m:oMath>
      <w:r>
        <w:rPr>
          <w:color w:val="000000" w:themeColor="text1"/>
        </w:rPr>
        <w:t xml:space="preserve">is the spatial bandwidth. Smaller values of </w:t>
      </w:r>
      <m:oMath>
        <m:r>
          <w:rPr>
            <w:rFonts w:ascii="Cambria Math" w:hAnsi="Cambria Math"/>
            <w:color w:val="000000" w:themeColor="text1"/>
          </w:rPr>
          <m:t xml:space="preserve">h </m:t>
        </m:r>
      </m:oMath>
      <w:r>
        <w:rPr>
          <w:color w:val="000000" w:themeColor="text1"/>
        </w:rPr>
        <w:t xml:space="preserve">preserve local variation but may retain spot-level noise. Larger values of </w:t>
      </w:r>
      <m:oMath>
        <m:r>
          <w:rPr>
            <w:rFonts w:ascii="Cambria Math" w:hAnsi="Cambria Math"/>
            <w:color w:val="000000" w:themeColor="text1"/>
          </w:rPr>
          <m:t xml:space="preserve">h </m:t>
        </m:r>
      </m:oMath>
      <w:r>
        <w:rPr>
          <w:color w:val="000000" w:themeColor="text1"/>
        </w:rPr>
        <w:t xml:space="preserve">emphasize broader tissue-scale stress patterns at the cost of spatial resolution. The bandwidth </w:t>
      </w:r>
      <m:oMath>
        <m:r>
          <w:rPr>
            <w:rFonts w:ascii="Cambria Math" w:hAnsi="Cambria Math"/>
            <w:color w:val="000000" w:themeColor="text1"/>
          </w:rPr>
          <m:t xml:space="preserve">h </m:t>
        </m:r>
      </m:oMath>
      <w:r>
        <w:rPr>
          <w:color w:val="000000" w:themeColor="text1"/>
        </w:rPr>
        <w:t>must be reported explicitly.</w:t>
      </w:r>
    </w:p>
    <w:p w14:paraId="1BDFBC1D" w14:textId="77777777" w:rsidR="001F255F" w:rsidRPr="00CA61FE" w:rsidRDefault="001F255F" w:rsidP="001F255F">
      <w:pPr>
        <w:ind w:left="0" w:firstLine="0"/>
        <w:rPr>
          <w:rFonts w:ascii="Times New Roman" w:hAnsi="Times New Roman" w:cs="Times New Roman"/>
          <w:color w:val="000000" w:themeColor="text1"/>
        </w:rPr>
      </w:pPr>
    </w:p>
    <w:p w14:paraId="71406A4A"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lastRenderedPageBreak/>
        <w:t xml:space="preserve">Bandwidth selection for the kernel-smoothed TCSI field. </w:t>
      </w:r>
      <w:r>
        <w:rPr>
          <w:rFonts w:ascii="Times New Roman" w:hAnsi="Times New Roman" w:cs="Times New Roman"/>
          <w:color w:val="000000" w:themeColor="text1"/>
        </w:rPr>
        <w:t>The spatial bandwidth h is a tuning parameter that controls the trade-off between spatial resolution and measurement noise attenuation. Smaller values of h preserve local spatial variation and can detect fine-scale stress gradients, but retain spot-level measurement noise present in the unsmoothed field f(l). Larger values of h attenuate spot-level noise by averaging over more neighboring locations, but smooth out genuine biological boundaries and reduce the spatial resolution of stress-compartment detection. Three principled approaches to bandwidth selection are recommended. First, sensitivity analysis: compute the smoothed field and its gradient magnitude ‖</w:t>
      </w:r>
      <w:r>
        <w:rPr>
          <w:rFonts w:ascii="Cambria Math" w:hAnsi="Cambria Math" w:cs="Cambria Math"/>
          <w:color w:val="000000" w:themeColor="text1"/>
        </w:rPr>
        <w:t>∇</w:t>
      </w:r>
      <w:r>
        <w:rPr>
          <w:rFonts w:ascii="Times New Roman" w:hAnsi="Times New Roman" w:cs="Times New Roman"/>
          <w:color w:val="000000" w:themeColor="text1"/>
        </w:rPr>
        <w:t>f̃(l)‖ at a grid of h values spanning the range of nearest-neighbor spot distances to the range of expected tissue-compartment widths; report the bandwidth and document the sensitivity of the identified stress boundaries to the chosen h. Second, cross-validation: if replicate spatial transcriptomic sections or multiple tissue replicates are available, select h by leave-one-spot-out cross-validation minimizing mean squared prediction error of the smoothed field. Third, plug-in estimation: use a plug-in normal-reference bandwidth h = 1.06 σ̂_d n^{−1/5}, where σ̂_d is the estimated standard deviation of pairwise spot distances and n is the number of spatial locations; this provides a data-adaptive starting point that can be refined by sensitivity analysis. Regardless of the method used, the value of h must be reported explicitly in any analysis using the smoothed TCSI field or its gradient, as results are not comparable across analyses using different bandwidths.</w:t>
      </w:r>
    </w:p>
    <w:p w14:paraId="4F3A9D35"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 (Stress Habitat). </w:t>
      </w:r>
      <w:r>
        <w:rPr>
          <w:rFonts w:ascii="Times New Roman" w:hAnsi="Times New Roman" w:cs="Times New Roman"/>
          <w:color w:val="000000" w:themeColor="text1"/>
        </w:rPr>
        <w:t xml:space="preserve">Let f̃ : Λ → ℝ denote the kernel-smoothed spatial TCSI intensity field over the tumour spatial domain Λ </w:t>
      </w:r>
      <w:r>
        <w:rPr>
          <w:rFonts w:ascii="Cambria Math" w:hAnsi="Cambria Math" w:cs="Cambria Math"/>
          <w:color w:val="000000" w:themeColor="text1"/>
        </w:rPr>
        <w:t>⊆</w:t>
      </w:r>
      <w:r>
        <w:rPr>
          <w:rFonts w:ascii="Times New Roman" w:hAnsi="Times New Roman" w:cs="Times New Roman"/>
          <w:color w:val="000000" w:themeColor="text1"/>
        </w:rPr>
        <w:t xml:space="preserve"> ℝ³. For a threshold level c </w:t>
      </w:r>
      <w:r>
        <w:rPr>
          <w:rFonts w:ascii="Cambria Math" w:hAnsi="Cambria Math" w:cs="Cambria Math"/>
          <w:color w:val="000000" w:themeColor="text1"/>
        </w:rPr>
        <w:t>∈</w:t>
      </w:r>
      <w:r>
        <w:rPr>
          <w:rFonts w:ascii="Times New Roman" w:hAnsi="Times New Roman" w:cs="Times New Roman"/>
          <w:color w:val="000000" w:themeColor="text1"/>
        </w:rPr>
        <w:t xml:space="preserve"> ℝ, define the superlevel set S(c) = {l </w:t>
      </w:r>
      <w:r>
        <w:rPr>
          <w:rFonts w:ascii="Cambria Math" w:hAnsi="Cambria Math" w:cs="Cambria Math"/>
          <w:color w:val="000000" w:themeColor="text1"/>
        </w:rPr>
        <w:t>∈</w:t>
      </w:r>
      <w:r>
        <w:rPr>
          <w:rFonts w:ascii="Times New Roman" w:hAnsi="Times New Roman" w:cs="Times New Roman"/>
          <w:color w:val="000000" w:themeColor="text1"/>
        </w:rPr>
        <w:t xml:space="preserve"> Λ : f̃(l) ≥ c}. A stress habitat H(c) is a connected component of S(c). The habitat partition of Λ at level c is the collection {H₁(c), H₂(c), …, Hₖ(c)} of all connected components of S(c). As c decreases from sup f̃ to inf f̃, components merge according to the persistence structure of f̃ as characterised by the Morse filtration of Section 5.2.</w:t>
      </w:r>
    </w:p>
    <w:p w14:paraId="16ADCB8E"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t xml:space="preserve"> (Spatial Stress Stratification). </w:t>
      </w:r>
      <w:r>
        <w:rPr>
          <w:rFonts w:ascii="Times New Roman" w:hAnsi="Times New Roman" w:cs="Times New Roman"/>
          <w:color w:val="000000" w:themeColor="text1"/>
        </w:rPr>
        <w:t>The superlevel-set habitat partition of the spatial TCSI field provides a coordinate-free spatial stratification of the tumour microenvironment grounded in biological stress intensity rather than anatomical boundaries. In the GBM demonstration case, theoretical expectations derived from the TCSI pathway structure predict that habitats near the global maximum of f̃ correspond to regions of maximal multi-pathway stress (consistent with histopathologically identified necrotic core and actively vascularised rim), while intermediate and low-gradient habitats correspond to progressively lower coordinated stress (consistent with peritumoral and infiltrative zones). This stratification prediction is a falsifiable theoretical consequence of the habitat definition and the pathway decomposition; confirmatory spatial imaging studies are deferred to subsequent work in this series.</w:t>
      </w:r>
    </w:p>
    <w:p w14:paraId="2466BD23" w14:textId="77777777" w:rsidR="001F255F" w:rsidRPr="00CA61FE" w:rsidRDefault="001F255F" w:rsidP="00965C91">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Definition 5.3. Stress-boundary gradient</w:t>
      </w:r>
    </w:p>
    <w:p w14:paraId="1472A42F" w14:textId="77777777" w:rsidR="001F255F" w:rsidRPr="00CA61FE" w:rsidRDefault="001F255F" w:rsidP="001F255F">
      <w:pPr>
        <w:pStyle w:val="NormalWeb"/>
        <w:rPr>
          <w:color w:val="000000" w:themeColor="text1"/>
        </w:rPr>
      </w:pPr>
      <w:r>
        <w:rPr>
          <w:color w:val="000000" w:themeColor="text1"/>
        </w:rPr>
        <w:t>Define the spatial gradient of the smoothed field as</w:t>
      </w:r>
    </w:p>
    <w:p w14:paraId="0D1168F5" w14:textId="77777777" w:rsidR="001F255F" w:rsidRPr="00CA61FE" w:rsidRDefault="001F255F" w:rsidP="001F255F">
      <w:pPr>
        <w:rPr>
          <w:rFonts w:ascii="Times New Roman" w:hAnsi="Times New Roman" w:cs="Times New Roman"/>
          <w:color w:val="000000" w:themeColor="text1"/>
        </w:rPr>
      </w:pPr>
      <m:oMathPara>
        <m:oMath>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h</m:t>
              </m:r>
            </m:sub>
          </m:sSub>
          <m:d>
            <m:dPr>
              <m:ctrlPr>
                <w:rPr>
                  <w:rFonts w:ascii="Cambria Math" w:hAnsi="Cambria Math" w:cs="Times New Roman"/>
                  <w:color w:val="000000" w:themeColor="text1"/>
                </w:rPr>
              </m:ctrlPr>
            </m:dPr>
            <m:e>
              <m:r>
                <w:rPr>
                  <w:rFonts w:ascii="Cambria Math" w:hAnsi="Cambria Math" w:cs="Times New Roman"/>
                  <w:color w:val="000000" w:themeColor="text1"/>
                </w:rPr>
                <m:t>s</m:t>
              </m:r>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6FF43639" w14:textId="77777777" w:rsidR="001F255F" w:rsidRPr="00CA61FE" w:rsidRDefault="001F255F" w:rsidP="001F255F">
      <w:pPr>
        <w:pStyle w:val="NormalWeb"/>
        <w:rPr>
          <w:color w:val="000000" w:themeColor="text1"/>
        </w:rPr>
      </w:pPr>
      <w:r>
        <w:rPr>
          <w:color w:val="000000" w:themeColor="text1"/>
        </w:rPr>
        <w:lastRenderedPageBreak/>
        <w:t>The corresponding stress-boundary magnitude is</w:t>
      </w:r>
    </w:p>
    <w:p w14:paraId="06D123E5" w14:textId="77777777" w:rsidR="001F255F" w:rsidRPr="00CA61FE" w:rsidRDefault="00000000" w:rsidP="001F255F">
      <w:pPr>
        <w:rPr>
          <w:rFonts w:ascii="Times New Roman" w:hAnsi="Times New Roman" w:cs="Times New Roman"/>
          <w:color w:val="000000" w:themeColor="text1"/>
        </w:rPr>
      </w:pPr>
      <m:oMathPara>
        <m:oMath>
          <m:d>
            <m:dPr>
              <m:begChr m:val="∥"/>
              <m:endChr m:val="∥"/>
              <m:ctrlPr>
                <w:rPr>
                  <w:rFonts w:ascii="Cambria Math" w:hAnsi="Cambria Math" w:cs="Times New Roman"/>
                  <w:color w:val="000000" w:themeColor="text1"/>
                </w:rPr>
              </m:ctrlPr>
            </m:dPr>
            <m:e>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m:rPr>
                      <m:sty m:val="p"/>
                    </m:rPr>
                    <w:rPr>
                      <w:rFonts w:ascii="Cambria Math" w:hAnsi="Cambria Math" w:cs="Times New Roman"/>
                      <w:color w:val="000000" w:themeColor="text1"/>
                    </w:rPr>
                    <m:t>TCSI</m:t>
                  </m:r>
                </m:e>
                <m:sub>
                  <m:r>
                    <w:rPr>
                      <w:rFonts w:ascii="Cambria Math" w:hAnsi="Cambria Math" w:cs="Times New Roman"/>
                      <w:color w:val="000000" w:themeColor="text1"/>
                    </w:rPr>
                    <m:t>h</m:t>
                  </m:r>
                </m:sub>
              </m:sSub>
              <m:d>
                <m:dPr>
                  <m:ctrlPr>
                    <w:rPr>
                      <w:rFonts w:ascii="Cambria Math" w:hAnsi="Cambria Math" w:cs="Times New Roman"/>
                      <w:color w:val="000000" w:themeColor="text1"/>
                    </w:rPr>
                  </m:ctrlPr>
                </m:dPr>
                <m:e>
                  <m:r>
                    <w:rPr>
                      <w:rFonts w:ascii="Cambria Math" w:hAnsi="Cambria Math" w:cs="Times New Roman"/>
                      <w:color w:val="000000" w:themeColor="text1"/>
                    </w:rPr>
                    <m:t>s</m:t>
                  </m:r>
                </m:e>
              </m:d>
            </m:e>
          </m:d>
          <m:r>
            <w:rPr>
              <w:rFonts w:ascii="Cambria Math" w:hAnsi="Cambria Math" w:cs="Times New Roman"/>
              <w:color w:val="000000" w:themeColor="text1"/>
            </w:rPr>
            <m:t>.</m:t>
          </m:r>
          <m:r>
            <m:rPr>
              <m:sty m:val="p"/>
            </m:rPr>
            <w:rPr>
              <w:rFonts w:ascii="Cambria Math" w:hAnsi="Cambria Math" w:cs="Times New Roman"/>
              <w:color w:val="000000" w:themeColor="text1"/>
            </w:rPr>
            <w:br/>
          </m:r>
        </m:oMath>
      </m:oMathPara>
    </w:p>
    <w:p w14:paraId="205AACFC" w14:textId="77777777" w:rsidR="001F255F" w:rsidRPr="00CA61FE" w:rsidRDefault="001F255F" w:rsidP="001F255F">
      <w:pPr>
        <w:pStyle w:val="NormalWeb"/>
        <w:rPr>
          <w:color w:val="000000" w:themeColor="text1"/>
        </w:rPr>
      </w:pPr>
      <w:r>
        <w:rPr>
          <w:color w:val="000000" w:themeColor="text1"/>
        </w:rPr>
        <w:t xml:space="preserve">Large values of </w:t>
      </w:r>
      <m:oMath>
        <m:d>
          <m:dPr>
            <m:begChr m:val="∥"/>
            <m:endChr m:val="∥"/>
            <m:ctrlPr>
              <w:rPr>
                <w:rFonts w:ascii="Cambria Math" w:hAnsi="Cambria Math"/>
                <w:color w:val="000000" w:themeColor="text1"/>
              </w:rPr>
            </m:ctrlPr>
          </m:dPr>
          <m:e>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TCSI</m:t>
                </m:r>
              </m:e>
              <m:sub>
                <m:r>
                  <w:rPr>
                    <w:rFonts w:ascii="Cambria Math" w:hAnsi="Cambria Math"/>
                    <w:color w:val="000000" w:themeColor="text1"/>
                  </w:rPr>
                  <m:t>h</m:t>
                </m:r>
              </m:sub>
            </m:sSub>
            <m:d>
              <m:dPr>
                <m:ctrlPr>
                  <w:rPr>
                    <w:rFonts w:ascii="Cambria Math" w:hAnsi="Cambria Math"/>
                    <w:color w:val="000000" w:themeColor="text1"/>
                  </w:rPr>
                </m:ctrlPr>
              </m:dPr>
              <m:e>
                <m:r>
                  <w:rPr>
                    <w:rFonts w:ascii="Cambria Math" w:hAnsi="Cambria Math"/>
                    <w:color w:val="000000" w:themeColor="text1"/>
                  </w:rPr>
                  <m:t>s</m:t>
                </m:r>
              </m:e>
            </m:d>
          </m:e>
        </m:d>
      </m:oMath>
      <w:r>
        <w:rPr>
          <w:color w:val="000000" w:themeColor="text1"/>
        </w:rPr>
        <w:t>identify locations where the molecular stress coordinate changes rapidly across tissue space. These regions may correspond to biological transition zones, such as tumor–stroma interfaces, hypoxic boundaries, treatment-response gradients, or invasive margins.</w:t>
      </w:r>
    </w:p>
    <w:p w14:paraId="274B1291" w14:textId="7D7E2CD0" w:rsidR="001F255F" w:rsidRPr="00016E56" w:rsidRDefault="00AA41D5" w:rsidP="00016E56">
      <w:pPr>
        <w:pStyle w:val="NormalWeb"/>
        <w:rPr>
          <w:color w:val="000000"/>
        </w:rPr>
      </w:pPr>
      <w:r>
        <w:rPr>
          <w:color w:val="000000"/>
        </w:rPr>
        <w:t xml:space="preserve">The smoothed spatial stress field </w:t>
      </w:r>
      <m:oMath>
        <m:acc>
          <m:accPr>
            <m:chr m:val="̃"/>
            <m:ctrlPr>
              <w:rPr>
                <w:rFonts w:ascii="Cambria Math" w:hAnsi="Cambria Math"/>
              </w:rPr>
            </m:ctrlPr>
          </m:accPr>
          <m:e>
            <m:r>
              <w:rPr>
                <w:rFonts w:ascii="Cambria Math" w:hAnsi="Cambria Math"/>
              </w:rPr>
              <m:t>f</m:t>
            </m:r>
          </m:e>
        </m:acc>
        <m:r>
          <w:rPr>
            <w:rFonts w:ascii="Cambria Math" w:hAnsi="Cambria Math"/>
          </w:rPr>
          <m:t>:</m:t>
        </m:r>
        <m:r>
          <m:rPr>
            <m:sty m:val="p"/>
          </m:rPr>
          <w:rPr>
            <w:rFonts w:ascii="Cambria Math" w:hAnsi="Cambria Math"/>
          </w:rPr>
          <m:t>Λ</m:t>
        </m:r>
        <m:r>
          <m:rPr>
            <m:scr m:val="double-struck"/>
          </m:rPr>
          <w:rPr>
            <w:rFonts w:ascii="Cambria Math" w:hAnsi="Cambria Math"/>
          </w:rPr>
          <m:t>→R</m:t>
        </m:r>
      </m:oMath>
      <w:r>
        <w:rPr>
          <w:color w:val="000000"/>
        </w:rPr>
        <w:t xml:space="preserve">admits a Morse-theoretic interpretation that links the geometry of the stress landscape to the topology of stress compartments. A point </w:t>
      </w:r>
      <m:oMath>
        <m:sSup>
          <m:sSupPr>
            <m:ctrlPr>
              <w:rPr>
                <w:rFonts w:ascii="Cambria Math" w:hAnsi="Cambria Math"/>
              </w:rPr>
            </m:ctrlPr>
          </m:sSupPr>
          <m:e>
            <m:r>
              <w:rPr>
                <w:rFonts w:ascii="Cambria Math" w:hAnsi="Cambria Math"/>
              </w:rPr>
              <m:t>l</m:t>
            </m:r>
          </m:e>
          <m:sup>
            <m:r>
              <w:rPr>
                <w:rFonts w:ascii="Cambria Math" w:hAnsi="Cambria Math"/>
              </w:rPr>
              <m:t>*</m:t>
            </m:r>
          </m:sup>
        </m:sSup>
        <m:r>
          <w:rPr>
            <w:rFonts w:ascii="Cambria Math" w:hAnsi="Cambria Math"/>
          </w:rPr>
          <m:t>∈</m:t>
        </m:r>
        <m:r>
          <m:rPr>
            <m:sty m:val="p"/>
          </m:rPr>
          <w:rPr>
            <w:rFonts w:ascii="Cambria Math" w:hAnsi="Cambria Math"/>
          </w:rPr>
          <m:t>Λ</m:t>
        </m:r>
      </m:oMath>
      <w:r>
        <w:rPr>
          <w:color w:val="000000"/>
        </w:rPr>
        <w:t xml:space="preserve">is a critical point of </w:t>
      </w:r>
      <m:oMath>
        <m:acc>
          <m:accPr>
            <m:chr m:val="̃"/>
            <m:ctrlPr>
              <w:rPr>
                <w:rFonts w:ascii="Cambria Math" w:hAnsi="Cambria Math"/>
              </w:rPr>
            </m:ctrlPr>
          </m:accPr>
          <m:e>
            <m:r>
              <w:rPr>
                <w:rFonts w:ascii="Cambria Math" w:hAnsi="Cambria Math"/>
              </w:rPr>
              <m:t>f</m:t>
            </m:r>
          </m:e>
        </m:acc>
      </m:oMath>
      <w:r>
        <w:rPr>
          <w:color w:val="000000"/>
        </w:rPr>
        <w:t xml:space="preserve">when </w:t>
      </w:r>
      <m:oMath>
        <m:r>
          <m:rPr>
            <m:sty m:val="p"/>
          </m:rPr>
          <w:rPr>
            <w:rFonts w:ascii="Cambria Math" w:hAnsi="Cambria Math"/>
          </w:rPr>
          <m:t>∇</m:t>
        </m:r>
        <m:acc>
          <m:accPr>
            <m:chr m:val="̃"/>
            <m:ctrlPr>
              <w:rPr>
                <w:rFonts w:ascii="Cambria Math" w:hAnsi="Cambria Math"/>
              </w:rPr>
            </m:ctrlPr>
          </m:accPr>
          <m:e>
            <m:r>
              <w:rPr>
                <w:rFonts w:ascii="Cambria Math" w:hAnsi="Cambria Math"/>
              </w:rPr>
              <m:t>f</m:t>
            </m:r>
          </m:e>
        </m:acc>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=0</m:t>
        </m:r>
      </m:oMath>
      <w:r>
        <w:rPr>
          <w:color w:val="000000"/>
        </w:rPr>
        <w:t xml:space="preserve">, and, under the Morse condition </w:t>
      </w:r>
      <m:oMath>
        <m:func>
          <m:funcPr>
            <m:ctrlPr>
              <w:rPr>
                <w:rFonts w:ascii="Cambria Math" w:hAnsi="Cambria Math"/>
              </w:rPr>
            </m:ctrlPr>
          </m:funcPr>
          <m:fName>
            <m:r>
              <m:rPr>
                <m:sty m:val="p"/>
              </m:rPr>
              <w:rPr>
                <w:rFonts w:ascii="Cambria Math" w:hAnsi="Cambria Math"/>
              </w:rPr>
              <m:t>det</m:t>
            </m:r>
          </m:fName>
          <m:e>
            <m:sSub>
              <m:sSubPr>
                <m:ctrlPr>
                  <w:rPr>
                    <w:rFonts w:ascii="Cambria Math" w:hAnsi="Cambria Math"/>
                  </w:rPr>
                </m:ctrlPr>
              </m:sSubPr>
              <m:e>
                <m:r>
                  <w:rPr>
                    <w:rFonts w:ascii="Cambria Math" w:hAnsi="Cambria Math"/>
                  </w:rPr>
                  <m:t>H</m:t>
                </m:r>
              </m:e>
              <m:sub>
                <m:acc>
                  <m:accPr>
                    <m:chr m:val="̃"/>
                    <m:ctrlPr>
                      <w:rPr>
                        <w:rFonts w:ascii="Cambria Math" w:hAnsi="Cambria Math"/>
                      </w:rPr>
                    </m:ctrlPr>
                  </m:accPr>
                  <m:e>
                    <m:r>
                      <w:rPr>
                        <w:rFonts w:ascii="Cambria Math" w:hAnsi="Cambria Math"/>
                      </w:rPr>
                      <m:t>f</m:t>
                    </m:r>
                  </m:e>
                </m:acc>
              </m:sub>
            </m:sSub>
          </m:e>
        </m:func>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≠0</m:t>
        </m:r>
      </m:oMath>
      <w:r>
        <w:rPr>
          <w:color w:val="000000"/>
        </w:rPr>
        <w:t xml:space="preserve">, it can be classified by the Hessian </w:t>
      </w:r>
      <m:oMath>
        <m:sSub>
          <m:sSubPr>
            <m:ctrlPr>
              <w:rPr>
                <w:rFonts w:ascii="Cambria Math" w:hAnsi="Cambria Math"/>
              </w:rPr>
            </m:ctrlPr>
          </m:sSubPr>
          <m:e>
            <m:r>
              <w:rPr>
                <w:rFonts w:ascii="Cambria Math" w:hAnsi="Cambria Math"/>
              </w:rPr>
              <m:t>H</m:t>
            </m:r>
          </m:e>
          <m:sub>
            <m:acc>
              <m:accPr>
                <m:chr m:val="̃"/>
                <m:ctrlPr>
                  <w:rPr>
                    <w:rFonts w:ascii="Cambria Math" w:hAnsi="Cambria Math"/>
                  </w:rPr>
                </m:ctrlPr>
              </m:accPr>
              <m:e>
                <m:r>
                  <w:rPr>
                    <w:rFonts w:ascii="Cambria Math" w:hAnsi="Cambria Math"/>
                  </w:rPr>
                  <m:t>f</m:t>
                </m:r>
              </m:e>
            </m:acc>
          </m:sub>
        </m:sSub>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oMath>
      <w:r>
        <w:rPr>
          <w:color w:val="000000"/>
        </w:rPr>
        <w:t xml:space="preserve">: positive definite Hessian corresponds to a local minimum or stress trough, negative definite Hessian corresponds to a local maximum or stress peak, and indefinite Hessian corresponds to a saddle point or stress transition zone. For a threshold </w:t>
      </w:r>
      <m:oMath>
        <m:r>
          <w:rPr>
            <w:rFonts w:ascii="Cambria Math" w:hAnsi="Cambria Math"/>
          </w:rPr>
          <m:t>c</m:t>
        </m:r>
        <m:r>
          <m:rPr>
            <m:scr m:val="double-struck"/>
          </m:rPr>
          <w:rPr>
            <w:rFonts w:ascii="Cambria Math" w:hAnsi="Cambria Math"/>
          </w:rPr>
          <m:t>∈R</m:t>
        </m:r>
      </m:oMath>
      <w:r>
        <w:rPr>
          <w:color w:val="000000"/>
        </w:rPr>
        <w:t xml:space="preserve">, the sublevel set </w:t>
      </w:r>
      <m:oMath>
        <m:sSub>
          <m:sSubPr>
            <m:ctrlPr>
              <w:rPr>
                <w:rFonts w:ascii="Cambria Math" w:hAnsi="Cambria Math"/>
              </w:rPr>
            </m:ctrlPr>
          </m:sSubPr>
          <m:e>
            <m:r>
              <m:rPr>
                <m:sty m:val="p"/>
              </m:rPr>
              <w:rPr>
                <w:rFonts w:ascii="Cambria Math" w:hAnsi="Cambria Math"/>
              </w:rPr>
              <m:t>Λ</m:t>
            </m:r>
          </m:e>
          <m:sub>
            <m:r>
              <w:rPr>
                <w:rFonts w:ascii="Cambria Math" w:hAnsi="Cambria Math"/>
              </w:rPr>
              <m:t>c</m:t>
            </m:r>
          </m:sub>
        </m:sSub>
        <m:r>
          <w:rPr>
            <w:rFonts w:ascii="Cambria Math" w:hAnsi="Cambria Math"/>
          </w:rPr>
          <m:t>=</m:t>
        </m:r>
        <m:d>
          <m:dPr>
            <m:begChr m:val="{"/>
            <m:endChr m:val="}"/>
            <m:ctrlPr>
              <w:rPr>
                <w:rFonts w:ascii="Cambria Math" w:hAnsi="Cambria Math"/>
              </w:rPr>
            </m:ctrlPr>
          </m:dPr>
          <m:e>
            <m:r>
              <w:rPr>
                <w:rFonts w:ascii="Cambria Math" w:hAnsi="Cambria Math"/>
              </w:rPr>
              <m:t>l∈</m:t>
            </m:r>
            <m:r>
              <m:rPr>
                <m:sty m:val="p"/>
              </m:rPr>
              <w:rPr>
                <w:rFonts w:ascii="Cambria Math" w:hAnsi="Cambria Math"/>
              </w:rPr>
              <m:t>Λ</m:t>
            </m:r>
            <m:r>
              <w:rPr>
                <w:rFonts w:ascii="Cambria Math" w:hAnsi="Cambria Math"/>
              </w:rPr>
              <m:t>:</m:t>
            </m:r>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l</m:t>
                </m:r>
              </m:e>
            </m:d>
            <m:r>
              <w:rPr>
                <w:rFonts w:ascii="Cambria Math" w:hAnsi="Cambria Math"/>
              </w:rPr>
              <m:t>≤c</m:t>
            </m:r>
          </m:e>
        </m:d>
      </m:oMath>
      <w:r>
        <w:rPr>
          <w:color w:val="000000"/>
        </w:rPr>
        <w:t xml:space="preserve">changes topology only when </w:t>
      </w:r>
      <m:oMath>
        <m:r>
          <w:rPr>
            <w:rFonts w:ascii="Cambria Math" w:hAnsi="Cambria Math"/>
          </w:rPr>
          <m:t>c</m:t>
        </m:r>
      </m:oMath>
      <w:r>
        <w:rPr>
          <w:color w:val="000000"/>
        </w:rPr>
        <w:t xml:space="preserve">crosses a critical value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acc>
          <m:accPr>
            <m:chr m:val="̃"/>
            <m:ctrlPr>
              <w:rPr>
                <w:rFonts w:ascii="Cambria Math" w:hAnsi="Cambria Math"/>
              </w:rPr>
            </m:ctrlPr>
          </m:accPr>
          <m:e>
            <m:r>
              <w:rPr>
                <w:rFonts w:ascii="Cambria Math" w:hAnsi="Cambria Math"/>
              </w:rPr>
              <m:t>f</m:t>
            </m:r>
          </m:e>
        </m:acc>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oMath>
      <w:r>
        <w:rPr>
          <w:color w:val="000000"/>
        </w:rPr>
        <w:t xml:space="preserve">. As </w:t>
      </w:r>
      <m:oMath>
        <m:r>
          <w:rPr>
            <w:rFonts w:ascii="Cambria Math" w:hAnsi="Cambria Math"/>
          </w:rPr>
          <m:t>c</m:t>
        </m:r>
      </m:oMath>
      <w:r>
        <w:rPr>
          <w:color w:val="000000"/>
        </w:rPr>
        <w:t xml:space="preserve">increases, local minima give rise to new connected low-stress components, saddle points merge components or generate loops corresponding to compartmentalized stress boundaries, and local maxima fill remaining loops as high-stress peaks are incorporated. Biologically, stress troughs may represent low-burden or immune-competent regions, saddle points may represent tumor–stroma interfaces, invasion fronts, hypoxic boundaries, or treatment-response gradients, and stress peaks may represent hypoxic cores, necrotic centers, or regions of maximal angiogenic pressure. This framework supports the use of </w:t>
      </w:r>
      <m:oMath>
        <m:r>
          <w:rPr>
            <w:rFonts w:ascii="Cambria Math" w:hAnsi="Cambria Math"/>
          </w:rPr>
          <m:t>∥</m:t>
        </m:r>
        <m:r>
          <m:rPr>
            <m:sty m:val="p"/>
          </m:rPr>
          <w:rPr>
            <w:rFonts w:ascii="Cambria Math" w:hAnsi="Cambria Math"/>
          </w:rPr>
          <m:t>∇</m:t>
        </m:r>
        <m:acc>
          <m:accPr>
            <m:chr m:val="̃"/>
            <m:ctrlPr>
              <w:rPr>
                <w:rFonts w:ascii="Cambria Math" w:hAnsi="Cambria Math"/>
              </w:rPr>
            </m:ctrlPr>
          </m:accPr>
          <m:e>
            <m:r>
              <w:rPr>
                <w:rFonts w:ascii="Cambria Math" w:hAnsi="Cambria Math"/>
              </w:rPr>
              <m:t>f</m:t>
            </m:r>
          </m:e>
        </m:acc>
        <m:d>
          <m:dPr>
            <m:ctrlPr>
              <w:rPr>
                <w:rFonts w:ascii="Cambria Math" w:hAnsi="Cambria Math"/>
              </w:rPr>
            </m:ctrlPr>
          </m:dPr>
          <m:e>
            <m:r>
              <w:rPr>
                <w:rFonts w:ascii="Cambria Math" w:hAnsi="Cambria Math"/>
              </w:rPr>
              <m:t>l</m:t>
            </m:r>
          </m:e>
        </m:d>
        <m:r>
          <w:rPr>
            <w:rFonts w:ascii="Cambria Math" w:hAnsi="Cambria Math"/>
          </w:rPr>
          <m:t>∥</m:t>
        </m:r>
      </m:oMath>
      <w:r>
        <w:rPr>
          <w:color w:val="000000"/>
        </w:rPr>
        <w:t xml:space="preserve">as a detector of steep stress transitions, while recognizing that Morse critical points themselves satisfy </w:t>
      </w:r>
      <m:oMath>
        <m:r>
          <m:rPr>
            <m:sty m:val="p"/>
          </m:rPr>
          <w:rPr>
            <w:rFonts w:ascii="Cambria Math" w:hAnsi="Cambria Math"/>
          </w:rPr>
          <m:t>∇</m:t>
        </m:r>
        <m:acc>
          <m:accPr>
            <m:chr m:val="̃"/>
            <m:ctrlPr>
              <w:rPr>
                <w:rFonts w:ascii="Cambria Math" w:hAnsi="Cambria Math"/>
              </w:rPr>
            </m:ctrlPr>
          </m:accPr>
          <m:e>
            <m:r>
              <w:rPr>
                <w:rFonts w:ascii="Cambria Math" w:hAnsi="Cambria Math"/>
              </w:rPr>
              <m:t>f</m:t>
            </m:r>
          </m:e>
        </m:acc>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=0</m:t>
        </m:r>
      </m:oMath>
      <w:r>
        <w:rPr>
          <w:color w:val="000000"/>
        </w:rPr>
        <w:t xml:space="preserve">; therefore, elevated gradient magnitude should be interpreted as identifying spatial transition zones surrounding or connecting stress compartments, rather than the saddle points themselves. In finite spatial transcriptomic data, </w:t>
      </w:r>
      <m:oMath>
        <m:acc>
          <m:accPr>
            <m:chr m:val="̃"/>
            <m:ctrlPr>
              <w:rPr>
                <w:rFonts w:ascii="Cambria Math" w:hAnsi="Cambria Math"/>
              </w:rPr>
            </m:ctrlPr>
          </m:accPr>
          <m:e>
            <m:r>
              <w:rPr>
                <w:rFonts w:ascii="Cambria Math" w:hAnsi="Cambria Math"/>
              </w:rPr>
              <m:t xml:space="preserve">f </m:t>
            </m:r>
          </m:e>
        </m:acc>
      </m:oMath>
      <w:r>
        <w:rPr>
          <w:color w:val="000000"/>
        </w:rPr>
        <w:t xml:space="preserve">is estimated on a discrete spatial grid and Morse-theoretic structure is studied through a smoothed continuous interpolant. The persistence of each topological feature, defined as the range of threshold values over which the feature survives, provides a robustness measure against noise, discretization, and smoothing-bandwidth choice. Small bandwidths may introduce many short-lived extrema corresponding to individual spots, whereas overly large bandwidths may erase biologically meaningful boundaries. Thus, persistent features with survival greater than a chosen threshold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rPr>
          <w:color w:val="000000"/>
        </w:rPr>
        <w:t>, and stable across a neighborhood of bandwidth values, are the most appropriate candidates for biologically interpretable stress compartments.</w:t>
      </w:r>
    </w:p>
    <w:p w14:paraId="06141634" w14:textId="77777777" w:rsidR="004631A7" w:rsidRPr="00CA61FE" w:rsidRDefault="00000000" w:rsidP="000B13CD">
      <w:pPr>
        <w:pStyle w:val="Heading2"/>
        <w:numPr>
          <w:ilvl w:val="0"/>
          <w:numId w:val="0"/>
        </w:numPr>
        <w:ind w:left="10"/>
        <w:rPr>
          <w:rFonts w:ascii="Times New Roman" w:hAnsi="Times New Roman" w:cs="Times New Roman"/>
          <w:color w:val="000000" w:themeColor="text1"/>
          <w:sz w:val="24"/>
        </w:rPr>
      </w:pPr>
      <w:r>
        <w:rPr>
          <w:rFonts w:ascii="Times New Roman" w:hAnsi="Times New Roman" w:cs="Times New Roman"/>
          <w:color w:val="000000" w:themeColor="text1"/>
          <w:sz w:val="24"/>
        </w:rPr>
        <w:t>Persistent Homology of the Stress-Coordinate Cloud</w:t>
      </w:r>
    </w:p>
    <w:p w14:paraId="4BA46DFB" w14:textId="77777777" w:rsidR="004631A7" w:rsidRPr="00CA61FE" w:rsidRDefault="00000000">
      <w:pPr>
        <w:pStyle w:val="NormalWeb"/>
        <w:rPr>
          <w:color w:val="000000" w:themeColor="text1"/>
        </w:rPr>
      </w:pPr>
      <w:r>
        <w:rPr>
          <w:color w:val="000000" w:themeColor="text1"/>
        </w:rPr>
        <w:t>Beyond the spatial domain, the composite stress coordinates of a sample cohort define a point cloud in ℝᴷ whose topology encodes global information about stress phenotype structure. Persistent homology (Edelsbrunner &amp; Harer, 2010; Zomorodian &amp; Carlsson, 2005) provides a scale-invariant tool for extracting this topological information without choosing a single resolution scale.</w:t>
      </w:r>
    </w:p>
    <w:p w14:paraId="7E1C0CA6" w14:textId="77777777" w:rsidR="004631A7" w:rsidRPr="00CA61FE" w:rsidRDefault="00000000">
      <w:pPr>
        <w:pStyle w:val="NormalWeb"/>
        <w:rPr>
          <w:color w:val="000000" w:themeColor="text1"/>
        </w:rPr>
      </w:pPr>
      <w:r>
        <w:rPr>
          <w:b/>
          <w:bCs/>
          <w:color w:val="000000" w:themeColor="text1"/>
        </w:rPr>
        <w:lastRenderedPageBreak/>
        <w:t>Definition 5.5 (Vietoris-Rips filtration).</w:t>
      </w:r>
      <w:r>
        <w:rPr>
          <w:color w:val="000000" w:themeColor="text1"/>
        </w:rPr>
        <w:t xml:space="preserve"> Let {z₁, …, zₙ} </w:t>
      </w:r>
      <w:r>
        <w:rPr>
          <w:rFonts w:ascii="Cambria Math" w:hAnsi="Cambria Math" w:cs="Cambria Math"/>
          <w:color w:val="000000" w:themeColor="text1"/>
        </w:rPr>
        <w:t>⊂</w:t>
      </w:r>
      <w:r>
        <w:rPr>
          <w:color w:val="000000" w:themeColor="text1"/>
        </w:rPr>
        <w:t xml:space="preserve"> ℝᴷ denote the composite stress coordinates of n samples. For a scale parameter ε ≥ 0, the </w:t>
      </w:r>
      <w:r w:rsidRPr="009B01EF">
        <w:rPr>
          <w:color w:val="000000" w:themeColor="text1"/>
        </w:rPr>
        <w:t>Vietoris-Rips complex</w:t>
      </w:r>
      <w:r>
        <w:rPr>
          <w:color w:val="000000" w:themeColor="text1"/>
        </w:rPr>
        <w:t xml:space="preserve"> VR(ε) is the abstract simplicial complex with vertex set {z₁, …, zₙ} containing a simplex {zᵢ₀, …, zᵢₖ} whenever ‖zᵢⱼ − zᵢₗ‖ ≤ ε for all pairs j, l. The nested family {VR(ε)}ε≥0 is a filtration: VR(ε) </w:t>
      </w:r>
      <w:r>
        <w:rPr>
          <w:rFonts w:ascii="Cambria Math" w:hAnsi="Cambria Math" w:cs="Cambria Math"/>
          <w:color w:val="000000" w:themeColor="text1"/>
        </w:rPr>
        <w:t>⊆</w:t>
      </w:r>
      <w:r>
        <w:rPr>
          <w:color w:val="000000" w:themeColor="text1"/>
        </w:rPr>
        <w:t xml:space="preserve"> VR(ε’) whenever ε ≤ ε’.</w:t>
      </w:r>
    </w:p>
    <w:p w14:paraId="151E2DAD" w14:textId="77777777" w:rsidR="004631A7" w:rsidRPr="00CA61FE" w:rsidRDefault="00000000">
      <w:pPr>
        <w:pStyle w:val="NormalWeb"/>
        <w:rPr>
          <w:color w:val="000000" w:themeColor="text1"/>
        </w:rPr>
      </w:pPr>
      <w:r>
        <w:rPr>
          <w:b/>
          <w:bCs/>
          <w:color w:val="000000" w:themeColor="text1"/>
        </w:rPr>
        <w:t>Definition 5.6 (Persistent homology of the stress-coordinate cloud).</w:t>
      </w:r>
      <w:r>
        <w:rPr>
          <w:color w:val="000000" w:themeColor="text1"/>
        </w:rPr>
        <w:t xml:space="preserve"> The persistent homology of the filtration {VR(ε)}ε≥0 tracks the birth and death of topological features across scales:</w:t>
      </w:r>
    </w:p>
    <w:p w14:paraId="41CAF294" w14:textId="77777777" w:rsidR="004631A7" w:rsidRPr="00CA61FE" w:rsidRDefault="00000000">
      <w:pPr>
        <w:pStyle w:val="NormalWeb"/>
        <w:rPr>
          <w:color w:val="000000" w:themeColor="text1"/>
        </w:rPr>
      </w:pPr>
      <w:r>
        <w:rPr>
          <w:b/>
          <w:bCs/>
          <w:color w:val="000000" w:themeColor="text1"/>
        </w:rPr>
        <w:t>β₀(ε) — connected components:</w:t>
      </w:r>
      <w:r>
        <w:rPr>
          <w:color w:val="000000" w:themeColor="text1"/>
        </w:rPr>
        <w:t xml:space="preserve"> At ε = 0, each sample is its own component; β₀ = n. As ε increases, samples with nearby stress coordinates merge into shared components. A persistent β₀ feature, a connected component that is born at a small scale and dies only at a large scale, corresponds to a robust stress phenotype cluster separated from others by a genuine gap in stress-coordinate space. The number of long-lived β₀ features provides a topological estimate of the number of biologically distinct stress phenotypes in the cohort, complementing scalar clustering methods.</w:t>
      </w:r>
    </w:p>
    <w:p w14:paraId="21C90277" w14:textId="77777777" w:rsidR="004631A7" w:rsidRPr="00CA61FE" w:rsidRDefault="00000000">
      <w:pPr>
        <w:pStyle w:val="NormalWeb"/>
        <w:rPr>
          <w:color w:val="000000" w:themeColor="text1"/>
        </w:rPr>
      </w:pPr>
      <w:r>
        <w:rPr>
          <w:b/>
          <w:bCs/>
          <w:color w:val="000000" w:themeColor="text1"/>
        </w:rPr>
        <w:t>β₁(ε) — loops:</w:t>
      </w:r>
      <w:r>
        <w:rPr>
          <w:color w:val="000000" w:themeColor="text1"/>
        </w:rPr>
        <w:t xml:space="preserve"> A persistent β₁ feature corresponds to a cycle in the stress-coordinate cloud, a closed path through distinct samples that cannot be contracted to a point within the cloud. Biologically, persistent loops may indicate cyclic regulatory relationships among stress axes. For example, elevated glycolytic activity may drive angiogenesis, which reduces hypoxia, which attenuates HIF-1α signaling, which modulates glycolysis</w:t>
      </w:r>
      <w:r w:rsidR="001D16F7">
        <w:rPr>
          <w:color w:val="000000" w:themeColor="text1"/>
        </w:rPr>
        <w:t>,</w:t>
      </w:r>
      <w:r>
        <w:rPr>
          <w:color w:val="000000" w:themeColor="text1"/>
        </w:rPr>
        <w:t xml:space="preserve"> producing a closed trajectory in stress-coordinate space that does not resolve to a cluster.</w:t>
      </w:r>
    </w:p>
    <w:p w14:paraId="37705BE2" w14:textId="77777777" w:rsidR="004631A7" w:rsidRPr="00CA61FE" w:rsidRDefault="00000000">
      <w:pPr>
        <w:pStyle w:val="NormalWeb"/>
        <w:rPr>
          <w:color w:val="000000" w:themeColor="text1"/>
        </w:rPr>
      </w:pPr>
      <w:r>
        <w:rPr>
          <w:b/>
          <w:bCs/>
          <w:color w:val="000000" w:themeColor="text1"/>
        </w:rPr>
        <w:t>β₂(ε) — voids:</w:t>
      </w:r>
      <w:r>
        <w:rPr>
          <w:color w:val="000000" w:themeColor="text1"/>
        </w:rPr>
        <w:t xml:space="preserve"> A persistent β₂ feature corresponds to a two-dimensional void, a region of ℝᴷ enclosed by samples but containing no observed sample. Persistent voids may identify regions of stress-coordinate space that are biologically inaccessible: pathway activity combinations that do not occur in the observed tumor population under the constraints of the biological system.</w:t>
      </w:r>
    </w:p>
    <w:p w14:paraId="6C81BFF8" w14:textId="77777777" w:rsidR="004631A7" w:rsidRPr="00CA61FE" w:rsidRDefault="00000000">
      <w:pPr>
        <w:pStyle w:val="NormalWeb"/>
        <w:rPr>
          <w:color w:val="000000" w:themeColor="text1"/>
        </w:rPr>
      </w:pPr>
      <w:r>
        <w:rPr>
          <w:b/>
          <w:bCs/>
          <w:color w:val="000000" w:themeColor="text1"/>
        </w:rPr>
        <w:t>Definition 5.7 (Persistence diagram).</w:t>
      </w:r>
      <w:r>
        <w:rPr>
          <w:color w:val="000000" w:themeColor="text1"/>
        </w:rPr>
        <w:t xml:space="preserve"> The persistence diagram PD(k) for homological degree k is the multiset of pairs (bᵢ, dᵢ) where bᵢ is the scale at which the i-th k-dimensional feature is born and dᵢ is the scale at which it dies. Features with large persistence dᵢ − bᵢ correspond to robust topological structure; features near the diagonal (dᵢ ≈ bᵢ) correspond to noise. The total persistence Σᵢ(dᵢ − bᵢ) provides a summary scalar of topological complexity at each homological degree.</w:t>
      </w:r>
    </w:p>
    <w:p w14:paraId="48AE8940" w14:textId="77777777" w:rsidR="004631A7" w:rsidRPr="00CA61FE" w:rsidRDefault="00000000">
      <w:pPr>
        <w:pStyle w:val="NormalWeb"/>
        <w:rPr>
          <w:color w:val="000000" w:themeColor="text1"/>
        </w:rPr>
      </w:pPr>
      <w:r>
        <w:rPr>
          <w:b/>
          <w:bCs/>
          <w:color w:val="000000" w:themeColor="text1"/>
        </w:rPr>
        <w:t>Proposition 5.2 (Metric on stress phenotype topology).</w:t>
      </w:r>
      <w:r>
        <w:rPr>
          <w:color w:val="000000" w:themeColor="text1"/>
        </w:rPr>
        <w:t xml:space="preserve"> The bottleneck distance d_B(PD(k)(A), PD(k)(B)) and the Wasserstein distance d_W(PD(k)(A), PD(k)(B)) between persistence diagrams of two cohorts A and B define stable metrics on the space of stress-coordinate topologies (Chazal &amp; Michel, 2021). These distances are stable under small perturbations of the underlying point cloud, providing a rigorous basis for comparing stress phenotype topology across cohorts, disease stages, or treatment conditions without requiring explicit cluster labels or prior biological hypotheses.</w:t>
      </w:r>
    </w:p>
    <w:p w14:paraId="6AD43556" w14:textId="77777777" w:rsidR="004631A7" w:rsidRPr="00CA61FE" w:rsidRDefault="00000000">
      <w:pPr>
        <w:pStyle w:val="NormalWeb"/>
        <w:rPr>
          <w:color w:val="000000" w:themeColor="text1"/>
        </w:rPr>
      </w:pPr>
      <w:r>
        <w:rPr>
          <w:b/>
          <w:bCs/>
          <w:color w:val="000000" w:themeColor="text1"/>
        </w:rPr>
        <w:t>Remark 5.2.</w:t>
      </w:r>
      <w:r>
        <w:rPr>
          <w:color w:val="000000" w:themeColor="text1"/>
        </w:rPr>
        <w:t xml:space="preserve"> Persistent homology of the stress-coordinate cloud is an empirical analysis of a realized sample {z₁, …, zₙ} and is therefore not a property of the locked operator F. It is an </w:t>
      </w:r>
      <w:r>
        <w:rPr>
          <w:color w:val="000000" w:themeColor="text1"/>
        </w:rPr>
        <w:lastRenderedPageBreak/>
        <w:t>empirical extension of the theoretical framework: the operator F determines the coordinates; persistent homology analyzes their geometric and topological organization. Computational implementation may use standard TDA libraries, including Ripser (Bauer, 2021), Gudhi (The GUDHI Project, 2015), or Giotto-TDA (Tauzin et al., 2021).</w:t>
      </w:r>
    </w:p>
    <w:p w14:paraId="6A0F2351" w14:textId="77777777" w:rsidR="0086321C" w:rsidRPr="00CA61FE" w:rsidRDefault="00000000" w:rsidP="000C5B1D">
      <w:pPr>
        <w:pStyle w:val="Heading1"/>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Simulation Studies</w:t>
      </w:r>
    </w:p>
    <w:p w14:paraId="61CADD06"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Six pre-specified simulation studies evaluate the mathematical behavior, robustness, and implementation sensitivity of the CSC/TCSI framework. Unless otherwise stated, all simulations use K = 5 pathway axes, n = 1,000 samples, and random seed 42.</w:t>
      </w:r>
    </w:p>
    <w:p w14:paraId="3E8E2006" w14:textId="77777777" w:rsidR="0086321C" w:rsidRPr="00CA61FE" w:rsidRDefault="00290545" w:rsidP="00290545">
      <w:pPr>
        <w:pStyle w:val="Heading2"/>
        <w:numPr>
          <w:ilvl w:val="0"/>
          <w:numId w:val="0"/>
        </w:numPr>
        <w:rPr>
          <w:rFonts w:ascii="Times New Roman" w:hAnsi="Times New Roman" w:cs="Times New Roman"/>
          <w:color w:val="000000" w:themeColor="text1"/>
          <w:sz w:val="24"/>
        </w:rPr>
      </w:pPr>
      <w:r>
        <w:rPr>
          <w:rFonts w:ascii="Times New Roman" w:hAnsi="Times New Roman" w:cs="Times New Roman"/>
          <w:color w:val="000000" w:themeColor="text1"/>
          <w:sz w:val="24"/>
        </w:rPr>
        <w:t>Simulation 1: Compound Symmetry and PC1 Equivalence</w:t>
      </w:r>
    </w:p>
    <w:p w14:paraId="6D6F4EC8"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 xml:space="preserve">Objective: Evaluate the prediction that under exact compound symmetry, canonical TCSI is perfectly correlated with the first principal-component score. Result: Estimated correlations </w:t>
      </w:r>
      <w:proofErr w:type="gramStart"/>
      <w:r>
        <w:rPr>
          <w:rFonts w:ascii="Times New Roman" w:hAnsi="Times New Roman" w:cs="Times New Roman"/>
          <w:color w:val="000000" w:themeColor="text1"/>
        </w:rPr>
        <w:t>r(</w:t>
      </w:r>
      <w:proofErr w:type="gramEnd"/>
      <w:r>
        <w:rPr>
          <w:rFonts w:ascii="Times New Roman" w:hAnsi="Times New Roman" w:cs="Times New Roman"/>
          <w:color w:val="000000" w:themeColor="text1"/>
        </w:rPr>
        <w:t xml:space="preserve">TCSI, PC1) for ρ </w:t>
      </w:r>
      <w:r>
        <w:rPr>
          <w:rFonts w:ascii="Cambria Math" w:hAnsi="Cambria Math" w:cs="Cambria Math"/>
          <w:color w:val="000000" w:themeColor="text1"/>
        </w:rPr>
        <w:t>∈</w:t>
      </w:r>
      <w:r>
        <w:rPr>
          <w:rFonts w:ascii="Times New Roman" w:hAnsi="Times New Roman" w:cs="Times New Roman"/>
          <w:color w:val="000000" w:themeColor="text1"/>
        </w:rPr>
        <w:t xml:space="preserve"> {0.1, 0.3, 0.5, 0.7, 0.9} were 0.996, 0.9999, 1.000, 1.000, 1.000</w:t>
      </w:r>
      <w:r w:rsidR="0060461E">
        <w:rPr>
          <w:rFonts w:ascii="Times New Roman" w:hAnsi="Times New Roman" w:cs="Times New Roman"/>
          <w:color w:val="000000" w:themeColor="text1"/>
        </w:rPr>
        <w:t>,</w:t>
      </w:r>
      <w:r>
        <w:rPr>
          <w:rFonts w:ascii="Times New Roman" w:hAnsi="Times New Roman" w:cs="Times New Roman"/>
          <w:color w:val="000000" w:themeColor="text1"/>
        </w:rPr>
        <w:t xml:space="preserve"> respectively, confirming Theorem 4.1.</w:t>
      </w:r>
    </w:p>
    <w:p w14:paraId="622E4F3B" w14:textId="77777777" w:rsidR="0086321C" w:rsidRPr="00CA61FE" w:rsidRDefault="00000000" w:rsidP="00290545">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Simulation 2: Unequal Loadings</w:t>
      </w:r>
    </w:p>
    <w:p w14:paraId="25A27EF3"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 xml:space="preserve">Objective: Evaluate how well TCSI recovers the latent stress state θ when pathway loadings are unequal or partially misaligned. Result: Correlations </w:t>
      </w:r>
      <w:proofErr w:type="gramStart"/>
      <w:r>
        <w:rPr>
          <w:rFonts w:ascii="Times New Roman" w:hAnsi="Times New Roman" w:cs="Times New Roman"/>
          <w:color w:val="000000" w:themeColor="text1"/>
        </w:rPr>
        <w:t>r(</w:t>
      </w:r>
      <w:proofErr w:type="gramEnd"/>
      <w:r>
        <w:rPr>
          <w:rFonts w:ascii="Times New Roman" w:hAnsi="Times New Roman" w:cs="Times New Roman"/>
          <w:color w:val="000000" w:themeColor="text1"/>
        </w:rPr>
        <w:t>TCSI, θ) for loading vectors (a) (1,1,1,1,1), (b) (1,1,1,0.5,0.5), (c) (1,1,0.5,0.2,0.2), (d) (1,0.8,0.4,</w:t>
      </w:r>
      <w:proofErr w:type="gramStart"/>
      <w:r>
        <w:rPr>
          <w:rFonts w:ascii="Times New Roman" w:hAnsi="Times New Roman" w:cs="Times New Roman"/>
          <w:color w:val="000000" w:themeColor="text1"/>
        </w:rPr>
        <w:t>0,−</w:t>
      </w:r>
      <w:proofErr w:type="gramEnd"/>
      <w:r>
        <w:rPr>
          <w:rFonts w:ascii="Times New Roman" w:hAnsi="Times New Roman" w:cs="Times New Roman"/>
          <w:color w:val="000000" w:themeColor="text1"/>
        </w:rPr>
        <w:t>0.2) were 0.977, 0.964, 0.932, and 0.871</w:t>
      </w:r>
      <w:r w:rsidR="0060461E">
        <w:rPr>
          <w:rFonts w:ascii="Times New Roman" w:hAnsi="Times New Roman" w:cs="Times New Roman"/>
          <w:color w:val="000000" w:themeColor="text1"/>
        </w:rPr>
        <w:t>,</w:t>
      </w:r>
      <w:r>
        <w:rPr>
          <w:rFonts w:ascii="Times New Roman" w:hAnsi="Times New Roman" w:cs="Times New Roman"/>
          <w:color w:val="000000" w:themeColor="text1"/>
        </w:rPr>
        <w:t xml:space="preserve"> respectively. Performance degrades monotonically as loadings become heterogeneous, weak, zero, or negative.</w:t>
      </w:r>
    </w:p>
    <w:p w14:paraId="65ECF50F" w14:textId="77777777" w:rsidR="0086321C" w:rsidRPr="00CA61FE" w:rsidRDefault="00000000" w:rsidP="00290545">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Simulation 3: Independent vs. Correlated Residuals</w:t>
      </w:r>
    </w:p>
    <w:p w14:paraId="4E8236E9" w14:textId="77777777" w:rsidR="0086321C" w:rsidRPr="00CA61FE" w:rsidRDefault="00000000">
      <w:pPr>
        <w:ind w:left="-5"/>
        <w:rPr>
          <w:rFonts w:ascii="Times New Roman" w:hAnsi="Times New Roman" w:cs="Times New Roman"/>
          <w:color w:val="000000" w:themeColor="text1"/>
        </w:rPr>
      </w:pPr>
      <w:r>
        <w:rPr>
          <w:rFonts w:ascii="Times New Roman" w:hAnsi="Times New Roman" w:cs="Times New Roman"/>
          <w:color w:val="000000" w:themeColor="text1"/>
        </w:rPr>
        <w:t xml:space="preserve">Objective: Verify the variance formula in Corollary 4.1. Result: Relative errors between empirical and theoretical </w:t>
      </w:r>
      <w:proofErr w:type="gramStart"/>
      <w:r>
        <w:rPr>
          <w:rFonts w:ascii="Times New Roman" w:hAnsi="Times New Roman" w:cs="Times New Roman"/>
          <w:color w:val="000000" w:themeColor="text1"/>
        </w:rPr>
        <w:t>Var(</w:t>
      </w:r>
      <w:proofErr w:type="gramEnd"/>
      <w:r>
        <w:rPr>
          <w:rFonts w:ascii="Times New Roman" w:hAnsi="Times New Roman" w:cs="Times New Roman"/>
          <w:color w:val="000000" w:themeColor="text1"/>
        </w:rPr>
        <w:t xml:space="preserve">TCSI − θ) for ρ_ε </w:t>
      </w:r>
      <w:r>
        <w:rPr>
          <w:rFonts w:ascii="Cambria Math" w:hAnsi="Cambria Math" w:cs="Cambria Math"/>
          <w:color w:val="000000" w:themeColor="text1"/>
        </w:rPr>
        <w:t>∈</w:t>
      </w:r>
      <w:r>
        <w:rPr>
          <w:rFonts w:ascii="Times New Roman" w:hAnsi="Times New Roman" w:cs="Times New Roman"/>
          <w:color w:val="000000" w:themeColor="text1"/>
        </w:rPr>
        <w:t xml:space="preserve"> {0, 0.25, 0.50, 0.75} were 7.82%, 3.88%, 0.24%, and 4.18%</w:t>
      </w:r>
      <w:r w:rsidR="001D16F7">
        <w:rPr>
          <w:rFonts w:ascii="Times New Roman" w:hAnsi="Times New Roman" w:cs="Times New Roman"/>
          <w:color w:val="000000" w:themeColor="text1"/>
        </w:rPr>
        <w:t>,</w:t>
      </w:r>
      <w:r>
        <w:rPr>
          <w:rFonts w:ascii="Times New Roman" w:hAnsi="Times New Roman" w:cs="Times New Roman"/>
          <w:color w:val="000000" w:themeColor="text1"/>
        </w:rPr>
        <w:t xml:space="preserve"> respectively</w:t>
      </w:r>
      <w:r w:rsidR="001D16F7">
        <w:rPr>
          <w:rFonts w:ascii="Times New Roman" w:hAnsi="Times New Roman" w:cs="Times New Roman"/>
          <w:color w:val="000000" w:themeColor="text1"/>
        </w:rPr>
        <w:t xml:space="preserve">, </w:t>
      </w:r>
      <w:r>
        <w:rPr>
          <w:rFonts w:ascii="Times New Roman" w:hAnsi="Times New Roman" w:cs="Times New Roman"/>
          <w:color w:val="000000" w:themeColor="text1"/>
        </w:rPr>
        <w:t>all within finite-sample sampling variability.</w:t>
      </w:r>
    </w:p>
    <w:p w14:paraId="74816926" w14:textId="77777777" w:rsidR="0086321C" w:rsidRPr="00CA61FE" w:rsidRDefault="00000000" w:rsidP="00290545">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Simulation 4: Missing Pathway Genes</w:t>
      </w:r>
    </w:p>
    <w:p w14:paraId="23ABD536" w14:textId="77777777" w:rsidR="0086321C" w:rsidRPr="00CA61FE" w:rsidRDefault="00000000">
      <w:pPr>
        <w:spacing w:after="288" w:line="260" w:lineRule="auto"/>
        <w:ind w:left="-15" w:firstLine="0"/>
        <w:jc w:val="left"/>
        <w:rPr>
          <w:rFonts w:ascii="Times New Roman" w:hAnsi="Times New Roman" w:cs="Times New Roman"/>
          <w:color w:val="000000" w:themeColor="text1"/>
        </w:rPr>
      </w:pPr>
      <w:r>
        <w:rPr>
          <w:rFonts w:ascii="Times New Roman" w:hAnsi="Times New Roman" w:cs="Times New Roman"/>
          <w:color w:val="000000" w:themeColor="text1"/>
        </w:rPr>
        <w:t>Objective: Assess sensitivity to incomplete pathway gene coverage. Result: Pearson r(TCSI_missing, TCSI_complete) remained &gt; 0.95 for gene-removal fractions q ≤ 0.25, with meaningful degradation at q = 0.50. This justifies a 75% gene-coverage threshold.</w:t>
      </w:r>
    </w:p>
    <w:p w14:paraId="121F3C95" w14:textId="77777777" w:rsidR="0086321C" w:rsidRPr="00CA61FE" w:rsidRDefault="00000000" w:rsidP="00290545">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Simulation 5: Cross-Platform Perturbations</w:t>
      </w:r>
    </w:p>
    <w:p w14:paraId="5363C9F0"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Objective: Evaluate stability under transformations resembling cross-platform expression differences. Result: Log transform and quantile normalization yielded r ≈ 1.000. Gaussian noise σ = 0.5 → r &gt; 0.99; σ = 1.0 → r &gt; 0.97. Dropout p = 0.10 → r &gt; 0.99; p = 0.25 → r &gt; 0.95.</w:t>
      </w:r>
    </w:p>
    <w:p w14:paraId="3646E3AA" w14:textId="77777777" w:rsidR="0086321C" w:rsidRPr="00CA61FE" w:rsidRDefault="00000000" w:rsidP="00290545">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Simulation 6: Reference-Cohort Stability</w:t>
      </w:r>
    </w:p>
    <w:p w14:paraId="5898C4AD"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 xml:space="preserve">Objective: Quantify sensitivity to finite-sample variability in reference cohort R. Result: Two hundred bootstrap reference cohorts (n_R = 200) applied to a fixed test set yielded mean Spearman </w:t>
      </w:r>
      <w:r>
        <w:rPr>
          <w:rFonts w:ascii="Times New Roman" w:hAnsi="Times New Roman" w:cs="Times New Roman"/>
          <w:color w:val="000000" w:themeColor="text1"/>
        </w:rPr>
        <w:lastRenderedPageBreak/>
        <w:t>rank correlation ρ_S = 0.9996 (SD = 0.00023). The frozen-reference construction is robust to finite-sample perturbation.</w:t>
      </w:r>
    </w:p>
    <w:p w14:paraId="77BE0B78" w14:textId="77777777" w:rsidR="0086321C" w:rsidRPr="00CA61FE" w:rsidRDefault="00000000" w:rsidP="00290545">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Summary</w:t>
      </w:r>
    </w:p>
    <w:p w14:paraId="50CAE6A4" w14:textId="77777777" w:rsidR="0086321C" w:rsidRPr="00CA61FE" w:rsidRDefault="00000000">
      <w:pPr>
        <w:spacing w:after="0"/>
        <w:ind w:left="-5"/>
        <w:rPr>
          <w:rFonts w:ascii="Times New Roman" w:hAnsi="Times New Roman" w:cs="Times New Roman"/>
          <w:color w:val="000000" w:themeColor="text1"/>
        </w:rPr>
      </w:pPr>
      <w:r>
        <w:rPr>
          <w:rFonts w:ascii="Times New Roman" w:hAnsi="Times New Roman" w:cs="Times New Roman"/>
          <w:color w:val="000000" w:themeColor="text1"/>
        </w:rPr>
        <w:t>Collectively, the six studies establish: (i) spectral validity</w:t>
      </w:r>
      <w:r w:rsidR="001D16F7">
        <w:rPr>
          <w:rFonts w:ascii="Times New Roman" w:hAnsi="Times New Roman" w:cs="Times New Roman"/>
          <w:color w:val="000000" w:themeColor="text1"/>
        </w:rPr>
        <w:t xml:space="preserve">, </w:t>
      </w:r>
      <w:r>
        <w:rPr>
          <w:rFonts w:ascii="Times New Roman" w:hAnsi="Times New Roman" w:cs="Times New Roman"/>
          <w:color w:val="000000" w:themeColor="text1"/>
        </w:rPr>
        <w:t>TCSI is equivalent to PC1 under compound symmetry; (ii) a robustness boundary r (TCSI, θ) ≥ 0.871 across all loading scenarios; (iii) analytical tractability</w:t>
      </w:r>
      <w:r w:rsidR="001D16F7">
        <w:rPr>
          <w:rFonts w:ascii="Times New Roman" w:hAnsi="Times New Roman" w:cs="Times New Roman"/>
          <w:color w:val="000000" w:themeColor="text1"/>
        </w:rPr>
        <w:t>,</w:t>
      </w:r>
      <w:r>
        <w:rPr>
          <w:rFonts w:ascii="Times New Roman" w:hAnsi="Times New Roman" w:cs="Times New Roman"/>
          <w:color w:val="000000" w:themeColor="text1"/>
        </w:rPr>
        <w:t xml:space="preserve"> Corollary 4.1 confirmed; (iv) gene-coverage robustness stable under up to 25% missingness; (v) platform portability</w:t>
      </w:r>
      <w:r w:rsidR="001D16F7">
        <w:rPr>
          <w:rFonts w:ascii="Times New Roman" w:hAnsi="Times New Roman" w:cs="Times New Roman"/>
          <w:color w:val="000000" w:themeColor="text1"/>
        </w:rPr>
        <w:t>,</w:t>
      </w:r>
      <w:r>
        <w:rPr>
          <w:rFonts w:ascii="Times New Roman" w:hAnsi="Times New Roman" w:cs="Times New Roman"/>
          <w:color w:val="000000" w:themeColor="text1"/>
        </w:rPr>
        <w:t xml:space="preserve"> monotonic preprocessing preserves stability; and (vi) reference stability n_R = 200 yields ρ_S = 0.9996.</w:t>
      </w:r>
    </w:p>
    <w:tbl>
      <w:tblPr>
        <w:tblStyle w:val="TableGrid"/>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bottom w:w="7" w:type="dxa"/>
        </w:tblCellMar>
        <w:tblLook w:val="04A0" w:firstRow="1" w:lastRow="0" w:firstColumn="1" w:lastColumn="0" w:noHBand="0" w:noVBand="1"/>
      </w:tblPr>
      <w:tblGrid>
        <w:gridCol w:w="1105"/>
        <w:gridCol w:w="1126"/>
        <w:gridCol w:w="5003"/>
        <w:gridCol w:w="1021"/>
        <w:gridCol w:w="1198"/>
      </w:tblGrid>
      <w:tr w:rsidR="0086321C" w:rsidRPr="00CA61FE" w14:paraId="5082FFD3" w14:textId="77777777" w:rsidTr="00CA61FE">
        <w:trPr>
          <w:cantSplit/>
          <w:trHeight w:val="579"/>
        </w:trPr>
        <w:tc>
          <w:tcPr>
            <w:tcW w:w="1872" w:type="dxa"/>
            <w:shd w:val="clear" w:color="auto" w:fill="FFFFFF" w:themeFill="background1"/>
          </w:tcPr>
          <w:p w14:paraId="12FEF893"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Simulation</w:t>
            </w:r>
          </w:p>
        </w:tc>
        <w:tc>
          <w:tcPr>
            <w:tcW w:w="1872" w:type="dxa"/>
            <w:shd w:val="clear" w:color="auto" w:fill="FFFFFF" w:themeFill="background1"/>
          </w:tcPr>
          <w:p w14:paraId="5A92CE75" w14:textId="77777777" w:rsidR="0086321C" w:rsidRPr="00CA61FE" w:rsidRDefault="00000000">
            <w:pPr>
              <w:spacing w:after="0" w:line="259" w:lineRule="auto"/>
              <w:ind w:left="110" w:right="91" w:firstLine="0"/>
              <w:jc w:val="left"/>
              <w:rPr>
                <w:rFonts w:ascii="Times New Roman" w:hAnsi="Times New Roman" w:cs="Times New Roman"/>
                <w:color w:val="000000" w:themeColor="text1"/>
              </w:rPr>
            </w:pPr>
            <w:r>
              <w:rPr>
                <w:rFonts w:ascii="Times New Roman" w:hAnsi="Times New Roman" w:cs="Times New Roman"/>
                <w:b/>
                <w:color w:val="000000" w:themeColor="text1"/>
              </w:rPr>
              <w:t>Target Property</w:t>
            </w:r>
          </w:p>
        </w:tc>
        <w:tc>
          <w:tcPr>
            <w:tcW w:w="1872" w:type="dxa"/>
            <w:shd w:val="clear" w:color="auto" w:fill="FFFFFF" w:themeFill="background1"/>
          </w:tcPr>
          <w:p w14:paraId="4D073B0A"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Primary Metric</w:t>
            </w:r>
          </w:p>
        </w:tc>
        <w:tc>
          <w:tcPr>
            <w:tcW w:w="1872" w:type="dxa"/>
            <w:shd w:val="clear" w:color="auto" w:fill="FFFFFF" w:themeFill="background1"/>
          </w:tcPr>
          <w:p w14:paraId="2970D4FD"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Key Result</w:t>
            </w:r>
          </w:p>
        </w:tc>
        <w:tc>
          <w:tcPr>
            <w:tcW w:w="1872" w:type="dxa"/>
            <w:shd w:val="clear" w:color="auto" w:fill="FFFFFF" w:themeFill="background1"/>
          </w:tcPr>
          <w:p w14:paraId="68A7A607"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 xml:space="preserve">Expectation </w:t>
            </w:r>
          </w:p>
          <w:p w14:paraId="02995C9F"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Met</w:t>
            </w:r>
          </w:p>
        </w:tc>
      </w:tr>
      <w:tr w:rsidR="0086321C" w:rsidRPr="00CA61FE" w14:paraId="216FB96F" w14:textId="77777777" w:rsidTr="00CA61FE">
        <w:trPr>
          <w:cantSplit/>
          <w:trHeight w:val="578"/>
        </w:trPr>
        <w:tc>
          <w:tcPr>
            <w:tcW w:w="1872" w:type="dxa"/>
            <w:shd w:val="clear" w:color="auto" w:fill="FFFFFF" w:themeFill="background1"/>
          </w:tcPr>
          <w:p w14:paraId="4C9D271B"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Sim 1</w:t>
            </w:r>
          </w:p>
        </w:tc>
        <w:tc>
          <w:tcPr>
            <w:tcW w:w="1872" w:type="dxa"/>
            <w:shd w:val="clear" w:color="auto" w:fill="FFFFFF" w:themeFill="background1"/>
          </w:tcPr>
          <w:p w14:paraId="43F22567"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PC1 equivalence</w:t>
            </w:r>
          </w:p>
        </w:tc>
        <w:tc>
          <w:tcPr>
            <w:tcW w:w="1872" w:type="dxa"/>
            <w:shd w:val="clear" w:color="auto" w:fill="FFFFFF" w:themeFill="background1"/>
          </w:tcPr>
          <w:p w14:paraId="3B91BE27"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r(TCSI, PC1)</w:t>
            </w:r>
          </w:p>
        </w:tc>
        <w:tc>
          <w:tcPr>
            <w:tcW w:w="1872" w:type="dxa"/>
            <w:shd w:val="clear" w:color="auto" w:fill="FFFFFF" w:themeFill="background1"/>
          </w:tcPr>
          <w:p w14:paraId="6138C0EC"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r → 1.000 for ρ </w:t>
            </w:r>
          </w:p>
        </w:tc>
        <w:tc>
          <w:tcPr>
            <w:tcW w:w="1872" w:type="dxa"/>
            <w:shd w:val="clear" w:color="auto" w:fill="FFFFFF" w:themeFill="background1"/>
          </w:tcPr>
          <w:p w14:paraId="594E0702"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r>
      <w:tr w:rsidR="0086321C" w:rsidRPr="00CA61FE" w14:paraId="77D8FF9F" w14:textId="77777777" w:rsidTr="00CA61FE">
        <w:trPr>
          <w:trHeight w:val="581"/>
        </w:trPr>
        <w:tc>
          <w:tcPr>
            <w:tcW w:w="1872" w:type="dxa"/>
            <w:shd w:val="clear" w:color="auto" w:fill="FFFFFF" w:themeFill="background1"/>
          </w:tcPr>
          <w:p w14:paraId="5629ABC4" w14:textId="77777777" w:rsidR="0086321C" w:rsidRPr="00CA61FE" w:rsidRDefault="0086321C">
            <w:pPr>
              <w:spacing w:after="160" w:line="259" w:lineRule="auto"/>
              <w:ind w:left="0" w:firstLine="0"/>
              <w:jc w:val="left"/>
              <w:rPr>
                <w:rFonts w:ascii="Times New Roman" w:hAnsi="Times New Roman" w:cs="Times New Roman"/>
                <w:color w:val="000000" w:themeColor="text1"/>
              </w:rPr>
            </w:pPr>
          </w:p>
        </w:tc>
        <w:tc>
          <w:tcPr>
            <w:tcW w:w="1872" w:type="dxa"/>
            <w:shd w:val="clear" w:color="auto" w:fill="FFFFFF" w:themeFill="background1"/>
            <w:vAlign w:val="bottom"/>
          </w:tcPr>
          <w:p w14:paraId="17AF733E"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loadings</w:t>
            </w:r>
          </w:p>
        </w:tc>
        <w:tc>
          <w:tcPr>
            <w:tcW w:w="1872" w:type="dxa"/>
            <w:shd w:val="clear" w:color="auto" w:fill="FFFFFF" w:themeFill="background1"/>
          </w:tcPr>
          <w:p w14:paraId="40E4E0B9" w14:textId="77777777" w:rsidR="0086321C" w:rsidRPr="00CA61FE" w:rsidRDefault="00000000">
            <w:pPr>
              <w:spacing w:after="0" w:line="259" w:lineRule="auto"/>
              <w:ind w:left="-3734" w:right="-3734" w:firstLine="0"/>
              <w:jc w:val="left"/>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573FEB14" wp14:editId="4A2A3089">
                  <wp:extent cx="5937504" cy="329184"/>
                  <wp:effectExtent l="0" t="0" r="0" b="0"/>
                  <wp:docPr id="22801" name="Picture 22801"/>
                  <wp:cNvGraphicFramePr/>
                  <a:graphic xmlns:a="http://schemas.openxmlformats.org/drawingml/2006/main">
                    <a:graphicData uri="http://schemas.openxmlformats.org/drawingml/2006/picture">
                      <pic:pic xmlns:pic="http://schemas.openxmlformats.org/drawingml/2006/picture">
                        <pic:nvPicPr>
                          <pic:cNvPr id="22801" name="Picture 22801"/>
                          <pic:cNvPicPr/>
                        </pic:nvPicPr>
                        <pic:blipFill>
                          <a:blip r:embed="rId5"/>
                          <a:stretch>
                            <a:fillRect/>
                          </a:stretch>
                        </pic:blipFill>
                        <pic:spPr>
                          <a:xfrm>
                            <a:off x="0" y="0"/>
                            <a:ext cx="5937504" cy="329184"/>
                          </a:xfrm>
                          <a:prstGeom prst="rect">
                            <a:avLst/>
                          </a:prstGeom>
                        </pic:spPr>
                      </pic:pic>
                    </a:graphicData>
                  </a:graphic>
                </wp:inline>
              </w:drawing>
            </w:r>
          </w:p>
        </w:tc>
        <w:tc>
          <w:tcPr>
            <w:tcW w:w="1872" w:type="dxa"/>
            <w:shd w:val="clear" w:color="auto" w:fill="FFFFFF" w:themeFill="background1"/>
          </w:tcPr>
          <w:p w14:paraId="278DF2D3" w14:textId="77777777" w:rsidR="0086321C" w:rsidRPr="00CA61FE" w:rsidRDefault="0086321C">
            <w:pPr>
              <w:spacing w:after="160" w:line="259" w:lineRule="auto"/>
              <w:ind w:left="0" w:firstLine="0"/>
              <w:jc w:val="left"/>
              <w:rPr>
                <w:rFonts w:ascii="Times New Roman" w:hAnsi="Times New Roman" w:cs="Times New Roman"/>
                <w:color w:val="000000" w:themeColor="text1"/>
              </w:rPr>
            </w:pPr>
          </w:p>
        </w:tc>
        <w:tc>
          <w:tcPr>
            <w:tcW w:w="1872" w:type="dxa"/>
            <w:shd w:val="clear" w:color="auto" w:fill="FFFFFF" w:themeFill="background1"/>
          </w:tcPr>
          <w:p w14:paraId="0BA9456C" w14:textId="77777777" w:rsidR="0086321C" w:rsidRPr="00CA61FE" w:rsidRDefault="0086321C">
            <w:pPr>
              <w:spacing w:after="160" w:line="259" w:lineRule="auto"/>
              <w:ind w:left="0" w:firstLine="0"/>
              <w:jc w:val="left"/>
              <w:rPr>
                <w:rFonts w:ascii="Times New Roman" w:hAnsi="Times New Roman" w:cs="Times New Roman"/>
                <w:color w:val="000000" w:themeColor="text1"/>
              </w:rPr>
            </w:pPr>
          </w:p>
        </w:tc>
      </w:tr>
      <w:tr w:rsidR="0086321C" w:rsidRPr="00CA61FE" w14:paraId="4418E4F2" w14:textId="77777777" w:rsidTr="00CA61FE">
        <w:trPr>
          <w:cantSplit/>
          <w:trHeight w:val="571"/>
        </w:trPr>
        <w:tc>
          <w:tcPr>
            <w:tcW w:w="1872" w:type="dxa"/>
            <w:shd w:val="clear" w:color="auto" w:fill="FFFFFF" w:themeFill="background1"/>
          </w:tcPr>
          <w:p w14:paraId="5AD36A3A"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Sim 3</w:t>
            </w:r>
          </w:p>
        </w:tc>
        <w:tc>
          <w:tcPr>
            <w:tcW w:w="1872" w:type="dxa"/>
            <w:shd w:val="clear" w:color="auto" w:fill="FFFFFF" w:themeFill="background1"/>
          </w:tcPr>
          <w:p w14:paraId="7B9F0976" w14:textId="77777777" w:rsidR="0086321C" w:rsidRPr="00CA61FE" w:rsidRDefault="00000000">
            <w:pPr>
              <w:spacing w:after="0" w:line="259" w:lineRule="auto"/>
              <w:ind w:left="110" w:right="78" w:firstLine="0"/>
              <w:jc w:val="left"/>
              <w:rPr>
                <w:rFonts w:ascii="Times New Roman" w:hAnsi="Times New Roman" w:cs="Times New Roman"/>
                <w:color w:val="000000" w:themeColor="text1"/>
              </w:rPr>
            </w:pPr>
            <w:r>
              <w:rPr>
                <w:rFonts w:ascii="Times New Roman" w:hAnsi="Times New Roman" w:cs="Times New Roman"/>
                <w:color w:val="000000" w:themeColor="text1"/>
              </w:rPr>
              <w:t>Noise attenuation</w:t>
            </w:r>
          </w:p>
        </w:tc>
        <w:tc>
          <w:tcPr>
            <w:tcW w:w="1872" w:type="dxa"/>
            <w:shd w:val="clear" w:color="auto" w:fill="FFFFFF" w:themeFill="background1"/>
          </w:tcPr>
          <w:p w14:paraId="1F3ADE45"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Var(TCSI − θ)</w:t>
            </w:r>
          </w:p>
        </w:tc>
        <w:tc>
          <w:tcPr>
            <w:tcW w:w="1872" w:type="dxa"/>
            <w:shd w:val="clear" w:color="auto" w:fill="FFFFFF" w:themeFill="background1"/>
          </w:tcPr>
          <w:p w14:paraId="306DADD9"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Max error &lt; 8%</w:t>
            </w:r>
          </w:p>
        </w:tc>
        <w:tc>
          <w:tcPr>
            <w:tcW w:w="1872" w:type="dxa"/>
            <w:shd w:val="clear" w:color="auto" w:fill="FFFFFF" w:themeFill="background1"/>
          </w:tcPr>
          <w:p w14:paraId="7AB31AD2"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r>
      <w:tr w:rsidR="0086321C" w:rsidRPr="00CA61FE" w14:paraId="55E50F96" w14:textId="77777777" w:rsidTr="00CA61FE">
        <w:trPr>
          <w:cantSplit/>
          <w:trHeight w:val="573"/>
        </w:trPr>
        <w:tc>
          <w:tcPr>
            <w:tcW w:w="1872" w:type="dxa"/>
            <w:shd w:val="clear" w:color="auto" w:fill="FFFFFF" w:themeFill="background1"/>
          </w:tcPr>
          <w:p w14:paraId="0A13FF18"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Sim 4</w:t>
            </w:r>
          </w:p>
        </w:tc>
        <w:tc>
          <w:tcPr>
            <w:tcW w:w="1872" w:type="dxa"/>
            <w:shd w:val="clear" w:color="auto" w:fill="FFFFFF" w:themeFill="background1"/>
          </w:tcPr>
          <w:p w14:paraId="3C2DF3C4"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Missing genes</w:t>
            </w:r>
          </w:p>
        </w:tc>
        <w:tc>
          <w:tcPr>
            <w:tcW w:w="1872" w:type="dxa"/>
            <w:shd w:val="clear" w:color="auto" w:fill="FFFFFF" w:themeFill="background1"/>
          </w:tcPr>
          <w:p w14:paraId="49ED7AF2"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r with complete</w:t>
            </w:r>
          </w:p>
        </w:tc>
        <w:tc>
          <w:tcPr>
            <w:tcW w:w="1872" w:type="dxa"/>
            <w:shd w:val="clear" w:color="auto" w:fill="FFFFFF" w:themeFill="background1"/>
          </w:tcPr>
          <w:p w14:paraId="36928077"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 xml:space="preserve">r &gt; 0.95 for q ≤ </w:t>
            </w:r>
          </w:p>
          <w:p w14:paraId="2D5713F2"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0.25</w:t>
            </w:r>
          </w:p>
        </w:tc>
        <w:tc>
          <w:tcPr>
            <w:tcW w:w="1872" w:type="dxa"/>
            <w:shd w:val="clear" w:color="auto" w:fill="FFFFFF" w:themeFill="background1"/>
          </w:tcPr>
          <w:p w14:paraId="00A50608"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r>
      <w:tr w:rsidR="0086321C" w:rsidRPr="00CA61FE" w14:paraId="7DE2BD46" w14:textId="77777777" w:rsidTr="00CA61FE">
        <w:trPr>
          <w:cantSplit/>
          <w:trHeight w:val="572"/>
        </w:trPr>
        <w:tc>
          <w:tcPr>
            <w:tcW w:w="1872" w:type="dxa"/>
            <w:shd w:val="clear" w:color="auto" w:fill="FFFFFF" w:themeFill="background1"/>
          </w:tcPr>
          <w:p w14:paraId="4F93CD8D"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Sim 5</w:t>
            </w:r>
          </w:p>
        </w:tc>
        <w:tc>
          <w:tcPr>
            <w:tcW w:w="1872" w:type="dxa"/>
            <w:shd w:val="clear" w:color="auto" w:fill="FFFFFF" w:themeFill="background1"/>
          </w:tcPr>
          <w:p w14:paraId="74417A47"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Cross-platform</w:t>
            </w:r>
          </w:p>
        </w:tc>
        <w:tc>
          <w:tcPr>
            <w:tcW w:w="1872" w:type="dxa"/>
            <w:shd w:val="clear" w:color="auto" w:fill="FFFFFF" w:themeFill="background1"/>
          </w:tcPr>
          <w:p w14:paraId="0EFCF0C1"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r(perturbed, baseline)</w:t>
            </w:r>
          </w:p>
        </w:tc>
        <w:tc>
          <w:tcPr>
            <w:tcW w:w="1872" w:type="dxa"/>
            <w:shd w:val="clear" w:color="auto" w:fill="FFFFFF" w:themeFill="background1"/>
          </w:tcPr>
          <w:p w14:paraId="18ACD270"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Stable under monotonic</w:t>
            </w:r>
          </w:p>
        </w:tc>
        <w:tc>
          <w:tcPr>
            <w:tcW w:w="1872" w:type="dxa"/>
            <w:shd w:val="clear" w:color="auto" w:fill="FFFFFF" w:themeFill="background1"/>
          </w:tcPr>
          <w:p w14:paraId="3911E09D"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r>
      <w:tr w:rsidR="0086321C" w:rsidRPr="00CA61FE" w14:paraId="577626FC" w14:textId="77777777" w:rsidTr="00CA61FE">
        <w:trPr>
          <w:cantSplit/>
          <w:trHeight w:val="575"/>
        </w:trPr>
        <w:tc>
          <w:tcPr>
            <w:tcW w:w="1872" w:type="dxa"/>
            <w:shd w:val="clear" w:color="auto" w:fill="FFFFFF" w:themeFill="background1"/>
          </w:tcPr>
          <w:p w14:paraId="7E842940"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b/>
                <w:color w:val="000000" w:themeColor="text1"/>
              </w:rPr>
              <w:t>Sim 6</w:t>
            </w:r>
          </w:p>
        </w:tc>
        <w:tc>
          <w:tcPr>
            <w:tcW w:w="1872" w:type="dxa"/>
            <w:shd w:val="clear" w:color="auto" w:fill="FFFFFF" w:themeFill="background1"/>
          </w:tcPr>
          <w:p w14:paraId="2F2F8200"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Reference stability</w:t>
            </w:r>
          </w:p>
        </w:tc>
        <w:tc>
          <w:tcPr>
            <w:tcW w:w="1872" w:type="dxa"/>
            <w:shd w:val="clear" w:color="auto" w:fill="FFFFFF" w:themeFill="background1"/>
          </w:tcPr>
          <w:p w14:paraId="4C9AF651"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Bootstrap ρ_S</w:t>
            </w:r>
          </w:p>
        </w:tc>
        <w:tc>
          <w:tcPr>
            <w:tcW w:w="1872" w:type="dxa"/>
            <w:shd w:val="clear" w:color="auto" w:fill="FFFFFF" w:themeFill="background1"/>
          </w:tcPr>
          <w:p w14:paraId="6FE863BB"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ρ_S = 0.9996</w:t>
            </w:r>
          </w:p>
        </w:tc>
        <w:tc>
          <w:tcPr>
            <w:tcW w:w="1872" w:type="dxa"/>
            <w:shd w:val="clear" w:color="auto" w:fill="FFFFFF" w:themeFill="background1"/>
          </w:tcPr>
          <w:p w14:paraId="4146E2C3" w14:textId="77777777" w:rsidR="0086321C" w:rsidRPr="00CA61FE" w:rsidRDefault="00000000">
            <w:pPr>
              <w:spacing w:after="0" w:line="259" w:lineRule="auto"/>
              <w:ind w:left="110"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r>
    </w:tbl>
    <w:p w14:paraId="6AC26AB6" w14:textId="77777777" w:rsidR="0086321C" w:rsidRPr="00CA61FE" w:rsidRDefault="00000000">
      <w:pPr>
        <w:ind w:left="-5"/>
        <w:rPr>
          <w:rFonts w:ascii="Times New Roman" w:hAnsi="Times New Roman" w:cs="Times New Roman"/>
          <w:color w:val="000000" w:themeColor="text1"/>
        </w:rPr>
      </w:pPr>
      <w:r>
        <w:rPr>
          <w:rFonts w:ascii="Times New Roman" w:hAnsi="Times New Roman" w:cs="Times New Roman"/>
          <w:color w:val="000000" w:themeColor="text1"/>
        </w:rPr>
        <w:t>Table 1. Summary of six pre-specified simulation studies evaluating the CSC/TCSI framework.</w:t>
      </w:r>
    </w:p>
    <w:p w14:paraId="3F84A7CD" w14:textId="77777777" w:rsidR="0086321C" w:rsidRPr="00CA61FE" w:rsidRDefault="00000000" w:rsidP="00321389">
      <w:pPr>
        <w:pStyle w:val="Heading1"/>
        <w:numPr>
          <w:ilvl w:val="0"/>
          <w:numId w:val="0"/>
        </w:numPr>
        <w:spacing w:after="228"/>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Discussion</w:t>
      </w:r>
    </w:p>
    <w:p w14:paraId="5F263B96" w14:textId="77777777" w:rsidR="0086321C" w:rsidRPr="00CA61FE" w:rsidRDefault="00000000" w:rsidP="00321389">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Summary of Contributions</w:t>
      </w:r>
    </w:p>
    <w:p w14:paraId="58C8DAB5" w14:textId="77777777" w:rsidR="0086321C" w:rsidRPr="00CA61FE" w:rsidRDefault="00000000">
      <w:pPr>
        <w:spacing w:after="0"/>
        <w:ind w:left="-5"/>
        <w:rPr>
          <w:rFonts w:ascii="Times New Roman" w:hAnsi="Times New Roman" w:cs="Times New Roman"/>
          <w:color w:val="000000" w:themeColor="text1"/>
        </w:rPr>
      </w:pPr>
      <w:r>
        <w:rPr>
          <w:rFonts w:ascii="Times New Roman" w:hAnsi="Times New Roman" w:cs="Times New Roman"/>
          <w:color w:val="000000" w:themeColor="text1"/>
        </w:rPr>
        <w:t xml:space="preserve">This paper defines the Composite Stress Index (CSI) as a general disease-agnostic framework for quantifying coordinated biological stress and establishes the Tumor Composite Stress Index (TCSI) as its oncology-specific instantiation, a formal coordinate operator satisfying six mathematical properties under a single locked operator construction. fixed axis-wise interpretability, reference-standardized single-sample computation, exact decomposition into pathway-axis contributions, monotonicity in stress coordinates, and extensibility to spatial or multiscale tissue representations. The central result is Proposition 3.1 (single-sample computability): given one compatible molecular profile and a locked specification F, the score can be computed without retraining, cohort-level recomputation, outcome labels, or refitting of latent </w:t>
      </w:r>
      <w:r>
        <w:rPr>
          <w:rFonts w:ascii="Times New Roman" w:hAnsi="Times New Roman" w:cs="Times New Roman"/>
          <w:color w:val="000000" w:themeColor="text1"/>
        </w:rPr>
        <w:lastRenderedPageBreak/>
        <w:t xml:space="preserve">variables. Theorem 4.1 provides spectral justification for the equal-weight canonical projection under compound-symmetric covariance. Theorem 4.2 and Corollary 4.1 </w:t>
      </w:r>
    </w:p>
    <w:p w14:paraId="2C7B3D34" w14:textId="77777777" w:rsidR="0086321C" w:rsidRPr="00CA61FE" w:rsidRDefault="00000000">
      <w:pPr>
        <w:spacing w:after="0"/>
        <w:ind w:left="-5"/>
        <w:rPr>
          <w:rFonts w:ascii="Times New Roman" w:hAnsi="Times New Roman" w:cs="Times New Roman"/>
          <w:color w:val="000000" w:themeColor="text1"/>
        </w:rPr>
      </w:pPr>
      <w:r>
        <w:rPr>
          <w:rFonts w:ascii="Times New Roman" w:hAnsi="Times New Roman" w:cs="Times New Roman"/>
          <w:color w:val="000000" w:themeColor="text1"/>
        </w:rPr>
        <w:t>characterize noise-attenuation properties and identify the residual-correlation regime. The spatial extension formalizes TCSI as a scalar field over tissue coordinates with kernel-smoothed estimation and a stress-boundary gradient operator. Section 3.7 establishes the topological fiber structure of the stress-coordinate map Ψ, characterizing TCSI level sets as unions of molecular fibers and identifying the within-fiber molecular diversity that is invisible to the scalar index. Section 5.4 formalizes the Morse-theoretic critical-point structure of the spatial stress field, providing topological interpretations of stress peaks, saddle points, and transition zones that validate the biological use of the stress-boundary gradient operator. Section 5.5 introduces persistent homology of the stress-coordinate cloud as a scale-invariant tool for characterizing stress phenotype topology in ℝᴷ, including a stable metric for comparing stress phenotype topology across cohorts.</w:t>
      </w:r>
    </w:p>
    <w:tbl>
      <w:tblPr>
        <w:tblStyle w:val="TableGrid"/>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9" w:type="dxa"/>
          <w:left w:w="109" w:type="dxa"/>
          <w:right w:w="115" w:type="dxa"/>
        </w:tblCellMar>
        <w:tblLook w:val="04A0" w:firstRow="1" w:lastRow="0" w:firstColumn="1" w:lastColumn="0" w:noHBand="0" w:noVBand="1"/>
      </w:tblPr>
      <w:tblGrid>
        <w:gridCol w:w="1535"/>
        <w:gridCol w:w="1541"/>
        <w:gridCol w:w="1530"/>
        <w:gridCol w:w="1705"/>
        <w:gridCol w:w="1523"/>
        <w:gridCol w:w="1526"/>
      </w:tblGrid>
      <w:tr w:rsidR="0086321C" w:rsidRPr="00CA61FE" w14:paraId="480938E0" w14:textId="77777777" w:rsidTr="00CA61FE">
        <w:trPr>
          <w:cantSplit/>
          <w:trHeight w:val="579"/>
        </w:trPr>
        <w:tc>
          <w:tcPr>
            <w:tcW w:w="1560" w:type="dxa"/>
            <w:shd w:val="clear" w:color="auto" w:fill="FFFFFF" w:themeFill="background1"/>
          </w:tcPr>
          <w:p w14:paraId="0EE7B981"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Method</w:t>
            </w:r>
          </w:p>
        </w:tc>
        <w:tc>
          <w:tcPr>
            <w:tcW w:w="1560" w:type="dxa"/>
            <w:shd w:val="clear" w:color="auto" w:fill="FFFFFF" w:themeFill="background1"/>
          </w:tcPr>
          <w:p w14:paraId="6AC43385"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Coordinate meaning</w:t>
            </w:r>
          </w:p>
        </w:tc>
        <w:tc>
          <w:tcPr>
            <w:tcW w:w="1560" w:type="dxa"/>
            <w:shd w:val="clear" w:color="auto" w:fill="FFFFFF" w:themeFill="background1"/>
          </w:tcPr>
          <w:p w14:paraId="03F97539"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Single sample</w:t>
            </w:r>
          </w:p>
        </w:tc>
        <w:tc>
          <w:tcPr>
            <w:tcW w:w="1560" w:type="dxa"/>
            <w:shd w:val="clear" w:color="auto" w:fill="FFFFFF" w:themeFill="background1"/>
          </w:tcPr>
          <w:p w14:paraId="1412C195" w14:textId="77777777" w:rsidR="0086321C" w:rsidRPr="00CA61FE" w:rsidRDefault="001F255F">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Decomposable</w:t>
            </w:r>
          </w:p>
          <w:p w14:paraId="2E993B9C"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le</w:t>
            </w:r>
          </w:p>
        </w:tc>
        <w:tc>
          <w:tcPr>
            <w:tcW w:w="1560" w:type="dxa"/>
            <w:shd w:val="clear" w:color="auto" w:fill="FFFFFF" w:themeFill="background1"/>
          </w:tcPr>
          <w:p w14:paraId="47909847"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Fixed biological</w:t>
            </w:r>
          </w:p>
        </w:tc>
        <w:tc>
          <w:tcPr>
            <w:tcW w:w="1560" w:type="dxa"/>
            <w:shd w:val="clear" w:color="auto" w:fill="FFFFFF" w:themeFill="background1"/>
          </w:tcPr>
          <w:p w14:paraId="112EB603" w14:textId="77777777" w:rsidR="0086321C" w:rsidRPr="00CA61FE" w:rsidRDefault="001F255F">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b/>
                <w:color w:val="000000" w:themeColor="text1"/>
              </w:rPr>
              <w:t>Reference invariant</w:t>
            </w:r>
          </w:p>
        </w:tc>
      </w:tr>
      <w:tr w:rsidR="0086321C" w:rsidRPr="00CA61FE" w14:paraId="62CE2C4B" w14:textId="77777777" w:rsidTr="00CA61FE">
        <w:trPr>
          <w:cantSplit/>
          <w:trHeight w:val="586"/>
        </w:trPr>
        <w:tc>
          <w:tcPr>
            <w:tcW w:w="1560" w:type="dxa"/>
            <w:shd w:val="clear" w:color="auto" w:fill="FFFFFF" w:themeFill="background1"/>
          </w:tcPr>
          <w:p w14:paraId="24D7D486"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PCA</w:t>
            </w:r>
          </w:p>
        </w:tc>
        <w:tc>
          <w:tcPr>
            <w:tcW w:w="1560" w:type="dxa"/>
            <w:shd w:val="clear" w:color="auto" w:fill="FFFFFF" w:themeFill="background1"/>
          </w:tcPr>
          <w:p w14:paraId="0700E8C8"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Learned data driven</w:t>
            </w:r>
          </w:p>
        </w:tc>
        <w:tc>
          <w:tcPr>
            <w:tcW w:w="1560" w:type="dxa"/>
            <w:shd w:val="clear" w:color="auto" w:fill="FFFFFF" w:themeFill="background1"/>
          </w:tcPr>
          <w:p w14:paraId="48EEFACD"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Only with frozen</w:t>
            </w:r>
          </w:p>
        </w:tc>
        <w:tc>
          <w:tcPr>
            <w:tcW w:w="1560" w:type="dxa"/>
            <w:shd w:val="clear" w:color="auto" w:fill="FFFFFF" w:themeFill="background1"/>
          </w:tcPr>
          <w:p w14:paraId="13186284"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Partly</w:t>
            </w:r>
          </w:p>
        </w:tc>
        <w:tc>
          <w:tcPr>
            <w:tcW w:w="1560" w:type="dxa"/>
            <w:shd w:val="clear" w:color="auto" w:fill="FFFFFF" w:themeFill="background1"/>
          </w:tcPr>
          <w:p w14:paraId="298825D7"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No</w:t>
            </w:r>
          </w:p>
        </w:tc>
        <w:tc>
          <w:tcPr>
            <w:tcW w:w="1560" w:type="dxa"/>
            <w:shd w:val="clear" w:color="auto" w:fill="FFFFFF" w:themeFill="background1"/>
          </w:tcPr>
          <w:p w14:paraId="6720724F"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Only if frozen</w:t>
            </w:r>
          </w:p>
        </w:tc>
      </w:tr>
      <w:tr w:rsidR="0086321C" w:rsidRPr="00CA61FE" w14:paraId="6B8C0780" w14:textId="77777777" w:rsidTr="00CA61FE">
        <w:trPr>
          <w:cantSplit/>
          <w:trHeight w:val="573"/>
        </w:trPr>
        <w:tc>
          <w:tcPr>
            <w:tcW w:w="1560" w:type="dxa"/>
            <w:shd w:val="clear" w:color="auto" w:fill="FFFFFF" w:themeFill="background1"/>
          </w:tcPr>
          <w:p w14:paraId="1A863328"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Latent factor</w:t>
            </w:r>
          </w:p>
        </w:tc>
        <w:tc>
          <w:tcPr>
            <w:tcW w:w="1560" w:type="dxa"/>
            <w:shd w:val="clear" w:color="auto" w:fill="FFFFFF" w:themeFill="background1"/>
          </w:tcPr>
          <w:p w14:paraId="29654D50"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Learned latent</w:t>
            </w:r>
          </w:p>
        </w:tc>
        <w:tc>
          <w:tcPr>
            <w:tcW w:w="1560" w:type="dxa"/>
            <w:shd w:val="clear" w:color="auto" w:fill="FFFFFF" w:themeFill="background1"/>
          </w:tcPr>
          <w:p w14:paraId="2E53D05A" w14:textId="77777777" w:rsidR="0086321C" w:rsidRPr="00CA61FE" w:rsidRDefault="001F255F">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Model dependent</w:t>
            </w:r>
          </w:p>
        </w:tc>
        <w:tc>
          <w:tcPr>
            <w:tcW w:w="1560" w:type="dxa"/>
            <w:shd w:val="clear" w:color="auto" w:fill="FFFFFF" w:themeFill="background1"/>
          </w:tcPr>
          <w:p w14:paraId="606CE1D0"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Not generally</w:t>
            </w:r>
          </w:p>
        </w:tc>
        <w:tc>
          <w:tcPr>
            <w:tcW w:w="1560" w:type="dxa"/>
            <w:shd w:val="clear" w:color="auto" w:fill="FFFFFF" w:themeFill="background1"/>
          </w:tcPr>
          <w:p w14:paraId="4C1FCF97"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No/weak</w:t>
            </w:r>
          </w:p>
        </w:tc>
        <w:tc>
          <w:tcPr>
            <w:tcW w:w="1560" w:type="dxa"/>
            <w:shd w:val="clear" w:color="auto" w:fill="FFFFFF" w:themeFill="background1"/>
          </w:tcPr>
          <w:p w14:paraId="7B6BA453"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Only if frozen</w:t>
            </w:r>
          </w:p>
        </w:tc>
      </w:tr>
      <w:tr w:rsidR="0086321C" w:rsidRPr="00CA61FE" w14:paraId="3CF2D712" w14:textId="77777777" w:rsidTr="00CA61FE">
        <w:trPr>
          <w:cantSplit/>
          <w:trHeight w:val="572"/>
        </w:trPr>
        <w:tc>
          <w:tcPr>
            <w:tcW w:w="1560" w:type="dxa"/>
            <w:shd w:val="clear" w:color="auto" w:fill="FFFFFF" w:themeFill="background1"/>
          </w:tcPr>
          <w:p w14:paraId="7608A35F"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Topic model</w:t>
            </w:r>
          </w:p>
        </w:tc>
        <w:tc>
          <w:tcPr>
            <w:tcW w:w="1560" w:type="dxa"/>
            <w:shd w:val="clear" w:color="auto" w:fill="FFFFFF" w:themeFill="background1"/>
          </w:tcPr>
          <w:p w14:paraId="447066AD"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Learned topics</w:t>
            </w:r>
          </w:p>
        </w:tc>
        <w:tc>
          <w:tcPr>
            <w:tcW w:w="1560" w:type="dxa"/>
            <w:shd w:val="clear" w:color="auto" w:fill="FFFFFF" w:themeFill="background1"/>
          </w:tcPr>
          <w:p w14:paraId="271FDBBB" w14:textId="77777777" w:rsidR="0086321C" w:rsidRPr="00CA61FE" w:rsidRDefault="001F255F">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Model dependent</w:t>
            </w:r>
          </w:p>
        </w:tc>
        <w:tc>
          <w:tcPr>
            <w:tcW w:w="1560" w:type="dxa"/>
            <w:shd w:val="clear" w:color="auto" w:fill="FFFFFF" w:themeFill="background1"/>
          </w:tcPr>
          <w:p w14:paraId="0C3D6975"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Not generally</w:t>
            </w:r>
          </w:p>
        </w:tc>
        <w:tc>
          <w:tcPr>
            <w:tcW w:w="1560" w:type="dxa"/>
            <w:shd w:val="clear" w:color="auto" w:fill="FFFFFF" w:themeFill="background1"/>
          </w:tcPr>
          <w:p w14:paraId="2B035CC9"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Usually no</w:t>
            </w:r>
          </w:p>
        </w:tc>
        <w:tc>
          <w:tcPr>
            <w:tcW w:w="1560" w:type="dxa"/>
            <w:shd w:val="clear" w:color="auto" w:fill="FFFFFF" w:themeFill="background1"/>
          </w:tcPr>
          <w:p w14:paraId="3B0B5619"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Only if frozen</w:t>
            </w:r>
          </w:p>
        </w:tc>
      </w:tr>
      <w:tr w:rsidR="0086321C" w:rsidRPr="00CA61FE" w14:paraId="10946681" w14:textId="77777777" w:rsidTr="00CA61FE">
        <w:trPr>
          <w:cantSplit/>
          <w:trHeight w:val="573"/>
        </w:trPr>
        <w:tc>
          <w:tcPr>
            <w:tcW w:w="1560" w:type="dxa"/>
            <w:shd w:val="clear" w:color="auto" w:fill="FFFFFF" w:themeFill="background1"/>
          </w:tcPr>
          <w:p w14:paraId="4B31AD26"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UMAP</w:t>
            </w:r>
          </w:p>
        </w:tc>
        <w:tc>
          <w:tcPr>
            <w:tcW w:w="1560" w:type="dxa"/>
            <w:shd w:val="clear" w:color="auto" w:fill="FFFFFF" w:themeFill="background1"/>
          </w:tcPr>
          <w:p w14:paraId="4BCC5BF4"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Learned nonlinear</w:t>
            </w:r>
          </w:p>
        </w:tc>
        <w:tc>
          <w:tcPr>
            <w:tcW w:w="1560" w:type="dxa"/>
            <w:shd w:val="clear" w:color="auto" w:fill="FFFFFF" w:themeFill="background1"/>
          </w:tcPr>
          <w:p w14:paraId="79F06E9D"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No/weakly</w:t>
            </w:r>
          </w:p>
        </w:tc>
        <w:tc>
          <w:tcPr>
            <w:tcW w:w="1560" w:type="dxa"/>
            <w:shd w:val="clear" w:color="auto" w:fill="FFFFFF" w:themeFill="background1"/>
          </w:tcPr>
          <w:p w14:paraId="17D0681C"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No</w:t>
            </w:r>
          </w:p>
        </w:tc>
        <w:tc>
          <w:tcPr>
            <w:tcW w:w="1560" w:type="dxa"/>
            <w:shd w:val="clear" w:color="auto" w:fill="FFFFFF" w:themeFill="background1"/>
          </w:tcPr>
          <w:p w14:paraId="3136C361"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No</w:t>
            </w:r>
          </w:p>
        </w:tc>
        <w:tc>
          <w:tcPr>
            <w:tcW w:w="1560" w:type="dxa"/>
            <w:shd w:val="clear" w:color="auto" w:fill="FFFFFF" w:themeFill="background1"/>
          </w:tcPr>
          <w:p w14:paraId="1CF22579"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No</w:t>
            </w:r>
          </w:p>
        </w:tc>
      </w:tr>
      <w:tr w:rsidR="0086321C" w:rsidRPr="00CA61FE" w14:paraId="748B5099" w14:textId="77777777" w:rsidTr="00CA61FE">
        <w:trPr>
          <w:cantSplit/>
          <w:trHeight w:val="571"/>
        </w:trPr>
        <w:tc>
          <w:tcPr>
            <w:tcW w:w="1560" w:type="dxa"/>
            <w:shd w:val="clear" w:color="auto" w:fill="FFFFFF" w:themeFill="background1"/>
          </w:tcPr>
          <w:p w14:paraId="282D2AA5"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Pathway score</w:t>
            </w:r>
          </w:p>
        </w:tc>
        <w:tc>
          <w:tcPr>
            <w:tcW w:w="1560" w:type="dxa"/>
            <w:shd w:val="clear" w:color="auto" w:fill="FFFFFF" w:themeFill="background1"/>
          </w:tcPr>
          <w:p w14:paraId="67C9D63A"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Fixed biological</w:t>
            </w:r>
          </w:p>
        </w:tc>
        <w:tc>
          <w:tcPr>
            <w:tcW w:w="1560" w:type="dxa"/>
            <w:shd w:val="clear" w:color="auto" w:fill="FFFFFF" w:themeFill="background1"/>
          </w:tcPr>
          <w:p w14:paraId="452C6A8D"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c>
          <w:tcPr>
            <w:tcW w:w="1560" w:type="dxa"/>
            <w:shd w:val="clear" w:color="auto" w:fill="FFFFFF" w:themeFill="background1"/>
          </w:tcPr>
          <w:p w14:paraId="54008A40"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No scalar</w:t>
            </w:r>
          </w:p>
        </w:tc>
        <w:tc>
          <w:tcPr>
            <w:tcW w:w="1560" w:type="dxa"/>
            <w:shd w:val="clear" w:color="auto" w:fill="FFFFFF" w:themeFill="background1"/>
          </w:tcPr>
          <w:p w14:paraId="33C489B9"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c>
          <w:tcPr>
            <w:tcW w:w="1560" w:type="dxa"/>
            <w:shd w:val="clear" w:color="auto" w:fill="FFFFFF" w:themeFill="background1"/>
          </w:tcPr>
          <w:p w14:paraId="15E45B32" w14:textId="77777777" w:rsidR="0086321C" w:rsidRPr="00CA61FE" w:rsidRDefault="001F255F">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Depends on</w:t>
            </w:r>
          </w:p>
        </w:tc>
      </w:tr>
      <w:tr w:rsidR="0086321C" w:rsidRPr="00CA61FE" w14:paraId="34C03A63" w14:textId="77777777" w:rsidTr="00CA61FE">
        <w:trPr>
          <w:cantSplit/>
          <w:trHeight w:val="575"/>
        </w:trPr>
        <w:tc>
          <w:tcPr>
            <w:tcW w:w="1560" w:type="dxa"/>
            <w:shd w:val="clear" w:color="auto" w:fill="FFFFFF" w:themeFill="background1"/>
          </w:tcPr>
          <w:p w14:paraId="1F9FE9B5"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b/>
                <w:color w:val="000000" w:themeColor="text1"/>
              </w:rPr>
              <w:t>CSC/TCSI</w:t>
            </w:r>
          </w:p>
        </w:tc>
        <w:tc>
          <w:tcPr>
            <w:tcW w:w="1560" w:type="dxa"/>
            <w:shd w:val="clear" w:color="auto" w:fill="FFFFFF" w:themeFill="background1"/>
          </w:tcPr>
          <w:p w14:paraId="54D57C6D"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Fixed biological</w:t>
            </w:r>
          </w:p>
        </w:tc>
        <w:tc>
          <w:tcPr>
            <w:tcW w:w="1560" w:type="dxa"/>
            <w:shd w:val="clear" w:color="auto" w:fill="FFFFFF" w:themeFill="background1"/>
          </w:tcPr>
          <w:p w14:paraId="1D1339DE"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c>
          <w:tcPr>
            <w:tcW w:w="1560" w:type="dxa"/>
            <w:shd w:val="clear" w:color="auto" w:fill="FFFFFF" w:themeFill="background1"/>
          </w:tcPr>
          <w:p w14:paraId="059FAC14"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c>
          <w:tcPr>
            <w:tcW w:w="1560" w:type="dxa"/>
            <w:shd w:val="clear" w:color="auto" w:fill="FFFFFF" w:themeFill="background1"/>
          </w:tcPr>
          <w:p w14:paraId="5999381B" w14:textId="77777777" w:rsidR="0086321C" w:rsidRPr="00CA61FE" w:rsidRDefault="00000000">
            <w:pPr>
              <w:spacing w:after="0" w:line="259" w:lineRule="auto"/>
              <w:ind w:left="1"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c>
          <w:tcPr>
            <w:tcW w:w="1560" w:type="dxa"/>
            <w:shd w:val="clear" w:color="auto" w:fill="FFFFFF" w:themeFill="background1"/>
          </w:tcPr>
          <w:p w14:paraId="660A5087" w14:textId="77777777" w:rsidR="0086321C" w:rsidRPr="00CA61FE" w:rsidRDefault="00000000">
            <w:pPr>
              <w:spacing w:after="0" w:line="259" w:lineRule="auto"/>
              <w:ind w:left="0" w:firstLine="0"/>
              <w:jc w:val="left"/>
              <w:rPr>
                <w:rFonts w:ascii="Times New Roman" w:hAnsi="Times New Roman" w:cs="Times New Roman"/>
                <w:color w:val="000000" w:themeColor="text1"/>
              </w:rPr>
            </w:pPr>
            <w:r>
              <w:rPr>
                <w:rFonts w:ascii="Times New Roman" w:hAnsi="Times New Roman" w:cs="Times New Roman"/>
                <w:color w:val="000000" w:themeColor="text1"/>
              </w:rPr>
              <w:t>Yes</w:t>
            </w:r>
          </w:p>
        </w:tc>
      </w:tr>
    </w:tbl>
    <w:p w14:paraId="4D8CBEA8" w14:textId="77777777" w:rsidR="0086321C" w:rsidRPr="00CA61FE" w:rsidRDefault="00000000">
      <w:pPr>
        <w:spacing w:after="799"/>
        <w:ind w:left="-5"/>
        <w:rPr>
          <w:rFonts w:ascii="Times New Roman" w:hAnsi="Times New Roman" w:cs="Times New Roman"/>
          <w:color w:val="000000" w:themeColor="text1"/>
        </w:rPr>
      </w:pPr>
      <w:r>
        <w:rPr>
          <w:rFonts w:ascii="Times New Roman" w:hAnsi="Times New Roman" w:cs="Times New Roman"/>
          <w:color w:val="000000" w:themeColor="text1"/>
        </w:rPr>
        <w:t>Table 2. Comparison of CSC/TCSI with existing coordinate representations across five mathematical properties.</w:t>
      </w:r>
    </w:p>
    <w:p w14:paraId="2B7B12F1" w14:textId="77777777" w:rsidR="0086321C" w:rsidRPr="00CA61FE" w:rsidRDefault="00000000" w:rsidP="00321389">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Implementation Requirements</w:t>
      </w:r>
    </w:p>
    <w:p w14:paraId="2B926E36" w14:textId="77777777" w:rsidR="0086321C" w:rsidRPr="00CA61FE" w:rsidRDefault="00000000">
      <w:pPr>
        <w:ind w:left="-5"/>
        <w:rPr>
          <w:rFonts w:ascii="Times New Roman" w:hAnsi="Times New Roman" w:cs="Times New Roman"/>
          <w:color w:val="000000" w:themeColor="text1"/>
        </w:rPr>
      </w:pPr>
      <w:r>
        <w:rPr>
          <w:rFonts w:ascii="Times New Roman" w:hAnsi="Times New Roman" w:cs="Times New Roman"/>
          <w:color w:val="000000" w:themeColor="text1"/>
        </w:rPr>
        <w:t xml:space="preserve">Deployment of TCSI requires locked implementation components. The frozen reference cohort R should be constructed from a pan-cancer compatible RNA-seq resource (e.g., TCGA pan-cancer) using only a priori inclusion criteria. A reference cohort of n_R ≥ 200 samples is sufficient: bootstrap resampling demonstrated near-perfect rank stability (Spearman ρ = 0.9996). Cross-platform deployment requires monotonic preprocessing applied prior to pathway scoring. </w:t>
      </w:r>
    </w:p>
    <w:p w14:paraId="2B9ACC1C"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Reliable pathway scoring requires that at least 75% of each canonical pathway gene set be observed. Single-sample uncertainty can be propagated analytically via Corollary 4.1.</w:t>
      </w:r>
    </w:p>
    <w:p w14:paraId="6C951461" w14:textId="77777777" w:rsidR="004631A7" w:rsidRPr="00CA61FE" w:rsidRDefault="00000000">
      <w:pPr>
        <w:rPr>
          <w:rFonts w:ascii="Times New Roman" w:hAnsi="Times New Roman" w:cs="Times New Roman"/>
          <w:color w:val="000000" w:themeColor="text1"/>
        </w:rPr>
      </w:pPr>
      <w:r>
        <w:rPr>
          <w:rFonts w:ascii="Times New Roman" w:hAnsi="Times New Roman" w:cs="Times New Roman"/>
          <w:b/>
          <w:color w:val="000000" w:themeColor="text1"/>
        </w:rPr>
        <w:lastRenderedPageBreak/>
        <w:t xml:space="preserve">Reference-cohort selection. </w:t>
      </w:r>
      <w:r>
        <w:rPr>
          <w:rFonts w:ascii="Times New Roman" w:hAnsi="Times New Roman" w:cs="Times New Roman"/>
          <w:color w:val="000000" w:themeColor="text1"/>
        </w:rPr>
        <w:t>The choice of reference cohort R involves trade-offs not fully resolved by the mathematical framework. A pan-cancer diverse reference cohort (e.g., TCGA pan-cancer RNA-seq across 33 tumor types) provides broad coverage of the biological range of stress-pathway activity and ensures that reference parameters μ_R and σ_R span a wide dynamic range. This choice is appropriate when TCSI is intended for cross-cancer comparisons or when the target cohort is heterogeneous in tumor type. Conversely, a disease-matched reference cohort (e.g., all GBM samples from TCGA) calibrates the stress coordinate relative to the range observed within a specific disease context, making within-disease comparisons more sensitive but cross-disease comparisons less meaningful. The inclusion of normal tissue in R is not recommended in the canonical construction: stress-pathway activity in normal tissue may cluster at a qualitatively different region of stress-coordinate space than tumor tissue, potentially placing a bimodal structure into the reference distribution that would distort the standardized coordinates. Normal-tissue samples may, however, be useful as an external reference class for biological plausibility checks. Regardless of choice, the reference cohort must be specified entirely using a priori biological and assay-compatibility criteria, without consulting target-cohort outcomes. The choice of R must be reported explicitly and treated as part of the versioned deployment specification F; different reference cohorts define different versions of TCSI.</w:t>
      </w:r>
    </w:p>
    <w:p w14:paraId="2E3BAEA5" w14:textId="77777777" w:rsidR="0086321C" w:rsidRPr="00CA61FE" w:rsidRDefault="00000000" w:rsidP="00321389">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Decision-Support Translation</w:t>
      </w:r>
    </w:p>
    <w:p w14:paraId="42A7CEE0"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 xml:space="preserve">TCSI is designed as an interpretable molecular coordinate that may eventually be displayed within human-in-the-loop decision-support systems, providing a structured summary of transcriptomic stress-axis activity while leaving interpretation and decision-making to </w:t>
      </w:r>
      <w:r w:rsidR="00321389">
        <w:rPr>
          <w:rFonts w:ascii="Times New Roman" w:hAnsi="Times New Roman" w:cs="Times New Roman"/>
          <w:color w:val="000000" w:themeColor="text1"/>
        </w:rPr>
        <w:t>be qualified</w:t>
      </w:r>
      <w:r>
        <w:rPr>
          <w:rFonts w:ascii="Times New Roman" w:hAnsi="Times New Roman" w:cs="Times New Roman"/>
          <w:color w:val="000000" w:themeColor="text1"/>
        </w:rPr>
        <w:t xml:space="preserve"> human users. It is not presented as an autonomous diagnostic, prognostic, or treatment-selection algorithm. The per-axis decomposition TCSI = Σ_k c_{ik} enables direct visualization of each pathway's contribution. Whether such displays improve clinical reasoning is an empirical question requiring dedicated prospective evaluation.</w:t>
      </w:r>
    </w:p>
    <w:p w14:paraId="3AB84689" w14:textId="77777777" w:rsidR="0086321C" w:rsidRPr="00CA61FE" w:rsidRDefault="00000000" w:rsidP="00321389">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Limitations</w:t>
      </w:r>
    </w:p>
    <w:p w14:paraId="4A76C378"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Several limitations bound the scope of the framework. Reference dependence: TCSI values are interpretable relative to the frozen reference distribution, not as absolute biological constants. Assay compatibility: the locked harmonization map H must be applied consistently. Pathway-set dependence: each version must lock and report exact pathway definitions. Equal-weight assumption: heterogeneous, weak, zero, or negative loadings can reduce alignment with the dominant latent stress axis (Simulation 2, scenario d: r ≈ 0.87). Additive combination: interactive or synergistic relationships among stress programs are not captured. Spatial bandwidth: h must be reported explicitly and evaluated. No clinical utility is claimed: disease-specific validation is reserved for later manuscripts.</w:t>
      </w:r>
    </w:p>
    <w:p w14:paraId="4935BA4B" w14:textId="77777777" w:rsidR="004631A7" w:rsidRPr="00CA61FE" w:rsidRDefault="00000000">
      <w:pPr>
        <w:rPr>
          <w:rFonts w:ascii="Times New Roman" w:hAnsi="Times New Roman" w:cs="Times New Roman"/>
          <w:color w:val="000000" w:themeColor="text1"/>
        </w:rPr>
      </w:pPr>
      <w:r>
        <w:rPr>
          <w:rFonts w:ascii="Times New Roman" w:hAnsi="Times New Roman" w:cs="Times New Roman"/>
          <w:color w:val="000000" w:themeColor="text1"/>
        </w:rPr>
        <w:t>Preprocessing specification dependence: while H is now enumerated in Section 2.0, any deviation from the locked steps</w:t>
      </w:r>
      <w:r w:rsidR="001D16F7">
        <w:rPr>
          <w:rFonts w:ascii="Times New Roman" w:hAnsi="Times New Roman" w:cs="Times New Roman"/>
          <w:color w:val="000000" w:themeColor="text1"/>
        </w:rPr>
        <w:t>,</w:t>
      </w:r>
      <w:r>
        <w:rPr>
          <w:rFonts w:ascii="Times New Roman" w:hAnsi="Times New Roman" w:cs="Times New Roman"/>
          <w:color w:val="000000" w:themeColor="text1"/>
        </w:rPr>
        <w:t xml:space="preserve"> including use of a different HGNC release or duplicate-handling rule</w:t>
      </w:r>
      <w:r w:rsidR="001D16F7">
        <w:rPr>
          <w:rFonts w:ascii="Times New Roman" w:hAnsi="Times New Roman" w:cs="Times New Roman"/>
          <w:color w:val="000000" w:themeColor="text1"/>
        </w:rPr>
        <w:t>,</w:t>
      </w:r>
      <w:r>
        <w:rPr>
          <w:rFonts w:ascii="Times New Roman" w:hAnsi="Times New Roman" w:cs="Times New Roman"/>
          <w:color w:val="000000" w:themeColor="text1"/>
        </w:rPr>
        <w:t xml:space="preserve"> defines a new version. Reference cohort choice: the selection of a pan-cancer versus disease-matched reference has interpretive consequences discussed in Section 7.2 above. These limitations do not undermine the theoretical framework but define its scope of application.</w:t>
      </w:r>
    </w:p>
    <w:p w14:paraId="2D38B812" w14:textId="77777777" w:rsidR="0086321C" w:rsidRPr="00CA61FE" w:rsidRDefault="00000000" w:rsidP="00321389">
      <w:pPr>
        <w:pStyle w:val="Heading2"/>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lastRenderedPageBreak/>
        <w:t>Relationship to Existing Methods</w:t>
      </w:r>
    </w:p>
    <w:p w14:paraId="73FA68CC" w14:textId="77777777" w:rsidR="0086321C" w:rsidRPr="00CA61FE" w:rsidRDefault="00000000">
      <w:pPr>
        <w:spacing w:after="282"/>
        <w:ind w:left="-5"/>
        <w:rPr>
          <w:rFonts w:ascii="Times New Roman" w:hAnsi="Times New Roman" w:cs="Times New Roman"/>
          <w:color w:val="000000" w:themeColor="text1"/>
        </w:rPr>
      </w:pPr>
      <w:r>
        <w:rPr>
          <w:rFonts w:ascii="Times New Roman" w:hAnsi="Times New Roman" w:cs="Times New Roman"/>
          <w:color w:val="000000" w:themeColor="text1"/>
        </w:rPr>
        <w:t>Elements of the TCSI framework have precedent, including single-sample pathway scoring, reference-based calibration, and tumor stress biology, but the novelty is the formal integration into a unified, closed-form operator with explicitly stated mathematical properties. CSC/TCSI combines single-sample pathway scoring, frozen reference standardization, biologically anchored stress axes, equal-weight canonical aggregation, exact per-axis decomposability, spectral justification under compound symmetry, and spatial extension. Unlike unsupervised latent factor models, TCSI has fixed axes and does not require cohort-specific refitting. Unlike supervised signatures, TCSI is not trained on outcome labels. Unlike generic pathway-score panels, TCSI specifies a reference-standardized scalar operator with mathematical properties and a versioned deployment specification.</w:t>
      </w:r>
    </w:p>
    <w:p w14:paraId="68934747" w14:textId="77777777" w:rsidR="0086321C" w:rsidRPr="00CF5BAF" w:rsidRDefault="00000000" w:rsidP="00CF5BAF">
      <w:pPr>
        <w:pStyle w:val="Heading2"/>
        <w:numPr>
          <w:ilvl w:val="0"/>
          <w:numId w:val="0"/>
        </w:numPr>
        <w:ind w:left="10" w:hanging="10"/>
        <w:rPr>
          <w:rFonts w:ascii="Times New Roman" w:hAnsi="Times New Roman" w:cs="Times New Roman"/>
          <w:color w:val="000000" w:themeColor="text1"/>
          <w:sz w:val="24"/>
          <w:highlight w:val="yellow"/>
        </w:rPr>
      </w:pPr>
      <w:r w:rsidRPr="00CF5BAF">
        <w:rPr>
          <w:rFonts w:ascii="Times New Roman" w:hAnsi="Times New Roman" w:cs="Times New Roman"/>
          <w:color w:val="000000" w:themeColor="text1"/>
          <w:sz w:val="24"/>
          <w:highlight w:val="yellow"/>
        </w:rPr>
        <w:t>Future Work</w:t>
      </w:r>
      <w:r w:rsidR="00290545" w:rsidRPr="00CF5BAF">
        <w:rPr>
          <w:rFonts w:ascii="Times New Roman" w:hAnsi="Times New Roman" w:cs="Times New Roman"/>
          <w:color w:val="000000" w:themeColor="text1"/>
          <w:sz w:val="24"/>
          <w:highlight w:val="yellow"/>
        </w:rPr>
        <w:t xml:space="preserve"> </w:t>
      </w:r>
      <w:r w:rsidR="003704F5" w:rsidRPr="00CF5BAF">
        <w:rPr>
          <w:rFonts w:ascii="Times New Roman" w:hAnsi="Times New Roman" w:cs="Times New Roman"/>
          <w:color w:val="000000" w:themeColor="text1"/>
          <w:sz w:val="24"/>
          <w:highlight w:val="yellow"/>
        </w:rPr>
        <w:t xml:space="preserve">(potential and would probably change the future works to something more focused on the overall paper) </w:t>
      </w:r>
    </w:p>
    <w:p w14:paraId="752261A8" w14:textId="77777777" w:rsidR="0086321C" w:rsidRPr="00290545" w:rsidRDefault="00000000">
      <w:pPr>
        <w:spacing w:after="441"/>
        <w:ind w:left="-5"/>
        <w:rPr>
          <w:rFonts w:ascii="Times New Roman" w:hAnsi="Times New Roman" w:cs="Times New Roman"/>
          <w:color w:val="000000" w:themeColor="text1"/>
          <w:highlight w:val="yellow"/>
        </w:rPr>
      </w:pPr>
      <w:r w:rsidRPr="00290545">
        <w:rPr>
          <w:rFonts w:ascii="Times New Roman" w:hAnsi="Times New Roman" w:cs="Times New Roman"/>
          <w:color w:val="000000" w:themeColor="text1"/>
          <w:highlight w:val="yellow"/>
        </w:rPr>
        <w:t>Paper 2 will evaluate the locked specification as a disease-specific biomarker in glioblastoma, using independent validation cohorts and potentially including Cox regression, Kaplan–Meier analysis, calibration assessment, and comparison against established prognostic variables. Paper 3 will extend the framework toward spatial and radiogenomic integration, including spatial transcriptomic validation of TCSI fields, comparison of stress-boundary magnitude with histologic or imaging features, and alignment of molecular stress coordinates with radiologic phenotypes. Additional extensions may include alternative weighting schemes learned in strictly external training data, nonlinear or interaction-aware stress operators, platform-specific calibration transfer functions, and prospective human-factors evaluation of TCSI-based displays.</w:t>
      </w:r>
    </w:p>
    <w:p w14:paraId="43095554" w14:textId="77777777" w:rsidR="004631A7" w:rsidRPr="00CA61FE" w:rsidRDefault="00000000">
      <w:pPr>
        <w:spacing w:after="441"/>
        <w:ind w:left="-5"/>
        <w:rPr>
          <w:rFonts w:ascii="Times New Roman" w:hAnsi="Times New Roman" w:cs="Times New Roman"/>
          <w:color w:val="000000" w:themeColor="text1"/>
        </w:rPr>
      </w:pPr>
      <w:r w:rsidRPr="000117EA">
        <w:rPr>
          <w:rFonts w:ascii="Times New Roman" w:hAnsi="Times New Roman" w:cs="Times New Roman"/>
          <w:color w:val="000000" w:themeColor="text1"/>
        </w:rPr>
        <w:t xml:space="preserve">The topological extensions introduced in Sections 3.7, 5.4, and 5.5 open several empirical research directions. Computation of persistence diagrams from realized TCSI stress-coordinate clouds in pan-cancer or disease-specific cohorts may reveal persistent stress phenotype clusters, topologically robust groupings invisible to the scalar TCSI projection, and identify biologically inaccessible regions of stress-coordinate space. Morse-theoretic analysis of spatial TCSI fields in spatial transcriptomic data may identify critical points, stress peaks, transition saddles, and peritumoral troughs, whose spatial locations can be compared against histological features, contrast-enhancement boundaries, or diffusion-restriction zones on diagnostic imaging. Comparison of persistence diagrams across treatment conditions, disease stages, or patient cohorts may provide a topological signature of stress-phenotype evolution under therapy. These directions bridge the </w:t>
      </w:r>
      <w:r w:rsidRPr="000117EA">
        <w:rPr>
          <w:rFonts w:ascii="Times New Roman" w:hAnsi="Times New Roman" w:cs="Times New Roman"/>
          <w:color w:val="000000" w:themeColor="text1"/>
          <w:highlight w:val="yellow"/>
        </w:rPr>
        <w:t>mathematical framework developed here with future spatial and radiogenomic integration work planned for Paper 3.</w:t>
      </w:r>
    </w:p>
    <w:p w14:paraId="581B558D" w14:textId="77777777" w:rsidR="004631A7" w:rsidRPr="00CA61FE" w:rsidRDefault="00000000" w:rsidP="003704F5">
      <w:pPr>
        <w:ind w:left="6" w:firstLine="0"/>
        <w:rPr>
          <w:rFonts w:ascii="Times New Roman" w:hAnsi="Times New Roman" w:cs="Times New Roman"/>
          <w:color w:val="000000" w:themeColor="text1"/>
        </w:rPr>
      </w:pPr>
      <w:r>
        <w:rPr>
          <w:rFonts w:ascii="Times New Roman" w:hAnsi="Times New Roman" w:cs="Times New Roman"/>
          <w:color w:val="000000" w:themeColor="text1"/>
        </w:rPr>
        <w:t xml:space="preserve">For the spatial extension, the unsmoothed field requires O(K · p log p · L) per tissue section, where L is the number of spatial locations (typically 1,000–10,000 for current Visium assays). The kernel-smoothed field requires O(L²) or O(L · B) operations per tissue section, where B is the number of neighbors within bandwidth h; the latter is preferable for sparse spatial graphs. Gradient </w:t>
      </w:r>
      <w:r>
        <w:rPr>
          <w:rFonts w:ascii="Times New Roman" w:hAnsi="Times New Roman" w:cs="Times New Roman"/>
          <w:color w:val="000000" w:themeColor="text1"/>
        </w:rPr>
        <w:lastRenderedPageBreak/>
        <w:t>computation adds O(L) per section. Persistent homology computation via the Vietoris-Rips filtration on the K-dimensional stress-coordinate cloud has worst-case complexity exponential in K, but for K = 5 and standard TDA libraries (Ripser, Gudhi), computation is tractable for cohorts up to several thousand samples. Exact complexity and runtime benchmarks for TCSI-v1 are available in the reference implementation repository.</w:t>
      </w:r>
    </w:p>
    <w:p w14:paraId="2BADDA7D" w14:textId="77777777" w:rsidR="004631A7" w:rsidRPr="00CA61FE" w:rsidRDefault="00000000">
      <w:pPr>
        <w:rPr>
          <w:rFonts w:ascii="Times New Roman" w:hAnsi="Times New Roman" w:cs="Times New Roman"/>
          <w:color w:val="000000" w:themeColor="text1"/>
        </w:rPr>
      </w:pPr>
      <w:r>
        <w:rPr>
          <w:rFonts w:ascii="Times New Roman" w:hAnsi="Times New Roman" w:cs="Times New Roman"/>
          <w:color w:val="000000" w:themeColor="text1"/>
        </w:rPr>
        <w:t>The computational cost of the TCSI operator scales along four dimensions: the number of genes p in the locked gene universe G, the number of pathway axes K, the number of samples n, and for the spatial extension</w:t>
      </w:r>
      <w:r w:rsidR="001D16F7">
        <w:rPr>
          <w:rFonts w:ascii="Times New Roman" w:hAnsi="Times New Roman" w:cs="Times New Roman"/>
          <w:color w:val="000000" w:themeColor="text1"/>
        </w:rPr>
        <w:t xml:space="preserve">, </w:t>
      </w:r>
      <w:r>
        <w:rPr>
          <w:rFonts w:ascii="Times New Roman" w:hAnsi="Times New Roman" w:cs="Times New Roman"/>
          <w:color w:val="000000" w:themeColor="text1"/>
        </w:rPr>
        <w:t>the number of spatial locations L. Preprocessing and gene-universe restriction operate in O(p) per sample. Pathway scoring via ssGSEA operates in O(p log p) per sample per axis due to within-sample gene ranking, yielding O(K · p log p · n) total cost for a cohort of n samples. Reference standardization is O(K · n) once reference parameters are frozen. Scalar projection is O(K · n). Thus, total cost for bulk transcriptomic TCSI computation is dominated by the ssGSEA step and scales as O(K · p log p · n). For TCSI-v1 with K = 5 and p on the order of 10,000–20,000 genes, this is computationally tractable for cohorts up to tens of thousands of samples on a standard workstation.</w:t>
      </w:r>
    </w:p>
    <w:p w14:paraId="47A3C633" w14:textId="77777777" w:rsidR="004631A7" w:rsidRPr="00CA61FE" w:rsidRDefault="00000000" w:rsidP="001D16F7">
      <w:pPr>
        <w:pStyle w:val="Heading2"/>
        <w:numPr>
          <w:ilvl w:val="0"/>
          <w:numId w:val="0"/>
        </w:numPr>
        <w:ind w:left="10"/>
        <w:rPr>
          <w:rFonts w:ascii="Times New Roman" w:hAnsi="Times New Roman" w:cs="Times New Roman"/>
          <w:color w:val="000000" w:themeColor="text1"/>
        </w:rPr>
      </w:pPr>
      <w:r>
        <w:rPr>
          <w:rFonts w:ascii="Times New Roman" w:hAnsi="Times New Roman" w:cs="Times New Roman"/>
          <w:color w:val="000000" w:themeColor="text1"/>
        </w:rPr>
        <w:t>Computational Complexity and Scalability</w:t>
      </w:r>
    </w:p>
    <w:p w14:paraId="70F775BB" w14:textId="77777777" w:rsidR="0086321C" w:rsidRPr="00CA61FE" w:rsidRDefault="00000000" w:rsidP="00CF5BAF">
      <w:pPr>
        <w:pStyle w:val="Heading1"/>
        <w:numPr>
          <w:ilvl w:val="0"/>
          <w:numId w:val="0"/>
        </w:numPr>
        <w:ind w:left="10" w:hanging="10"/>
        <w:rPr>
          <w:rFonts w:ascii="Times New Roman" w:hAnsi="Times New Roman" w:cs="Times New Roman"/>
          <w:color w:val="000000" w:themeColor="text1"/>
          <w:sz w:val="24"/>
        </w:rPr>
      </w:pPr>
      <w:r>
        <w:rPr>
          <w:rFonts w:ascii="Times New Roman" w:hAnsi="Times New Roman" w:cs="Times New Roman"/>
          <w:color w:val="000000" w:themeColor="text1"/>
          <w:sz w:val="24"/>
        </w:rPr>
        <w:t>Conclusion</w:t>
      </w:r>
    </w:p>
    <w:p w14:paraId="606C73A7"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The Composite Stress Index provides a disease-agnostic theoretical foundation for quantifying coordinated biological stress as a reference-standardized, outcome-independent coordinate deployable in any biological domain where stress-response axes can be specified a priori from established biology.</w:t>
      </w:r>
      <w:r w:rsidR="000B13CD">
        <w:rPr>
          <w:rFonts w:ascii="Times New Roman" w:eastAsia="Times New Roman" w:hAnsi="Times New Roman" w:cs="Times New Roman"/>
          <w:color w:val="000000" w:themeColor="text1"/>
          <w:kern w:val="0"/>
          <w14:ligatures w14:val="none"/>
        </w:rPr>
        <w:t xml:space="preserve"> </w:t>
      </w:r>
      <w:r>
        <w:rPr>
          <w:rFonts w:ascii="Times New Roman" w:eastAsia="Times New Roman" w:hAnsi="Times New Roman" w:cs="Times New Roman"/>
          <w:color w:val="000000" w:themeColor="text1"/>
          <w:kern w:val="0"/>
          <w:lang w:bidi="ar-SA"/>
          <w14:ligatures w14:val="none"/>
        </w:rPr>
        <w:t xml:space="preserve">Given a compatible molecular profile and a locked TCSI specification </w:t>
      </w:r>
      <m:oMath>
        <m:r>
          <w:rPr>
            <w:rFonts w:ascii="Cambria Math" w:eastAsia="Times New Roman" w:hAnsi="Cambria Math" w:cs="Times New Roman"/>
            <w:color w:val="000000" w:themeColor="text1"/>
            <w:kern w:val="0"/>
            <w:lang w:bidi="ar-SA"/>
            <w14:ligatures w14:val="none"/>
          </w:rPr>
          <m:t>F</m:t>
        </m:r>
      </m:oMath>
      <w:r>
        <w:rPr>
          <w:rFonts w:ascii="Times New Roman" w:eastAsia="Times New Roman" w:hAnsi="Times New Roman" w:cs="Times New Roman"/>
          <w:color w:val="000000" w:themeColor="text1"/>
          <w:kern w:val="0"/>
          <w:lang w:bidi="ar-SA"/>
          <w14:ligatures w14:val="none"/>
        </w:rPr>
        <w:t xml:space="preserve">, the operator returns a single reproducible stress coordinate calibrated to a frozen reference distribution. This is the central thesis of the present work. Formally, TCSI is defined as a closed-form linear functional on a reference-standardized </w:t>
      </w:r>
      <m:oMath>
        <m:r>
          <w:rPr>
            <w:rFonts w:ascii="Cambria Math" w:eastAsia="Times New Roman" w:hAnsi="Cambria Math" w:cs="Times New Roman"/>
            <w:color w:val="000000" w:themeColor="text1"/>
            <w:kern w:val="0"/>
            <w:lang w:bidi="ar-SA"/>
            <w14:ligatures w14:val="none"/>
          </w:rPr>
          <m:t>K</m:t>
        </m:r>
      </m:oMath>
      <w:r>
        <w:rPr>
          <w:rFonts w:ascii="Times New Roman" w:eastAsia="Times New Roman" w:hAnsi="Times New Roman" w:cs="Times New Roman"/>
          <w:color w:val="000000" w:themeColor="text1"/>
          <w:kern w:val="0"/>
          <w:lang w:bidi="ar-SA"/>
          <w14:ligatures w14:val="none"/>
        </w:rPr>
        <w:t>-dimensional pathway-score vector, using pre-specified equal weights, frozen reference parameters, and a versioned deployment specification:</w:t>
      </w:r>
    </w:p>
    <w:p w14:paraId="3B9DBD16"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TCSI</m:t>
          </m:r>
          <m:r>
            <w:rPr>
              <w:rFonts w:ascii="Cambria Math" w:eastAsia="Times New Roman" w:hAnsi="Cambria Math" w:cs="Times New Roman"/>
              <w:color w:val="000000" w:themeColor="text1"/>
              <w:kern w:val="0"/>
              <w:lang w:bidi="ar-SA"/>
              <w14:ligatures w14:val="none"/>
            </w:rPr>
            <m:t>⁡</m:t>
          </m:r>
          <m:d>
            <m:dPr>
              <m:sepChr m:val=";"/>
              <m:ctrlPr>
                <w:rPr>
                  <w:rFonts w:ascii="Cambria Math" w:eastAsia="Times New Roman" w:hAnsi="Cambria Math" w:cs="Times New Roman"/>
                  <w:color w:val="000000" w:themeColor="text1"/>
                  <w:kern w:val="0"/>
                  <w:lang w:bidi="ar-SA"/>
                  <w14:ligatures w14:val="none"/>
                </w:rPr>
              </m:ctrlPr>
            </m:dPr>
            <m:e>
              <m:r>
                <w:rPr>
                  <w:rFonts w:ascii="Cambria Math" w:eastAsia="Times New Roman" w:hAnsi="Cambria Math" w:cs="Times New Roman"/>
                  <w:color w:val="000000" w:themeColor="text1"/>
                  <w:kern w:val="0"/>
                  <w:lang w:bidi="ar-SA"/>
                  <w14:ligatures w14:val="none"/>
                </w:rPr>
                <m:t>x</m:t>
              </m:r>
            </m:e>
            <m:e>
              <m:r>
                <w:rPr>
                  <w:rFonts w:ascii="Cambria Math" w:eastAsia="Times New Roman" w:hAnsi="Cambria Math" w:cs="Times New Roman"/>
                  <w:color w:val="000000" w:themeColor="text1"/>
                  <w:kern w:val="0"/>
                  <w:lang w:bidi="ar-SA"/>
                  <w14:ligatures w14:val="none"/>
                </w:rPr>
                <m:t>F</m:t>
              </m:r>
            </m:e>
          </m:d>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nary>
            <m:naryPr>
              <m:chr m:val="∑"/>
              <m:limLoc m:val="undOvr"/>
              <m:grow m:val="1"/>
              <m:ctrlPr>
                <w:rPr>
                  <w:rFonts w:ascii="Cambria Math" w:eastAsia="Times New Roman" w:hAnsi="Cambria Math" w:cs="Times New Roman"/>
                  <w:color w:val="000000" w:themeColor="text1"/>
                  <w:kern w:val="0"/>
                  <w:lang w:bidi="ar-SA"/>
                  <w14:ligatures w14:val="none"/>
                </w:rPr>
              </m:ctrlPr>
            </m:naryPr>
            <m:sub>
              <m:r>
                <w:rPr>
                  <w:rFonts w:ascii="Cambria Math" w:eastAsia="Times New Roman" w:hAnsi="Cambria Math" w:cs="Times New Roman"/>
                  <w:color w:val="000000" w:themeColor="text1"/>
                  <w:kern w:val="0"/>
                  <w:lang w:bidi="ar-SA"/>
                  <w14:ligatures w14:val="none"/>
                </w:rPr>
                <m:t>k=1</m:t>
              </m:r>
            </m:sub>
            <m:sup>
              <m:r>
                <w:rPr>
                  <w:rFonts w:ascii="Cambria Math" w:eastAsia="Times New Roman" w:hAnsi="Cambria Math" w:cs="Times New Roman"/>
                  <w:color w:val="000000" w:themeColor="text1"/>
                  <w:kern w:val="0"/>
                  <w:lang w:bidi="ar-SA"/>
                  <w14:ligatures w14:val="none"/>
                </w:rPr>
                <m:t>K</m:t>
              </m:r>
            </m:sup>
            <m:e>
              <m:f>
                <m:fPr>
                  <m:ctrlPr>
                    <w:rPr>
                      <w:rFonts w:ascii="Cambria Math" w:eastAsia="Times New Roman" w:hAnsi="Cambria Math" w:cs="Times New Roman"/>
                      <w:color w:val="000000" w:themeColor="text1"/>
                      <w:kern w:val="0"/>
                      <w:lang w:bidi="ar-SA"/>
                      <w14:ligatures w14:val="none"/>
                    </w:rPr>
                  </m:ctrlPr>
                </m:fPr>
                <m:num>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z</m:t>
                      </m:r>
                    </m:e>
                    <m:sub>
                      <m:r>
                        <w:rPr>
                          <w:rFonts w:ascii="Cambria Math" w:eastAsia="Times New Roman" w:hAnsi="Cambria Math" w:cs="Times New Roman"/>
                          <w:color w:val="000000" w:themeColor="text1"/>
                          <w:kern w:val="0"/>
                          <w:lang w:bidi="ar-SA"/>
                          <w14:ligatures w14:val="none"/>
                        </w:rPr>
                        <m:t>k</m:t>
                      </m:r>
                    </m:sub>
                  </m:sSub>
                  <m:r>
                    <w:rPr>
                      <w:rFonts w:ascii="Cambria Math" w:eastAsia="Times New Roman" w:hAnsi="Cambria Math" w:cs="Times New Roman"/>
                      <w:color w:val="000000" w:themeColor="text1"/>
                      <w:kern w:val="0"/>
                      <w:lang w:bidi="ar-SA"/>
                      <w14:ligatures w14:val="none"/>
                    </w:rPr>
                    <m:t>-</m:t>
                  </m:r>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μ</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num>
                <m:den>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k</m:t>
                      </m:r>
                    </m:sub>
                    <m:sup>
                      <m:r>
                        <w:rPr>
                          <w:rFonts w:ascii="Cambria Math" w:eastAsia="Times New Roman" w:hAnsi="Cambria Math" w:cs="Times New Roman"/>
                          <w:color w:val="000000" w:themeColor="text1"/>
                          <w:kern w:val="0"/>
                          <w:lang w:bidi="ar-SA"/>
                          <w14:ligatures w14:val="none"/>
                        </w:rPr>
                        <m:t>R</m:t>
                      </m:r>
                    </m:sup>
                  </m:sSubSup>
                </m:den>
              </m:f>
            </m:e>
          </m:nary>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2D6BD2A7"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This construction gives TCSI several useful formal properties. It is computable for a single sample, independent of target-cohort composition, outcome-independent in construction, and directly comparable across compatible datasets processed under the same locked specification. Under compound symmetry, equal-weight TCSI is proportional to the first principal-component score, linking the index to the dominant shared axis of pathway-level stress variation. Under a single-factor stress model with independent residuals,</w:t>
      </w:r>
    </w:p>
    <w:p w14:paraId="1C7D2C75"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Var</m:t>
          </m:r>
          <m:r>
            <w:rPr>
              <w:rFonts w:ascii="Cambria Math" w:eastAsia="Times New Roman" w:hAnsi="Cambria Math" w:cs="Times New Roman"/>
              <w:color w:val="000000" w:themeColor="text1"/>
              <w:kern w:val="0"/>
              <w:lang w:bidi="ar-SA"/>
              <w14:ligatures w14:val="none"/>
            </w:rPr>
            <m:t>⁡</m:t>
          </m:r>
          <m:d>
            <m:dPr>
              <m:ctrlPr>
                <w:rPr>
                  <w:rFonts w:ascii="Cambria Math" w:eastAsia="Times New Roman" w:hAnsi="Cambria Math" w:cs="Times New Roman"/>
                  <w:color w:val="000000" w:themeColor="text1"/>
                  <w:kern w:val="0"/>
                  <w:lang w:bidi="ar-SA"/>
                  <w14:ligatures w14:val="none"/>
                </w:rPr>
              </m:ctrlPr>
            </m:dPr>
            <m:e>
              <m:func>
                <m:funcPr>
                  <m:ctrlPr>
                    <w:rPr>
                      <w:rFonts w:ascii="Cambria Math" w:eastAsia="Times New Roman" w:hAnsi="Cambria Math" w:cs="Times New Roman"/>
                      <w:color w:val="000000" w:themeColor="text1"/>
                      <w:kern w:val="0"/>
                      <w:lang w:bidi="ar-SA"/>
                      <w14:ligatures w14:val="none"/>
                    </w:rPr>
                  </m:ctrlPr>
                </m:funcPr>
                <m:fName>
                  <m:r>
                    <m:rPr>
                      <m:sty m:val="p"/>
                    </m:rPr>
                    <w:rPr>
                      <w:rFonts w:ascii="Cambria Math" w:eastAsia="Times New Roman" w:hAnsi="Cambria Math" w:cs="Times New Roman"/>
                      <w:color w:val="000000" w:themeColor="text1"/>
                      <w:kern w:val="0"/>
                      <w:lang w:bidi="ar-SA"/>
                      <w14:ligatures w14:val="none"/>
                    </w:rPr>
                    <m:t>TCSI</m:t>
                  </m:r>
                </m:fName>
                <m:e>
                  <m:r>
                    <w:rPr>
                      <w:rFonts w:ascii="Cambria Math" w:eastAsia="Times New Roman" w:hAnsi="Cambria Math" w:cs="Times New Roman"/>
                      <w:color w:val="000000" w:themeColor="text1"/>
                      <w:kern w:val="0"/>
                      <w:lang w:bidi="ar-SA"/>
                      <w14:ligatures w14:val="none"/>
                    </w:rPr>
                    <m:t>∣</m:t>
                  </m:r>
                </m:e>
              </m:func>
              <m:r>
                <w:rPr>
                  <w:rFonts w:ascii="Cambria Math" w:eastAsia="Times New Roman" w:hAnsi="Cambria Math" w:cs="Times New Roman"/>
                  <w:color w:val="000000" w:themeColor="text1"/>
                  <w:kern w:val="0"/>
                  <w:lang w:bidi="ar-SA"/>
                  <w14:ligatures w14:val="none"/>
                </w:rPr>
                <m:t>θ</m:t>
              </m:r>
            </m:e>
          </m:d>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ε</m:t>
                  </m:r>
                </m:sub>
                <m:sup>
                  <m:r>
                    <w:rPr>
                      <w:rFonts w:ascii="Cambria Math" w:eastAsia="Times New Roman" w:hAnsi="Cambria Math" w:cs="Times New Roman"/>
                      <w:color w:val="000000" w:themeColor="text1"/>
                      <w:kern w:val="0"/>
                      <w:lang w:bidi="ar-SA"/>
                      <w14:ligatures w14:val="none"/>
                    </w:rPr>
                    <m:t>2</m:t>
                  </m:r>
                </m:sup>
              </m:sSubSup>
            </m:num>
            <m:den>
              <m:r>
                <w:rPr>
                  <w:rFonts w:ascii="Cambria Math" w:eastAsia="Times New Roman" w:hAnsi="Cambria Math" w:cs="Times New Roman"/>
                  <w:color w:val="000000" w:themeColor="text1"/>
                  <w:kern w:val="0"/>
                  <w:lang w:bidi="ar-SA"/>
                  <w14:ligatures w14:val="none"/>
                </w:rPr>
                <m:t>K</m:t>
              </m:r>
            </m:den>
          </m:f>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091F4B8A"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lastRenderedPageBreak/>
        <w:t xml:space="preserve">Thus, when </w:t>
      </w:r>
      <m:oMath>
        <m:r>
          <w:rPr>
            <w:rFonts w:ascii="Cambria Math" w:eastAsia="Times New Roman" w:hAnsi="Cambria Math" w:cs="Times New Roman"/>
            <w:color w:val="000000" w:themeColor="text1"/>
            <w:kern w:val="0"/>
            <w:lang w:bidi="ar-SA"/>
            <w14:ligatures w14:val="none"/>
          </w:rPr>
          <m:t>K=5</m:t>
        </m:r>
      </m:oMath>
      <w:r>
        <w:rPr>
          <w:rFonts w:ascii="Times New Roman" w:eastAsia="Times New Roman" w:hAnsi="Times New Roman" w:cs="Times New Roman"/>
          <w:color w:val="000000" w:themeColor="text1"/>
          <w:kern w:val="0"/>
          <w:lang w:bidi="ar-SA"/>
          <w14:ligatures w14:val="none"/>
        </w:rPr>
        <w:t xml:space="preserve">, averaging reduces independent residual variance to </w:t>
      </w:r>
      <m:oMath>
        <m:r>
          <w:rPr>
            <w:rFonts w:ascii="Cambria Math" w:eastAsia="Times New Roman" w:hAnsi="Cambria Math" w:cs="Times New Roman"/>
            <w:color w:val="000000" w:themeColor="text1"/>
            <w:kern w:val="0"/>
            <w:lang w:bidi="ar-SA"/>
            <w14:ligatures w14:val="none"/>
          </w:rPr>
          <m:t>20%</m:t>
        </m:r>
      </m:oMath>
      <w:r>
        <w:rPr>
          <w:rFonts w:ascii="Times New Roman" w:eastAsia="Times New Roman" w:hAnsi="Times New Roman" w:cs="Times New Roman"/>
          <w:color w:val="000000" w:themeColor="text1"/>
          <w:kern w:val="0"/>
          <w:lang w:bidi="ar-SA"/>
          <w14:ligatures w14:val="none"/>
        </w:rPr>
        <w:t xml:space="preserve">of the individual pathway residual variance, corresponding to an </w:t>
      </w:r>
      <m:oMath>
        <m:r>
          <w:rPr>
            <w:rFonts w:ascii="Cambria Math" w:eastAsia="Times New Roman" w:hAnsi="Cambria Math" w:cs="Times New Roman"/>
            <w:color w:val="000000" w:themeColor="text1"/>
            <w:kern w:val="0"/>
            <w:lang w:bidi="ar-SA"/>
            <w14:ligatures w14:val="none"/>
          </w:rPr>
          <m:t>80%</m:t>
        </m:r>
      </m:oMath>
      <w:r>
        <w:rPr>
          <w:rFonts w:ascii="Times New Roman" w:eastAsia="Times New Roman" w:hAnsi="Times New Roman" w:cs="Times New Roman"/>
          <w:color w:val="000000" w:themeColor="text1"/>
          <w:kern w:val="0"/>
          <w:lang w:bidi="ar-SA"/>
          <w14:ligatures w14:val="none"/>
        </w:rPr>
        <w:t>reduction. More generally, under compound-correlated residuals,</w:t>
      </w:r>
    </w:p>
    <w:p w14:paraId="10A1A81B" w14:textId="77777777" w:rsidR="001F255F" w:rsidRPr="00CA61FE" w:rsidRDefault="001F255F" w:rsidP="001F255F">
      <w:pPr>
        <w:spacing w:after="0" w:line="240" w:lineRule="auto"/>
        <w:ind w:left="0" w:firstLine="0"/>
        <w:jc w:val="left"/>
        <w:rPr>
          <w:rFonts w:ascii="Times New Roman" w:eastAsia="Times New Roman" w:hAnsi="Times New Roman" w:cs="Times New Roman"/>
          <w:color w:val="000000" w:themeColor="text1"/>
          <w:kern w:val="0"/>
          <w:lang w:bidi="ar-SA"/>
          <w14:ligatures w14:val="none"/>
        </w:rPr>
      </w:pPr>
      <m:oMathPara>
        <m:oMath>
          <m:r>
            <m:rPr>
              <m:sty m:val="p"/>
            </m:rPr>
            <w:rPr>
              <w:rFonts w:ascii="Cambria Math" w:eastAsia="Times New Roman" w:hAnsi="Cambria Math" w:cs="Times New Roman"/>
              <w:color w:val="000000" w:themeColor="text1"/>
              <w:kern w:val="0"/>
              <w:lang w:bidi="ar-SA"/>
              <w14:ligatures w14:val="none"/>
            </w:rPr>
            <m:t>Var</m:t>
          </m:r>
          <m:r>
            <w:rPr>
              <w:rFonts w:ascii="Cambria Math" w:eastAsia="Times New Roman" w:hAnsi="Cambria Math" w:cs="Times New Roman"/>
              <w:color w:val="000000" w:themeColor="text1"/>
              <w:kern w:val="0"/>
              <w:lang w:bidi="ar-SA"/>
              <w14:ligatures w14:val="none"/>
            </w:rPr>
            <m:t>⁡</m:t>
          </m:r>
          <m:d>
            <m:dPr>
              <m:ctrlPr>
                <w:rPr>
                  <w:rFonts w:ascii="Cambria Math" w:eastAsia="Times New Roman" w:hAnsi="Cambria Math" w:cs="Times New Roman"/>
                  <w:color w:val="000000" w:themeColor="text1"/>
                  <w:kern w:val="0"/>
                  <w:lang w:bidi="ar-SA"/>
                  <w14:ligatures w14:val="none"/>
                </w:rPr>
              </m:ctrlPr>
            </m:dPr>
            <m:e>
              <m:func>
                <m:funcPr>
                  <m:ctrlPr>
                    <w:rPr>
                      <w:rFonts w:ascii="Cambria Math" w:eastAsia="Times New Roman" w:hAnsi="Cambria Math" w:cs="Times New Roman"/>
                      <w:color w:val="000000" w:themeColor="text1"/>
                      <w:kern w:val="0"/>
                      <w:lang w:bidi="ar-SA"/>
                      <w14:ligatures w14:val="none"/>
                    </w:rPr>
                  </m:ctrlPr>
                </m:funcPr>
                <m:fName>
                  <m:r>
                    <m:rPr>
                      <m:sty m:val="p"/>
                    </m:rPr>
                    <w:rPr>
                      <w:rFonts w:ascii="Cambria Math" w:eastAsia="Times New Roman" w:hAnsi="Cambria Math" w:cs="Times New Roman"/>
                      <w:color w:val="000000" w:themeColor="text1"/>
                      <w:kern w:val="0"/>
                      <w:lang w:bidi="ar-SA"/>
                      <w14:ligatures w14:val="none"/>
                    </w:rPr>
                    <m:t>TCSI</m:t>
                  </m:r>
                </m:fName>
                <m:e>
                  <m:r>
                    <w:rPr>
                      <w:rFonts w:ascii="Cambria Math" w:eastAsia="Times New Roman" w:hAnsi="Cambria Math" w:cs="Times New Roman"/>
                      <w:color w:val="000000" w:themeColor="text1"/>
                      <w:kern w:val="0"/>
                      <w:lang w:bidi="ar-SA"/>
                      <w14:ligatures w14:val="none"/>
                    </w:rPr>
                    <m:t>∣</m:t>
                  </m:r>
                </m:e>
              </m:func>
              <m:r>
                <w:rPr>
                  <w:rFonts w:ascii="Cambria Math" w:eastAsia="Times New Roman" w:hAnsi="Cambria Math" w:cs="Times New Roman"/>
                  <w:color w:val="000000" w:themeColor="text1"/>
                  <w:kern w:val="0"/>
                  <w:lang w:bidi="ar-SA"/>
                  <w14:ligatures w14:val="none"/>
                </w:rPr>
                <m:t>θ</m:t>
              </m:r>
            </m:e>
          </m:d>
          <m:r>
            <w:rPr>
              <w:rFonts w:ascii="Cambria Math" w:eastAsia="Times New Roman" w:hAnsi="Cambria Math" w:cs="Times New Roman"/>
              <w:color w:val="000000" w:themeColor="text1"/>
              <w:kern w:val="0"/>
              <w:lang w:bidi="ar-SA"/>
              <w14:ligatures w14:val="none"/>
            </w:rPr>
            <m:t>=</m:t>
          </m:r>
          <m:sSubSup>
            <m:sSubSupPr>
              <m:ctrlPr>
                <w:rPr>
                  <w:rFonts w:ascii="Cambria Math" w:eastAsia="Times New Roman" w:hAnsi="Cambria Math" w:cs="Times New Roman"/>
                  <w:color w:val="000000" w:themeColor="text1"/>
                  <w:kern w:val="0"/>
                  <w:lang w:bidi="ar-SA"/>
                  <w14:ligatures w14:val="none"/>
                </w:rPr>
              </m:ctrlPr>
            </m:sSubSupPr>
            <m:e>
              <m:r>
                <w:rPr>
                  <w:rFonts w:ascii="Cambria Math" w:eastAsia="Times New Roman" w:hAnsi="Cambria Math" w:cs="Times New Roman"/>
                  <w:color w:val="000000" w:themeColor="text1"/>
                  <w:kern w:val="0"/>
                  <w:lang w:bidi="ar-SA"/>
                  <w14:ligatures w14:val="none"/>
                </w:rPr>
                <m:t>σ</m:t>
              </m:r>
            </m:e>
            <m:sub>
              <m:r>
                <w:rPr>
                  <w:rFonts w:ascii="Cambria Math" w:eastAsia="Times New Roman" w:hAnsi="Cambria Math" w:cs="Times New Roman"/>
                  <w:color w:val="000000" w:themeColor="text1"/>
                  <w:kern w:val="0"/>
                  <w:lang w:bidi="ar-SA"/>
                  <w14:ligatures w14:val="none"/>
                </w:rPr>
                <m:t>ε</m:t>
              </m:r>
            </m:sub>
            <m:sup>
              <m:r>
                <w:rPr>
                  <w:rFonts w:ascii="Cambria Math" w:eastAsia="Times New Roman" w:hAnsi="Cambria Math" w:cs="Times New Roman"/>
                  <w:color w:val="000000" w:themeColor="text1"/>
                  <w:kern w:val="0"/>
                  <w:lang w:bidi="ar-SA"/>
                  <w14:ligatures w14:val="none"/>
                </w:rPr>
                <m:t>2</m:t>
              </m:r>
            </m:sup>
          </m:sSubSup>
          <m:d>
            <m:dPr>
              <m:begChr m:val="["/>
              <m:endChr m:val="]"/>
              <m:ctrlPr>
                <w:rPr>
                  <w:rFonts w:ascii="Cambria Math" w:eastAsia="Times New Roman" w:hAnsi="Cambria Math" w:cs="Times New Roman"/>
                  <w:color w:val="000000" w:themeColor="text1"/>
                  <w:kern w:val="0"/>
                  <w:lang w:bidi="ar-SA"/>
                  <w14:ligatures w14:val="none"/>
                </w:rPr>
              </m:ctrlPr>
            </m:dPr>
            <m:e>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1</m:t>
                  </m:r>
                </m:num>
                <m:den>
                  <m:r>
                    <w:rPr>
                      <w:rFonts w:ascii="Cambria Math" w:eastAsia="Times New Roman" w:hAnsi="Cambria Math" w:cs="Times New Roman"/>
                      <w:color w:val="000000" w:themeColor="text1"/>
                      <w:kern w:val="0"/>
                      <w:lang w:bidi="ar-SA"/>
                      <w14:ligatures w14:val="none"/>
                    </w:rPr>
                    <m:t>K</m:t>
                  </m:r>
                </m:den>
              </m:f>
              <m:r>
                <w:rPr>
                  <w:rFonts w:ascii="Cambria Math" w:eastAsia="Times New Roman" w:hAnsi="Cambria Math" w:cs="Times New Roman"/>
                  <w:color w:val="000000" w:themeColor="text1"/>
                  <w:kern w:val="0"/>
                  <w:lang w:bidi="ar-SA"/>
                  <w14:ligatures w14:val="none"/>
                </w:rPr>
                <m:t>+</m:t>
              </m:r>
              <m:f>
                <m:fPr>
                  <m:ctrlPr>
                    <w:rPr>
                      <w:rFonts w:ascii="Cambria Math" w:eastAsia="Times New Roman" w:hAnsi="Cambria Math" w:cs="Times New Roman"/>
                      <w:color w:val="000000" w:themeColor="text1"/>
                      <w:kern w:val="0"/>
                      <w:lang w:bidi="ar-SA"/>
                      <w14:ligatures w14:val="none"/>
                    </w:rPr>
                  </m:ctrlPr>
                </m:fPr>
                <m:num>
                  <m:r>
                    <w:rPr>
                      <w:rFonts w:ascii="Cambria Math" w:eastAsia="Times New Roman" w:hAnsi="Cambria Math" w:cs="Times New Roman"/>
                      <w:color w:val="000000" w:themeColor="text1"/>
                      <w:kern w:val="0"/>
                      <w:lang w:bidi="ar-SA"/>
                      <w14:ligatures w14:val="none"/>
                    </w:rPr>
                    <m:t>K-1</m:t>
                  </m:r>
                </m:num>
                <m:den>
                  <m:r>
                    <w:rPr>
                      <w:rFonts w:ascii="Cambria Math" w:eastAsia="Times New Roman" w:hAnsi="Cambria Math" w:cs="Times New Roman"/>
                      <w:color w:val="000000" w:themeColor="text1"/>
                      <w:kern w:val="0"/>
                      <w:lang w:bidi="ar-SA"/>
                      <w14:ligatures w14:val="none"/>
                    </w:rPr>
                    <m:t>K</m:t>
                  </m:r>
                </m:den>
              </m:f>
              <m:sSub>
                <m:sSubPr>
                  <m:ctrlPr>
                    <w:rPr>
                      <w:rFonts w:ascii="Cambria Math" w:eastAsia="Times New Roman" w:hAnsi="Cambria Math" w:cs="Times New Roman"/>
                      <w:color w:val="000000" w:themeColor="text1"/>
                      <w:kern w:val="0"/>
                      <w:lang w:bidi="ar-SA"/>
                      <w14:ligatures w14:val="none"/>
                    </w:rPr>
                  </m:ctrlPr>
                </m:sSubPr>
                <m:e>
                  <m:r>
                    <w:rPr>
                      <w:rFonts w:ascii="Cambria Math" w:eastAsia="Times New Roman" w:hAnsi="Cambria Math" w:cs="Times New Roman"/>
                      <w:color w:val="000000" w:themeColor="text1"/>
                      <w:kern w:val="0"/>
                      <w:lang w:bidi="ar-SA"/>
                      <w14:ligatures w14:val="none"/>
                    </w:rPr>
                    <m:t>ρ</m:t>
                  </m:r>
                </m:e>
                <m:sub>
                  <m:r>
                    <w:rPr>
                      <w:rFonts w:ascii="Cambria Math" w:eastAsia="Times New Roman" w:hAnsi="Cambria Math" w:cs="Times New Roman"/>
                      <w:color w:val="000000" w:themeColor="text1"/>
                      <w:kern w:val="0"/>
                      <w:lang w:bidi="ar-SA"/>
                      <w14:ligatures w14:val="none"/>
                    </w:rPr>
                    <m:t>ε</m:t>
                  </m:r>
                </m:sub>
              </m:sSub>
            </m:e>
          </m:d>
          <m:r>
            <w:rPr>
              <w:rFonts w:ascii="Cambria Math" w:eastAsia="Times New Roman" w:hAnsi="Cambria Math" w:cs="Times New Roman"/>
              <w:color w:val="000000" w:themeColor="text1"/>
              <w:kern w:val="0"/>
              <w:lang w:bidi="ar-SA"/>
              <w14:ligatures w14:val="none"/>
            </w:rPr>
            <m:t>,</m:t>
          </m:r>
          <m:r>
            <m:rPr>
              <m:sty m:val="p"/>
            </m:rPr>
            <w:rPr>
              <w:rFonts w:ascii="Cambria Math" w:eastAsia="Times New Roman" w:hAnsi="Cambria Math" w:cs="Times New Roman"/>
              <w:color w:val="000000" w:themeColor="text1"/>
              <w:kern w:val="0"/>
              <w:lang w:bidi="ar-SA"/>
              <w14:ligatures w14:val="none"/>
            </w:rPr>
            <w:br/>
          </m:r>
        </m:oMath>
      </m:oMathPara>
    </w:p>
    <w:p w14:paraId="24BAC56A" w14:textId="77777777" w:rsidR="001F255F" w:rsidRPr="00CA61FE" w:rsidRDefault="001F255F" w:rsidP="001F255F">
      <w:pPr>
        <w:spacing w:before="100" w:beforeAutospacing="1" w:after="100" w:afterAutospacing="1" w:line="240" w:lineRule="auto"/>
        <w:ind w:left="0" w:firstLine="0"/>
        <w:jc w:val="left"/>
        <w:rPr>
          <w:rFonts w:ascii="Times New Roman" w:eastAsia="Times New Roman" w:hAnsi="Times New Roman" w:cs="Times New Roman"/>
          <w:color w:val="000000" w:themeColor="text1"/>
          <w:kern w:val="0"/>
          <w:lang w:bidi="ar-SA"/>
          <w14:ligatures w14:val="none"/>
        </w:rPr>
      </w:pPr>
      <w:r>
        <w:rPr>
          <w:rFonts w:ascii="Times New Roman" w:eastAsia="Times New Roman" w:hAnsi="Times New Roman" w:cs="Times New Roman"/>
          <w:color w:val="000000" w:themeColor="text1"/>
          <w:kern w:val="0"/>
          <w:lang w:bidi="ar-SA"/>
          <w14:ligatures w14:val="none"/>
        </w:rPr>
        <w:t>which identifies the residual-correlation regime in which averaging does or does not attenuate noise. Finally, the same locked operator can be applied location-wise in spatial transcriptomics, defining TCSI as a scalar field over tissue-coordinate space.</w:t>
      </w:r>
    </w:p>
    <w:p w14:paraId="2C34306D" w14:textId="77777777" w:rsidR="0086321C" w:rsidRDefault="00000000">
      <w:pPr>
        <w:spacing w:after="441"/>
        <w:ind w:left="-5"/>
        <w:rPr>
          <w:rFonts w:ascii="Times New Roman" w:hAnsi="Times New Roman" w:cs="Times New Roman"/>
          <w:color w:val="000000" w:themeColor="text1"/>
        </w:rPr>
      </w:pPr>
      <w:r>
        <w:rPr>
          <w:rFonts w:ascii="Times New Roman" w:hAnsi="Times New Roman" w:cs="Times New Roman"/>
          <w:color w:val="000000" w:themeColor="text1"/>
        </w:rPr>
        <w:t>Across six pre-specified simulation studies, the framework demonstrated spectral equivalence to PC1, monotonically bounded degradation under loading misalignment, empirical confirmation of the closed-form variance decomposition, stability under up to 25% gene missingness, robustness to monotonic cross-platform transformations, and negligible reference-cohort sensitivity with n_R ≥ 200. Collectively, these results establish that TCSI is theoretically grounded, analytically tractable, and robust to realistic implementation variability, supporting its deployment as a frozen, single-sample stress index without outcome-dependent calibration. The Tumor Composite Stress Index is one implementation of the broader CSI framework; the same mathematical structure applies to any tissue or disease system for which biologically motivated stress axes can be specified a priori. Together, these results establish TCSI as a mathematically rigorous, reproducible, reference-standardized molecular coordinate ready for downstream disease-specific validation and spatial-</w:t>
      </w:r>
      <w:proofErr w:type="spellStart"/>
      <w:r>
        <w:rPr>
          <w:rFonts w:ascii="Times New Roman" w:hAnsi="Times New Roman" w:cs="Times New Roman"/>
          <w:color w:val="000000" w:themeColor="text1"/>
        </w:rPr>
        <w:t>radiogenomic</w:t>
      </w:r>
      <w:proofErr w:type="spellEnd"/>
      <w:r>
        <w:rPr>
          <w:rFonts w:ascii="Times New Roman" w:hAnsi="Times New Roman" w:cs="Times New Roman"/>
          <w:color w:val="000000" w:themeColor="text1"/>
        </w:rPr>
        <w:t xml:space="preserve"> integration.</w:t>
      </w:r>
    </w:p>
    <w:p w14:paraId="693292EC" w14:textId="77777777" w:rsidR="00BB7520" w:rsidRDefault="00000000">
      <w:r>
        <w:t>The key innovation of the CSI framework is not the measurement of any single stress pathway, but the formal organization of stress biology into a disease-agnostic, five-axis transcriptional coordinate system with a locked, versioned, outcome-independent operator. By separating stress burden, direction, dominance, and diversity, CSI enables unsupervised phenotyping of biological systems and downstream linkage to imaging, spatial, therapeutic, and clinical outcomes. Unlike single-pathway signatures or outcome-trained risk models, CSI represents biological stress as a multidimensional coordinate that is biology-first, pathway-defined, interpretable, and validated against outcomes after construction — not calibrated to them. Outcomes are used for validation, not for feature selection. The framework’s originality lies in this joint specification: a formally structured ontology of stress information, a mathematically explicit coordinate operator satisfying six properties under a single locked construction, and a decomposed output that captures what scalar indexes cannot — the direction and composition of coordinated biological stress. TCSI is one domain-specific instantiation of this general construction; the same operator applies to any biological context in which coordinated stress-response axes can be curated a priori.</w:t>
      </w:r>
    </w:p>
    <w:p w14:paraId="543B52F5" w14:textId="77777777" w:rsidR="00CF5BAF" w:rsidRDefault="00CF5BAF">
      <w:pPr>
        <w:spacing w:after="441"/>
        <w:ind w:left="-5"/>
        <w:rPr>
          <w:rFonts w:ascii="Times New Roman" w:hAnsi="Times New Roman" w:cs="Times New Roman"/>
          <w:color w:val="000000" w:themeColor="text1"/>
        </w:rPr>
      </w:pPr>
    </w:p>
    <w:p w14:paraId="02EA5813" w14:textId="77777777" w:rsidR="00CF5BAF" w:rsidRPr="00CA61FE" w:rsidRDefault="00CF5BAF">
      <w:pPr>
        <w:spacing w:after="441"/>
        <w:ind w:left="-5"/>
        <w:rPr>
          <w:rFonts w:ascii="Times New Roman" w:hAnsi="Times New Roman" w:cs="Times New Roman"/>
          <w:color w:val="000000" w:themeColor="text1"/>
        </w:rPr>
      </w:pPr>
    </w:p>
    <w:p w14:paraId="734186EC" w14:textId="77777777" w:rsidR="0086321C" w:rsidRPr="00CA61FE" w:rsidRDefault="00000000">
      <w:pPr>
        <w:pStyle w:val="Heading1"/>
        <w:numPr>
          <w:ilvl w:val="0"/>
          <w:numId w:val="0"/>
        </w:numPr>
        <w:ind w:left="-5"/>
        <w:rPr>
          <w:rFonts w:ascii="Times New Roman" w:hAnsi="Times New Roman" w:cs="Times New Roman"/>
          <w:color w:val="000000" w:themeColor="text1"/>
          <w:sz w:val="24"/>
        </w:rPr>
      </w:pPr>
      <w:r>
        <w:rPr>
          <w:rFonts w:ascii="Times New Roman" w:hAnsi="Times New Roman" w:cs="Times New Roman"/>
          <w:color w:val="000000" w:themeColor="text1"/>
          <w:sz w:val="24"/>
        </w:rPr>
        <w:t>References</w:t>
      </w:r>
    </w:p>
    <w:p w14:paraId="33E20A84"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Aibar, S., et al. (2017). SCENIC: Single-cell regulatory network inference and clustering. Nature Methods, 14, 1083–1086.</w:t>
      </w:r>
    </w:p>
    <w:p w14:paraId="01BA4140"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Andreatta, M., &amp; Carmona, S. J. (2021). UCell: Robust and scalable single-cell gene signature scoring. Computational and Structural Biotechnology Journal, 19, 3796–3798.</w:t>
      </w:r>
    </w:p>
    <w:p w14:paraId="6165D8D0"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Barbie, D. A., et al. (2009). Systematic RNA interference reveals that oncogenic KRAS-driven cancers require TBK1. Nature, 462(7269), 108–112.</w:t>
      </w:r>
    </w:p>
    <w:p w14:paraId="1B3B95FC" w14:textId="77777777" w:rsidR="004631A7"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Bauer, U. (2021). Ripser: efficient computation of Vietoris-Rips persistence barcodes. Journal of Applied and Computational Topology, 5(3), 391–423.</w:t>
      </w:r>
    </w:p>
    <w:p w14:paraId="57F596AC" w14:textId="77777777" w:rsidR="004631A7"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Carlsson, G. (2009). Topology and data. Bulletin of the American Mathematical Society, 46(2), 255–308.</w:t>
      </w:r>
    </w:p>
    <w:p w14:paraId="03A2322F" w14:textId="77777777" w:rsidR="004631A7"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Chazal, F., &amp; Michel, B. (2021). An introduction to topological data analysis: fundamental and practical aspects for data scientists. Frontiers in Artificial Intelligence, 4, 667963.</w:t>
      </w:r>
    </w:p>
    <w:p w14:paraId="006BE58F"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Dawes, R. M. (1979). The robust beauty of improper linear models in decision making. American Psychologist, 34(7), 571–582.</w:t>
      </w:r>
    </w:p>
    <w:p w14:paraId="46524011"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Dries, R., et al. (2021). Giotto: a toolbox for integrative analysis and visualization of spatial expression data. Genome Biology, 22, 78.</w:t>
      </w:r>
    </w:p>
    <w:p w14:paraId="5C70B0F4" w14:textId="77777777" w:rsidR="004631A7"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Edelsbrunner, H., &amp; Harer, J. (2010). Computational Topology: An Introduction. American Mathematical Society.</w:t>
      </w:r>
    </w:p>
    <w:p w14:paraId="6A4171B5"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Foroutan, M., Bhuva, D. D., et al. (2018). Single sample scoring of molecular phenotypes. BMC Bioinformatics, 19(1), 404.</w:t>
      </w:r>
    </w:p>
    <w:p w14:paraId="6BB40A43"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Gruber, T. R. (1993). A translation approach to portable ontology specifications. Knowledge Acquisition, 5(2), 199–220.</w:t>
      </w:r>
    </w:p>
    <w:p w14:paraId="74FAA08D" w14:textId="77777777" w:rsidR="0086321C" w:rsidRPr="00CA61FE" w:rsidRDefault="00000000">
      <w:pPr>
        <w:ind w:left="-5"/>
        <w:rPr>
          <w:rFonts w:ascii="Times New Roman" w:hAnsi="Times New Roman" w:cs="Times New Roman"/>
          <w:color w:val="000000" w:themeColor="text1"/>
        </w:rPr>
      </w:pPr>
      <w:r>
        <w:rPr>
          <w:rFonts w:ascii="Times New Roman" w:hAnsi="Times New Roman" w:cs="Times New Roman"/>
          <w:color w:val="000000" w:themeColor="text1"/>
        </w:rPr>
        <w:t>Hanahan, D. (2022). Hallmarks of Cancer: New Dimensions. Cancer Discovery, 12(1), 31–46.</w:t>
      </w:r>
    </w:p>
    <w:p w14:paraId="4DEE36EF"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Hänzelmann, S., Castelo, R., &amp; Guinney, J. (2013). GSVA: gene set variation analysis for microarray and RNA-seq data. BMC Bioinformatics, 14, 7.</w:t>
      </w:r>
    </w:p>
    <w:p w14:paraId="46BE5673"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Hoadley, K. A., et al. (2018). Cell-of-origin patterns dominate the molecular classification of 10,000 tumors from 33 types of cancer. Cell, 173(2), 291–304.e6.</w:t>
      </w:r>
    </w:p>
    <w:p w14:paraId="0F075BA3"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Johnson, W. E., Li, C., &amp; Rabinovic, A. (2007). Adjusting batch effects in microarray expression data using empirical Bayes methods. Biostatistics, 8(1), 118–127.</w:t>
      </w:r>
    </w:p>
    <w:p w14:paraId="2853383C"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Lee, E., Chuang, H. Y., Kim, J. W., Ideker, T., &amp; Lee, D. (2008). Inferring pathway activity toward precise disease classification. PLoS Computational Biology, 4(11), e1000217.</w:t>
      </w:r>
    </w:p>
    <w:p w14:paraId="1BA11C3B"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Leek, J. T., et al. (2012). The sva package for removing batch effects and other unwanted variation in high-throughput experiments. Bioinformatics, 28(6), 882–883.</w:t>
      </w:r>
    </w:p>
    <w:p w14:paraId="0EC4D363"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lastRenderedPageBreak/>
        <w:t>Liberzon, A., et al. (2015). The Molecular Signatures Database Hallmark Gene Set Collection. Cell Systems, 1(6), 417–425.</w:t>
      </w:r>
    </w:p>
    <w:p w14:paraId="2FEE292D"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Liu, J., Lichtenberg, T., et al. (2018). An integrated TCGA Pan-Cancer clinical data resource to drive high-quality survival outcome analytics. Cell, 173(2), 400–416.</w:t>
      </w:r>
    </w:p>
    <w:p w14:paraId="5EAE5D44"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Malta, T. M., et al. (2018). Machine learning identifies stemness features associated with oncogenic dedifferentiation. Cell, 173(2), 338–354.e15.</w:t>
      </w:r>
    </w:p>
    <w:p w14:paraId="623CE333" w14:textId="77777777" w:rsidR="004631A7"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Milnor, J. (1963). Morse Theory. Princeton University Press.</w:t>
      </w:r>
    </w:p>
    <w:p w14:paraId="54E51223" w14:textId="77777777" w:rsidR="0086321C" w:rsidRPr="00CA61FE" w:rsidRDefault="00000000">
      <w:pPr>
        <w:ind w:left="-5"/>
        <w:rPr>
          <w:rFonts w:ascii="Times New Roman" w:hAnsi="Times New Roman" w:cs="Times New Roman"/>
          <w:color w:val="000000" w:themeColor="text1"/>
        </w:rPr>
      </w:pPr>
      <w:r>
        <w:rPr>
          <w:rFonts w:ascii="Times New Roman" w:hAnsi="Times New Roman" w:cs="Times New Roman"/>
          <w:color w:val="000000" w:themeColor="text1"/>
        </w:rPr>
        <w:t>Morrison, D. F. (2005). Multivariate Statistical Methods (4th ed.). Duxbury Press.</w:t>
      </w:r>
    </w:p>
    <w:p w14:paraId="72F5B728"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Moses, L., &amp; Pachter, L. (2022). Museum of spatial transcriptomics. Nature Methods, 19, 534– 546.</w:t>
      </w:r>
    </w:p>
    <w:p w14:paraId="57806FB1"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Noureen, N., et al. (2022). Signature-scoring methods developed for bulk samples are not adequate for cancer single-cell RNA sequencing data. eLife, 11, e71994.</w:t>
      </w:r>
    </w:p>
    <w:p w14:paraId="7549C45F"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Rao, A., Barkley, D., França, G. S., &amp; Yanai, I. (2021). Exploring tissue architecture using spatial transcriptomics. Nature, 596, 211–220.</w:t>
      </w:r>
    </w:p>
    <w:p w14:paraId="29FF6002"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Ritchie, M. E., et al. (2015). limma powers differential expression analyses for RNA-sequencing and microarray studies. Nucleic Acids Research, 43(7), e47.</w:t>
      </w:r>
    </w:p>
    <w:p w14:paraId="4512EAFE"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Sánchez-Vega, F., et al. (2018). Oncogenic signaling pathways in The Cancer Genome Atlas. Cell, 173(2), 321–337.</w:t>
      </w:r>
    </w:p>
    <w:p w14:paraId="01CDE9F2"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Shortliffe, E. H., &amp; Sepúlveda, M. J. (2018). Clinical decision support in the era of artificial intelligence. JAMA, 320(21), 2199–2200.</w:t>
      </w:r>
    </w:p>
    <w:p w14:paraId="539489F5"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Smith, B., et al. (2007). The OBO Foundry: coordinated evolution of ontologies to support biomedical data integration. Nature Biotechnology, 25(11), 1251–1255.</w:t>
      </w:r>
    </w:p>
    <w:p w14:paraId="047D59D2"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Spatial landscapes of cancers: insights and opportunities. (2024). Nature Reviews Clinical Oncology, 21, 660–674.</w:t>
      </w:r>
    </w:p>
    <w:p w14:paraId="57EB814A" w14:textId="77777777" w:rsidR="0086321C"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Subramanian, A., et al. (2005). Gene set enrichment analysis: A knowledge-based approach for interpreting genome-wide expression profiles. Proceedings of the National Academy of Sciences, 102(43), 15545–15550.</w:t>
      </w:r>
    </w:p>
    <w:p w14:paraId="00CBCFF9"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Svensson, V., Teichmann, S. A., &amp; Stegle, O. (2018). SpatialDE: identification of spatially variable genes. Nature Methods, 15(5), 343–346.</w:t>
      </w:r>
    </w:p>
    <w:p w14:paraId="25F64000" w14:textId="77777777" w:rsidR="004631A7"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Tauzin, G., Lupo, U., Tunstall, L., Pérez, J. B., Caorsi, M., Medina-Mardones, A., &amp; Dravecky, T. (2021). Giotto-TDA: a topological data analysis toolbox for machine learning and data exploration. Journal of Machine Learning Research, 22(39), 1–6.</w:t>
      </w:r>
    </w:p>
    <w:p w14:paraId="730210D9" w14:textId="77777777" w:rsidR="004631A7"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The GUDHI Project. (2015). GUDHI user and reference manual. GUDHI Editorial Board. Retrieved from https://gudhi.inria.fr/</w:t>
      </w:r>
    </w:p>
    <w:p w14:paraId="314D39CD" w14:textId="77777777" w:rsidR="0086321C" w:rsidRPr="00CA61FE" w:rsidRDefault="00000000">
      <w:pPr>
        <w:ind w:left="-5"/>
        <w:rPr>
          <w:rFonts w:ascii="Times New Roman" w:hAnsi="Times New Roman" w:cs="Times New Roman"/>
          <w:color w:val="000000" w:themeColor="text1"/>
        </w:rPr>
      </w:pPr>
      <w:r>
        <w:rPr>
          <w:rFonts w:ascii="Times New Roman" w:hAnsi="Times New Roman" w:cs="Times New Roman"/>
          <w:color w:val="000000" w:themeColor="text1"/>
        </w:rPr>
        <w:t>Thorsson, V., et al. (2018). The immune landscape of cancer. Immunity, 48(4), 812–830.e14.</w:t>
      </w:r>
    </w:p>
    <w:p w14:paraId="7AAF2AFC"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lastRenderedPageBreak/>
        <w:t>Tomfohr, J., Lu, J., &amp; Kepler, T. B. (2005). Pathway level analysis of gene expression using singular value decomposition. BMC Bioinformatics, 6, 225.</w:t>
      </w:r>
    </w:p>
    <w:p w14:paraId="2D110A9F" w14:textId="77777777" w:rsidR="0086321C"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Toro-Domínguez, D., Wang, C., et al. (2025). Benchmarking single-sample gene set scoring methods for application in precision medicine. Briefings in Bioinformatics, 26(6), bbaf684.</w:t>
      </w:r>
    </w:p>
    <w:p w14:paraId="01D14005" w14:textId="77777777" w:rsidR="0086321C" w:rsidRPr="00CA61FE" w:rsidRDefault="00000000">
      <w:pPr>
        <w:ind w:left="705" w:hanging="720"/>
        <w:rPr>
          <w:rFonts w:ascii="Times New Roman" w:hAnsi="Times New Roman" w:cs="Times New Roman"/>
          <w:color w:val="000000" w:themeColor="text1"/>
        </w:rPr>
      </w:pPr>
      <w:r>
        <w:rPr>
          <w:rFonts w:ascii="Times New Roman" w:hAnsi="Times New Roman" w:cs="Times New Roman"/>
          <w:color w:val="000000" w:themeColor="text1"/>
        </w:rPr>
        <w:t>Wilkinson, M. D., et al. (2016). The FAIR Guiding Principles for scientific data management and stewardship. Scientific Data, 3, 160018.</w:t>
      </w:r>
    </w:p>
    <w:p w14:paraId="5391B384" w14:textId="77777777" w:rsidR="0086321C"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Wirapati, P., et al. (2008). Meta-analysis of gene expression profiles in breast cancer: Toward a unified understanding of breast cancer subtyping and prognosis signatures. Breast Cancer Research, 10(4), R65.</w:t>
      </w:r>
    </w:p>
    <w:p w14:paraId="17A0B589" w14:textId="77777777" w:rsidR="004631A7" w:rsidRPr="00CA61FE" w:rsidRDefault="00000000">
      <w:pPr>
        <w:spacing w:after="118" w:line="260" w:lineRule="auto"/>
        <w:ind w:left="715" w:hanging="730"/>
        <w:jc w:val="left"/>
        <w:rPr>
          <w:rFonts w:ascii="Times New Roman" w:hAnsi="Times New Roman" w:cs="Times New Roman"/>
          <w:color w:val="000000" w:themeColor="text1"/>
        </w:rPr>
      </w:pPr>
      <w:r>
        <w:rPr>
          <w:rFonts w:ascii="Times New Roman" w:hAnsi="Times New Roman" w:cs="Times New Roman"/>
          <w:color w:val="000000" w:themeColor="text1"/>
        </w:rPr>
        <w:t>Zomorodian, A., &amp; Carlsson, G. (2005). Computing persistent homology. Discrete &amp; Computational Geometry, 33(2), 249–274.</w:t>
      </w:r>
    </w:p>
    <w:sectPr w:rsidR="004631A7" w:rsidRPr="00CA61FE">
      <w:pgSz w:w="12240" w:h="15840"/>
      <w:pgMar w:top="1448" w:right="1445" w:bottom="1445"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61CE3"/>
    <w:multiLevelType w:val="multilevel"/>
    <w:tmpl w:val="F28ECC8C"/>
    <w:lvl w:ilvl="0">
      <w:start w:val="1"/>
      <w:numFmt w:val="decimal"/>
      <w:pStyle w:val="Heading1"/>
      <w:lvlText w:val="%1."/>
      <w:lvlJc w:val="left"/>
      <w:pPr>
        <w:ind w:left="0"/>
      </w:pPr>
      <w:rPr>
        <w:rFonts w:ascii="Calibri" w:eastAsia="Calibri" w:hAnsi="Calibri" w:cs="Calibri"/>
        <w:b/>
        <w:bCs/>
        <w:i w:val="0"/>
        <w:strike w:val="0"/>
        <w:dstrike w:val="0"/>
        <w:color w:val="000000" w:themeColor="text1"/>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themeColor="text1"/>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themeColor="text1"/>
        <w:sz w:val="24"/>
        <w:szCs w:val="24"/>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3366"/>
        <w:sz w:val="24"/>
        <w:szCs w:val="24"/>
        <w:u w:val="none" w:color="000000"/>
        <w:bdr w:val="none" w:sz="0" w:space="0" w:color="auto"/>
        <w:shd w:val="clear" w:color="auto" w:fill="auto"/>
        <w:vertAlign w:val="baseline"/>
      </w:rPr>
    </w:lvl>
  </w:abstractNum>
  <w:abstractNum w:abstractNumId="1" w15:restartNumberingAfterBreak="0">
    <w:nsid w:val="207572A3"/>
    <w:multiLevelType w:val="multilevel"/>
    <w:tmpl w:val="41608A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E64CC2"/>
    <w:multiLevelType w:val="multilevel"/>
    <w:tmpl w:val="F6D61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101D2A"/>
    <w:multiLevelType w:val="multilevel"/>
    <w:tmpl w:val="1618E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8721471">
    <w:abstractNumId w:val="0"/>
  </w:num>
  <w:num w:numId="2" w16cid:durableId="1080056366">
    <w:abstractNumId w:val="2"/>
  </w:num>
  <w:num w:numId="3" w16cid:durableId="869612788">
    <w:abstractNumId w:val="1"/>
  </w:num>
  <w:num w:numId="4" w16cid:durableId="1827820585">
    <w:abstractNumId w:val="3"/>
  </w:num>
  <w:num w:numId="5" w16cid:durableId="2126923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21C"/>
    <w:rsid w:val="000117EA"/>
    <w:rsid w:val="00016E56"/>
    <w:rsid w:val="000B13CD"/>
    <w:rsid w:val="000C5B1D"/>
    <w:rsid w:val="000F41D1"/>
    <w:rsid w:val="001924E3"/>
    <w:rsid w:val="001C1F49"/>
    <w:rsid w:val="001D16F7"/>
    <w:rsid w:val="001D2E52"/>
    <w:rsid w:val="001F255F"/>
    <w:rsid w:val="00201D52"/>
    <w:rsid w:val="00224901"/>
    <w:rsid w:val="00290545"/>
    <w:rsid w:val="002B5528"/>
    <w:rsid w:val="002D4D1B"/>
    <w:rsid w:val="00321389"/>
    <w:rsid w:val="003704F5"/>
    <w:rsid w:val="00372C6E"/>
    <w:rsid w:val="00373B25"/>
    <w:rsid w:val="00414B42"/>
    <w:rsid w:val="00443ED7"/>
    <w:rsid w:val="004631A7"/>
    <w:rsid w:val="00463EEA"/>
    <w:rsid w:val="00545C89"/>
    <w:rsid w:val="0060461E"/>
    <w:rsid w:val="006301EA"/>
    <w:rsid w:val="006355B1"/>
    <w:rsid w:val="0066391F"/>
    <w:rsid w:val="007F40BE"/>
    <w:rsid w:val="00800480"/>
    <w:rsid w:val="0086321C"/>
    <w:rsid w:val="00903B63"/>
    <w:rsid w:val="00965C91"/>
    <w:rsid w:val="009B01EF"/>
    <w:rsid w:val="00A21F5C"/>
    <w:rsid w:val="00A372D8"/>
    <w:rsid w:val="00A62BA6"/>
    <w:rsid w:val="00AA41D5"/>
    <w:rsid w:val="00BA06DA"/>
    <w:rsid w:val="00BB7520"/>
    <w:rsid w:val="00C10E92"/>
    <w:rsid w:val="00CA61FE"/>
    <w:rsid w:val="00CD3823"/>
    <w:rsid w:val="00CF5BAF"/>
    <w:rsid w:val="00EF276E"/>
    <w:rsid w:val="00F3792D"/>
    <w:rsid w:val="00FA11C3"/>
    <w:rsid w:val="00FF50EF"/>
    <w:rsid w:val="00FF6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AFC67"/>
  <w15:docId w15:val="{EF9F6596-18EC-F64D-A875-512B81F83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5" w:line="265" w:lineRule="auto"/>
      <w:ind w:left="16" w:hanging="10"/>
      <w:jc w:val="both"/>
    </w:pPr>
    <w:rPr>
      <w:rFonts w:ascii="Calibri" w:eastAsia="Calibri" w:hAnsi="Calibri" w:cs="Calibri"/>
      <w:color w:val="000000"/>
      <w:lang w:bidi="en-US"/>
    </w:rPr>
  </w:style>
  <w:style w:type="paragraph" w:styleId="Heading1">
    <w:name w:val="heading 1"/>
    <w:next w:val="Normal"/>
    <w:link w:val="Heading1Char"/>
    <w:uiPriority w:val="9"/>
    <w:qFormat/>
    <w:pPr>
      <w:keepNext/>
      <w:keepLines/>
      <w:numPr>
        <w:numId w:val="1"/>
      </w:numPr>
      <w:spacing w:after="60" w:line="259" w:lineRule="auto"/>
      <w:ind w:left="10" w:hanging="10"/>
      <w:outlineLvl w:val="0"/>
    </w:pPr>
    <w:rPr>
      <w:rFonts w:ascii="Calibri" w:eastAsia="Calibri" w:hAnsi="Calibri" w:cs="Calibri"/>
      <w:b/>
      <w:color w:val="003366"/>
      <w:sz w:val="32"/>
    </w:rPr>
  </w:style>
  <w:style w:type="paragraph" w:styleId="Heading2">
    <w:name w:val="heading 2"/>
    <w:next w:val="Normal"/>
    <w:link w:val="Heading2Char"/>
    <w:uiPriority w:val="9"/>
    <w:unhideWhenUsed/>
    <w:qFormat/>
    <w:pPr>
      <w:keepNext/>
      <w:keepLines/>
      <w:numPr>
        <w:ilvl w:val="1"/>
        <w:numId w:val="1"/>
      </w:numPr>
      <w:spacing w:after="56" w:line="259" w:lineRule="auto"/>
      <w:ind w:left="10" w:hanging="10"/>
      <w:outlineLvl w:val="1"/>
    </w:pPr>
    <w:rPr>
      <w:rFonts w:ascii="Calibri" w:eastAsia="Calibri" w:hAnsi="Calibri" w:cs="Calibri"/>
      <w:b/>
      <w:color w:val="003366"/>
      <w:sz w:val="28"/>
    </w:rPr>
  </w:style>
  <w:style w:type="paragraph" w:styleId="Heading3">
    <w:name w:val="heading 3"/>
    <w:next w:val="Normal"/>
    <w:link w:val="Heading3Char"/>
    <w:uiPriority w:val="9"/>
    <w:unhideWhenUsed/>
    <w:qFormat/>
    <w:pPr>
      <w:keepNext/>
      <w:keepLines/>
      <w:numPr>
        <w:ilvl w:val="2"/>
        <w:numId w:val="1"/>
      </w:numPr>
      <w:spacing w:after="71" w:line="259" w:lineRule="auto"/>
      <w:ind w:left="10" w:hanging="10"/>
      <w:outlineLvl w:val="2"/>
    </w:pPr>
    <w:rPr>
      <w:rFonts w:ascii="Calibri" w:eastAsia="Calibri" w:hAnsi="Calibri" w:cs="Calibri"/>
      <w:b/>
      <w:color w:val="0033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3366"/>
      <w:sz w:val="24"/>
    </w:rPr>
  </w:style>
  <w:style w:type="character" w:customStyle="1" w:styleId="Heading2Char">
    <w:name w:val="Heading 2 Char"/>
    <w:link w:val="Heading2"/>
    <w:uiPriority w:val="9"/>
    <w:rPr>
      <w:rFonts w:ascii="Calibri" w:eastAsia="Calibri" w:hAnsi="Calibri" w:cs="Calibri"/>
      <w:b/>
      <w:color w:val="003366"/>
      <w:sz w:val="28"/>
    </w:rPr>
  </w:style>
  <w:style w:type="character" w:customStyle="1" w:styleId="Heading1Char">
    <w:name w:val="Heading 1 Char"/>
    <w:link w:val="Heading1"/>
    <w:uiPriority w:val="9"/>
    <w:rPr>
      <w:rFonts w:ascii="Calibri" w:eastAsia="Calibri" w:hAnsi="Calibri" w:cs="Calibri"/>
      <w:b/>
      <w:color w:val="003366"/>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mord">
    <w:name w:val="mord"/>
    <w:basedOn w:val="DefaultParagraphFont"/>
    <w:rsid w:val="00CD3823"/>
  </w:style>
  <w:style w:type="character" w:customStyle="1" w:styleId="mrel">
    <w:name w:val="mrel"/>
    <w:basedOn w:val="DefaultParagraphFont"/>
    <w:rsid w:val="00CD3823"/>
  </w:style>
  <w:style w:type="character" w:customStyle="1" w:styleId="vlist-s">
    <w:name w:val="vlist-s"/>
    <w:basedOn w:val="DefaultParagraphFont"/>
    <w:rsid w:val="00CD3823"/>
  </w:style>
  <w:style w:type="character" w:customStyle="1" w:styleId="mbin">
    <w:name w:val="mbin"/>
    <w:basedOn w:val="DefaultParagraphFont"/>
    <w:rsid w:val="00CD3823"/>
  </w:style>
  <w:style w:type="character" w:customStyle="1" w:styleId="mopen">
    <w:name w:val="mopen"/>
    <w:basedOn w:val="DefaultParagraphFont"/>
    <w:rsid w:val="00CD3823"/>
  </w:style>
  <w:style w:type="character" w:customStyle="1" w:styleId="mclose">
    <w:name w:val="mclose"/>
    <w:basedOn w:val="DefaultParagraphFont"/>
    <w:rsid w:val="00CD3823"/>
  </w:style>
  <w:style w:type="paragraph" w:styleId="NormalWeb">
    <w:name w:val="Normal (Web)"/>
    <w:basedOn w:val="Normal"/>
    <w:uiPriority w:val="99"/>
    <w:unhideWhenUsed/>
    <w:rsid w:val="00CD3823"/>
    <w:pPr>
      <w:spacing w:before="100" w:beforeAutospacing="1" w:after="100" w:afterAutospacing="1" w:line="240" w:lineRule="auto"/>
      <w:ind w:left="0" w:firstLine="0"/>
      <w:jc w:val="left"/>
    </w:pPr>
    <w:rPr>
      <w:rFonts w:ascii="Times New Roman" w:eastAsia="Times New Roman" w:hAnsi="Times New Roman" w:cs="Times New Roman"/>
      <w:color w:val="auto"/>
      <w:kern w:val="0"/>
      <w:lang w:bidi="ar-SA"/>
      <w14:ligatures w14:val="none"/>
    </w:rPr>
  </w:style>
  <w:style w:type="character" w:styleId="Strong">
    <w:name w:val="Strong"/>
    <w:basedOn w:val="DefaultParagraphFont"/>
    <w:uiPriority w:val="22"/>
    <w:qFormat/>
    <w:rsid w:val="00CD3823"/>
    <w:rPr>
      <w:b/>
      <w:bCs/>
    </w:rPr>
  </w:style>
  <w:style w:type="paragraph" w:customStyle="1" w:styleId="msonormal0">
    <w:name w:val="msonormal"/>
    <w:basedOn w:val="Normal"/>
    <w:rsid w:val="001F255F"/>
    <w:pPr>
      <w:spacing w:before="100" w:beforeAutospacing="1" w:after="100" w:afterAutospacing="1" w:line="240" w:lineRule="auto"/>
      <w:ind w:left="0" w:firstLine="0"/>
      <w:jc w:val="left"/>
    </w:pPr>
    <w:rPr>
      <w:rFonts w:ascii="Times New Roman" w:eastAsia="Times New Roman" w:hAnsi="Times New Roman" w:cs="Times New Roman"/>
      <w:color w:val="auto"/>
      <w:kern w:val="0"/>
      <w:lang w:bidi="ar-SA"/>
      <w14:ligatures w14:val="none"/>
    </w:rPr>
  </w:style>
  <w:style w:type="character" w:customStyle="1" w:styleId="math">
    <w:name w:val="math"/>
    <w:basedOn w:val="DefaultParagraphFont"/>
    <w:rsid w:val="001F255F"/>
  </w:style>
  <w:style w:type="character" w:customStyle="1" w:styleId="katex">
    <w:name w:val="katex"/>
    <w:basedOn w:val="DefaultParagraphFont"/>
    <w:rsid w:val="001F255F"/>
  </w:style>
  <w:style w:type="character" w:customStyle="1" w:styleId="katex-mathml">
    <w:name w:val="katex-mathml"/>
    <w:basedOn w:val="DefaultParagraphFont"/>
    <w:rsid w:val="001F255F"/>
  </w:style>
  <w:style w:type="character" w:customStyle="1" w:styleId="katex-html">
    <w:name w:val="katex-html"/>
    <w:basedOn w:val="DefaultParagraphFont"/>
    <w:rsid w:val="001F255F"/>
  </w:style>
  <w:style w:type="character" w:customStyle="1" w:styleId="base">
    <w:name w:val="base"/>
    <w:basedOn w:val="DefaultParagraphFont"/>
    <w:rsid w:val="001F255F"/>
  </w:style>
  <w:style w:type="character" w:customStyle="1" w:styleId="strut">
    <w:name w:val="strut"/>
    <w:basedOn w:val="DefaultParagraphFont"/>
    <w:rsid w:val="001F255F"/>
  </w:style>
  <w:style w:type="character" w:customStyle="1" w:styleId="msupsub">
    <w:name w:val="msupsub"/>
    <w:basedOn w:val="DefaultParagraphFont"/>
    <w:rsid w:val="001F255F"/>
  </w:style>
  <w:style w:type="character" w:customStyle="1" w:styleId="vlist-t">
    <w:name w:val="vlist-t"/>
    <w:basedOn w:val="DefaultParagraphFont"/>
    <w:rsid w:val="001F255F"/>
  </w:style>
  <w:style w:type="character" w:customStyle="1" w:styleId="vlist-r">
    <w:name w:val="vlist-r"/>
    <w:basedOn w:val="DefaultParagraphFont"/>
    <w:rsid w:val="001F255F"/>
  </w:style>
  <w:style w:type="character" w:customStyle="1" w:styleId="vlist">
    <w:name w:val="vlist"/>
    <w:basedOn w:val="DefaultParagraphFont"/>
    <w:rsid w:val="001F255F"/>
  </w:style>
  <w:style w:type="character" w:customStyle="1" w:styleId="pstrut">
    <w:name w:val="pstrut"/>
    <w:basedOn w:val="DefaultParagraphFont"/>
    <w:rsid w:val="001F255F"/>
  </w:style>
  <w:style w:type="character" w:customStyle="1" w:styleId="sizing">
    <w:name w:val="sizing"/>
    <w:basedOn w:val="DefaultParagraphFont"/>
    <w:rsid w:val="001F255F"/>
  </w:style>
  <w:style w:type="character" w:customStyle="1" w:styleId="mop">
    <w:name w:val="mop"/>
    <w:basedOn w:val="DefaultParagraphFont"/>
    <w:rsid w:val="001F255F"/>
  </w:style>
  <w:style w:type="character" w:customStyle="1" w:styleId="mpunct">
    <w:name w:val="mpunct"/>
    <w:basedOn w:val="DefaultParagraphFont"/>
    <w:rsid w:val="001F255F"/>
  </w:style>
  <w:style w:type="character" w:customStyle="1" w:styleId="mspace">
    <w:name w:val="mspace"/>
    <w:basedOn w:val="DefaultParagraphFont"/>
    <w:rsid w:val="001F255F"/>
  </w:style>
  <w:style w:type="character" w:customStyle="1" w:styleId="katex-display">
    <w:name w:val="katex-display"/>
    <w:basedOn w:val="DefaultParagraphFont"/>
    <w:rsid w:val="001F255F"/>
  </w:style>
  <w:style w:type="character" w:customStyle="1" w:styleId="svg-align">
    <w:name w:val="svg-align"/>
    <w:basedOn w:val="DefaultParagraphFont"/>
    <w:rsid w:val="001F255F"/>
  </w:style>
  <w:style w:type="character" w:customStyle="1" w:styleId="hide-tail">
    <w:name w:val="hide-tail"/>
    <w:basedOn w:val="DefaultParagraphFont"/>
    <w:rsid w:val="001F255F"/>
  </w:style>
  <w:style w:type="character" w:customStyle="1" w:styleId="minner">
    <w:name w:val="minner"/>
    <w:basedOn w:val="DefaultParagraphFont"/>
    <w:rsid w:val="001F255F"/>
  </w:style>
  <w:style w:type="character" w:customStyle="1" w:styleId="delimsizing">
    <w:name w:val="delimsizing"/>
    <w:basedOn w:val="DefaultParagraphFont"/>
    <w:rsid w:val="001F255F"/>
  </w:style>
  <w:style w:type="character" w:customStyle="1" w:styleId="mfrac">
    <w:name w:val="mfrac"/>
    <w:basedOn w:val="DefaultParagraphFont"/>
    <w:rsid w:val="001F255F"/>
  </w:style>
  <w:style w:type="character" w:customStyle="1" w:styleId="frac-line">
    <w:name w:val="frac-line"/>
    <w:basedOn w:val="DefaultParagraphFont"/>
    <w:rsid w:val="001F255F"/>
  </w:style>
  <w:style w:type="character" w:styleId="PlaceholderText">
    <w:name w:val="Placeholder Text"/>
    <w:basedOn w:val="DefaultParagraphFont"/>
    <w:uiPriority w:val="99"/>
    <w:semiHidden/>
    <w:rsid w:val="001F255F"/>
    <w:rPr>
      <w:color w:val="666666"/>
    </w:rPr>
  </w:style>
  <w:style w:type="paragraph" w:customStyle="1" w:styleId="firstmt-15">
    <w:name w:val="first:mt-1.5!"/>
    <w:basedOn w:val="Normal"/>
    <w:rsid w:val="001924E3"/>
    <w:pPr>
      <w:spacing w:before="100" w:beforeAutospacing="1" w:after="100" w:afterAutospacing="1" w:line="240" w:lineRule="auto"/>
      <w:ind w:left="0" w:firstLine="0"/>
      <w:jc w:val="left"/>
    </w:pPr>
    <w:rPr>
      <w:rFonts w:ascii="Times New Roman" w:eastAsia="Times New Roman" w:hAnsi="Times New Roman" w:cs="Times New Roman"/>
      <w:color w:val="auto"/>
      <w:kern w:val="0"/>
      <w:lang w:bidi="ar-SA"/>
      <w14:ligatures w14:val="none"/>
    </w:rPr>
  </w:style>
  <w:style w:type="character" w:styleId="Emphasis">
    <w:name w:val="Emphasis"/>
    <w:basedOn w:val="DefaultParagraphFont"/>
    <w:uiPriority w:val="20"/>
    <w:qFormat/>
    <w:rsid w:val="001924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15395</Words>
  <Characters>87757</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Thomas, Naija</cp:lastModifiedBy>
  <cp:revision>2</cp:revision>
  <dcterms:created xsi:type="dcterms:W3CDTF">2026-09-22T20:33:00Z</dcterms:created>
  <dcterms:modified xsi:type="dcterms:W3CDTF">2026-09-22T20:33:00Z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114c68b-0cbb-4c41-b863-d3e86ec55507_Enabled">
    <vt:lpwstr>true</vt:lpwstr>
  </property>
  <property fmtid="{D5CDD505-2E9C-101B-9397-08002B2CF9AE}" pid="3" name="MSIP_Label_8114c68b-0cbb-4c41-b863-d3e86ec55507_SetDate">
    <vt:lpwstr>2026-09-16T20:15:27Z</vt:lpwstr>
  </property>
  <property fmtid="{D5CDD505-2E9C-101B-9397-08002B2CF9AE}" pid="4" name="MSIP_Label_8114c68b-0cbb-4c41-b863-d3e86ec55507_Method">
    <vt:lpwstr>Privileged</vt:lpwstr>
  </property>
  <property fmtid="{D5CDD505-2E9C-101B-9397-08002B2CF9AE}" pid="5" name="MSIP_Label_8114c68b-0cbb-4c41-b863-d3e86ec55507_Name">
    <vt:lpwstr>defa4170-0d19-0005-0009-bc88714345d2</vt:lpwstr>
  </property>
  <property fmtid="{D5CDD505-2E9C-101B-9397-08002B2CF9AE}" pid="6" name="MSIP_Label_8114c68b-0cbb-4c41-b863-d3e86ec55507_SiteId">
    <vt:lpwstr>4f682168-4491-445a-bd80-52308a3c53ee</vt:lpwstr>
  </property>
  <property fmtid="{D5CDD505-2E9C-101B-9397-08002B2CF9AE}" pid="7" name="MSIP_Label_8114c68b-0cbb-4c41-b863-d3e86ec55507_ActionId">
    <vt:lpwstr>586e6dce-5b66-4ea8-b923-d4e4cc23c03e</vt:lpwstr>
  </property>
  <property fmtid="{D5CDD505-2E9C-101B-9397-08002B2CF9AE}" pid="8" name="MSIP_Label_8114c68b-0cbb-4c41-b863-d3e86ec55507_ContentBits">
    <vt:lpwstr>0</vt:lpwstr>
  </property>
  <property fmtid="{D5CDD505-2E9C-101B-9397-08002B2CF9AE}" pid="9" name="MSIP_Label_8114c68b-0cbb-4c41-b863-d3e86ec55507_Tag">
    <vt:lpwstr>50, 0, 1, 1</vt:lpwstr>
  </property>
</Properties>
</file>