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AB74C" w14:textId="7C4074B6" w:rsidR="009518DC" w:rsidRDefault="009518DC" w:rsidP="00A7372D">
      <w:pPr>
        <w:pBdr>
          <w:top w:val="single" w:sz="4" w:space="1" w:color="auto"/>
          <w:left w:val="single" w:sz="4" w:space="4" w:color="auto"/>
          <w:bottom w:val="single" w:sz="4" w:space="1" w:color="auto"/>
          <w:right w:val="single" w:sz="4" w:space="4" w:color="auto"/>
        </w:pBdr>
        <w:shd w:val="clear" w:color="auto" w:fill="E59EDC" w:themeFill="accent5" w:themeFillTint="66"/>
        <w:jc w:val="center"/>
        <w:rPr>
          <w:b/>
          <w:bCs/>
        </w:rPr>
      </w:pPr>
      <w:r w:rsidRPr="009518DC">
        <w:rPr>
          <w:b/>
          <w:bCs/>
        </w:rPr>
        <w:t>Chapitre 8 Le droit de la concurrence</w:t>
      </w:r>
    </w:p>
    <w:p w14:paraId="4E25F25F" w14:textId="77777777" w:rsidR="009518DC" w:rsidRDefault="009518DC" w:rsidP="00623F95">
      <w:pPr>
        <w:jc w:val="both"/>
        <w:rPr>
          <w:b/>
          <w:bCs/>
        </w:rPr>
      </w:pPr>
    </w:p>
    <w:p w14:paraId="6D31E96C" w14:textId="77777777" w:rsidR="009518DC" w:rsidRPr="009518DC" w:rsidRDefault="009518DC" w:rsidP="00623F95">
      <w:pPr>
        <w:spacing w:before="144" w:after="0" w:line="240" w:lineRule="auto"/>
        <w:ind w:left="706" w:hanging="605"/>
        <w:jc w:val="both"/>
        <w:rPr>
          <w:rFonts w:eastAsia="Times New Roman" w:cs="Times New Roman"/>
          <w:kern w:val="0"/>
          <w:lang w:eastAsia="fr-FR"/>
          <w14:ligatures w14:val="none"/>
        </w:rPr>
      </w:pPr>
      <w:r w:rsidRPr="009518DC">
        <w:rPr>
          <w:rFonts w:eastAsiaTheme="minorEastAsia"/>
          <w:color w:val="000000" w:themeColor="text1"/>
          <w:kern w:val="24"/>
          <w:lang w:eastAsia="fr-FR"/>
          <w14:ligatures w14:val="none"/>
        </w:rPr>
        <w:tab/>
        <w:t xml:space="preserve">Le droit de la concurrence vise à remplir 2 objectifs : </w:t>
      </w:r>
    </w:p>
    <w:p w14:paraId="2ED4BA96" w14:textId="77777777" w:rsidR="009518DC" w:rsidRPr="009518DC" w:rsidRDefault="009518DC" w:rsidP="00623F95">
      <w:pPr>
        <w:numPr>
          <w:ilvl w:val="0"/>
          <w:numId w:val="1"/>
        </w:numPr>
        <w:spacing w:after="0" w:line="240" w:lineRule="auto"/>
        <w:ind w:left="1426"/>
        <w:contextualSpacing/>
        <w:jc w:val="both"/>
        <w:rPr>
          <w:rFonts w:eastAsia="Times New Roman" w:cs="Times New Roman"/>
          <w:color w:val="727CA3"/>
          <w:kern w:val="0"/>
          <w:lang w:eastAsia="fr-FR"/>
          <w14:ligatures w14:val="none"/>
        </w:rPr>
      </w:pPr>
      <w:r w:rsidRPr="009518DC">
        <w:rPr>
          <w:rFonts w:eastAsiaTheme="minorEastAsia"/>
          <w:color w:val="000000" w:themeColor="text1"/>
          <w:kern w:val="24"/>
          <w:lang w:eastAsia="fr-FR"/>
          <w14:ligatures w14:val="none"/>
        </w:rPr>
        <w:t>Garantir la libre concurrence entre les entreprises dans l’intérêt des consommateurs</w:t>
      </w:r>
    </w:p>
    <w:p w14:paraId="3206EB21" w14:textId="77777777" w:rsidR="009518DC" w:rsidRPr="009518DC" w:rsidRDefault="009518DC" w:rsidP="00623F95">
      <w:pPr>
        <w:numPr>
          <w:ilvl w:val="0"/>
          <w:numId w:val="1"/>
        </w:numPr>
        <w:spacing w:after="0" w:line="240" w:lineRule="auto"/>
        <w:ind w:left="1426"/>
        <w:contextualSpacing/>
        <w:jc w:val="both"/>
        <w:rPr>
          <w:rFonts w:eastAsia="Times New Roman" w:cs="Times New Roman"/>
          <w:color w:val="727CA3"/>
          <w:kern w:val="0"/>
          <w:lang w:eastAsia="fr-FR"/>
          <w14:ligatures w14:val="none"/>
        </w:rPr>
      </w:pPr>
      <w:r w:rsidRPr="009518DC">
        <w:rPr>
          <w:rFonts w:eastAsiaTheme="minorEastAsia"/>
          <w:color w:val="000000" w:themeColor="text1"/>
          <w:kern w:val="24"/>
          <w:lang w:eastAsia="fr-FR"/>
          <w14:ligatures w14:val="none"/>
        </w:rPr>
        <w:t>Protéger les entreprises contre les concurrents malveillants qui emploient des méthodes déloyales prohibées</w:t>
      </w:r>
    </w:p>
    <w:p w14:paraId="55794DF8" w14:textId="77777777" w:rsidR="009518DC" w:rsidRPr="009518DC" w:rsidRDefault="009518DC" w:rsidP="00623F95">
      <w:pPr>
        <w:ind w:left="360"/>
        <w:jc w:val="both"/>
        <w:rPr>
          <w:b/>
          <w:bCs/>
        </w:rPr>
      </w:pPr>
      <w:r w:rsidRPr="009518DC">
        <w:rPr>
          <w:b/>
          <w:bCs/>
        </w:rPr>
        <w:t>1 . Le rôle du droit dans la régulation</w:t>
      </w:r>
    </w:p>
    <w:p w14:paraId="29B115A9" w14:textId="77777777" w:rsidR="009518DC" w:rsidRPr="009518DC" w:rsidRDefault="009518DC" w:rsidP="00623F95">
      <w:pPr>
        <w:spacing w:after="0" w:line="240" w:lineRule="auto"/>
        <w:ind w:left="360"/>
        <w:jc w:val="both"/>
      </w:pPr>
      <w:r w:rsidRPr="009518DC">
        <w:t>Régulation = maintien en équilibre les activités économiques</w:t>
      </w:r>
    </w:p>
    <w:p w14:paraId="0998C3D2" w14:textId="77777777" w:rsidR="009518DC" w:rsidRPr="009518DC" w:rsidRDefault="009518DC" w:rsidP="00623F95">
      <w:pPr>
        <w:spacing w:after="0" w:line="240" w:lineRule="auto"/>
        <w:ind w:left="360"/>
        <w:jc w:val="both"/>
      </w:pPr>
      <w:r w:rsidRPr="009518DC">
        <w:t>Règlementation = fixe les règles</w:t>
      </w:r>
    </w:p>
    <w:p w14:paraId="449D1772" w14:textId="77777777" w:rsidR="009518DC" w:rsidRDefault="009518DC" w:rsidP="00623F95">
      <w:pPr>
        <w:spacing w:after="0" w:line="240" w:lineRule="auto"/>
        <w:ind w:left="360"/>
        <w:jc w:val="both"/>
      </w:pPr>
      <w:r w:rsidRPr="009518DC">
        <w:t>Le droit veille notamment au bon équilibre des relations commerciales entre les agents économiques dans les secteurs d’activité ou les conditions de marché favorisent la formation de monopoles.</w:t>
      </w:r>
    </w:p>
    <w:p w14:paraId="1BCA3E7E" w14:textId="77777777" w:rsidR="009518DC" w:rsidRPr="009518DC" w:rsidRDefault="009518DC" w:rsidP="00623F95">
      <w:pPr>
        <w:spacing w:after="0" w:line="240" w:lineRule="auto"/>
        <w:ind w:left="426"/>
        <w:jc w:val="both"/>
        <w:rPr>
          <w:rFonts w:eastAsia="Times New Roman" w:cs="Times New Roman"/>
          <w:kern w:val="0"/>
          <w:lang w:eastAsia="fr-FR"/>
          <w14:ligatures w14:val="none"/>
        </w:rPr>
      </w:pPr>
      <w:r w:rsidRPr="009518DC">
        <w:rPr>
          <w:rFonts w:eastAsiaTheme="minorEastAsia"/>
          <w:color w:val="000000" w:themeColor="text1"/>
          <w:kern w:val="24"/>
          <w:lang w:eastAsia="fr-FR"/>
          <w14:ligatures w14:val="none"/>
        </w:rPr>
        <w:t>Le droit fournit alors des outils juridiques  pour permettre une concurrence libre et non faussée.</w:t>
      </w:r>
    </w:p>
    <w:p w14:paraId="41CB525F" w14:textId="77777777" w:rsidR="009518DC" w:rsidRDefault="009518DC" w:rsidP="00623F95">
      <w:pPr>
        <w:spacing w:after="0" w:line="240" w:lineRule="auto"/>
        <w:ind w:left="426"/>
        <w:jc w:val="both"/>
        <w:rPr>
          <w:rFonts w:eastAsiaTheme="minorEastAsia"/>
          <w:color w:val="000000" w:themeColor="text1"/>
          <w:kern w:val="24"/>
          <w:lang w:eastAsia="fr-FR"/>
          <w14:ligatures w14:val="none"/>
        </w:rPr>
      </w:pPr>
      <w:r w:rsidRPr="009518DC">
        <w:rPr>
          <w:rFonts w:eastAsiaTheme="minorEastAsia"/>
          <w:color w:val="000000" w:themeColor="text1"/>
          <w:kern w:val="24"/>
          <w:lang w:eastAsia="fr-FR"/>
          <w14:ligatures w14:val="none"/>
        </w:rPr>
        <w:t>Le marché ne s’établit pas de lui-même il est nécessaire de prévoir des règles</w:t>
      </w:r>
    </w:p>
    <w:p w14:paraId="38CC2C69" w14:textId="7784EED5" w:rsidR="009518DC" w:rsidRPr="009518DC" w:rsidRDefault="009518DC" w:rsidP="00623F95">
      <w:pPr>
        <w:spacing w:after="0" w:line="240" w:lineRule="auto"/>
        <w:ind w:left="426"/>
        <w:jc w:val="both"/>
        <w:rPr>
          <w:rFonts w:eastAsia="Times New Roman" w:cs="Times New Roman"/>
          <w:kern w:val="0"/>
          <w:lang w:eastAsia="fr-FR"/>
          <w14:ligatures w14:val="none"/>
        </w:rPr>
      </w:pPr>
      <w:r w:rsidRPr="009518DC">
        <w:rPr>
          <w:rFonts w:eastAsiaTheme="minorEastAsia"/>
          <w:color w:val="000000" w:themeColor="text1"/>
          <w:kern w:val="24"/>
          <w:lang w:eastAsia="fr-FR"/>
          <w14:ligatures w14:val="none"/>
        </w:rPr>
        <w:t>juridiques qui permettent d’ouvrir un marché à la concurrence :</w:t>
      </w:r>
    </w:p>
    <w:p w14:paraId="0BD07A4F" w14:textId="77777777" w:rsidR="009518DC" w:rsidRPr="009518DC" w:rsidRDefault="009518DC" w:rsidP="00623F95">
      <w:pPr>
        <w:numPr>
          <w:ilvl w:val="0"/>
          <w:numId w:val="2"/>
        </w:numPr>
        <w:spacing w:after="0" w:line="240" w:lineRule="auto"/>
        <w:ind w:left="1426"/>
        <w:contextualSpacing/>
        <w:jc w:val="both"/>
        <w:rPr>
          <w:rFonts w:eastAsia="Times New Roman" w:cs="Times New Roman"/>
          <w:color w:val="727CA3"/>
          <w:kern w:val="0"/>
          <w:lang w:eastAsia="fr-FR"/>
          <w14:ligatures w14:val="none"/>
        </w:rPr>
      </w:pPr>
      <w:r w:rsidRPr="009518DC">
        <w:rPr>
          <w:rFonts w:eastAsiaTheme="minorEastAsia"/>
          <w:color w:val="000000" w:themeColor="text1"/>
          <w:kern w:val="24"/>
          <w:lang w:eastAsia="fr-FR"/>
          <w14:ligatures w14:val="none"/>
        </w:rPr>
        <w:t xml:space="preserve">Libéralisant les secteurs qui étaient régis par des monopoles publics (ex: le transport public) </w:t>
      </w:r>
    </w:p>
    <w:p w14:paraId="57F0EB16" w14:textId="77777777" w:rsidR="009518DC" w:rsidRPr="009518DC" w:rsidRDefault="009518DC" w:rsidP="00623F95">
      <w:pPr>
        <w:numPr>
          <w:ilvl w:val="0"/>
          <w:numId w:val="2"/>
        </w:numPr>
        <w:spacing w:after="0" w:line="240" w:lineRule="auto"/>
        <w:ind w:left="1426"/>
        <w:contextualSpacing/>
        <w:jc w:val="both"/>
        <w:rPr>
          <w:rFonts w:eastAsia="Times New Roman" w:cs="Times New Roman"/>
          <w:color w:val="727CA3"/>
          <w:kern w:val="0"/>
          <w:lang w:eastAsia="fr-FR"/>
          <w14:ligatures w14:val="none"/>
        </w:rPr>
      </w:pPr>
      <w:r w:rsidRPr="009518DC">
        <w:rPr>
          <w:rFonts w:eastAsiaTheme="minorEastAsia"/>
          <w:color w:val="000000" w:themeColor="text1"/>
          <w:kern w:val="24"/>
          <w:lang w:eastAsia="fr-FR"/>
          <w14:ligatures w14:val="none"/>
        </w:rPr>
        <w:t>En assurant la libre entrée dans les entreprises sur le marché (suppression des barrières à l’entrée)</w:t>
      </w:r>
    </w:p>
    <w:p w14:paraId="50778248" w14:textId="77777777" w:rsidR="009518DC" w:rsidRPr="009518DC" w:rsidRDefault="009518DC" w:rsidP="00623F95">
      <w:pPr>
        <w:numPr>
          <w:ilvl w:val="0"/>
          <w:numId w:val="2"/>
        </w:numPr>
        <w:spacing w:after="0" w:line="240" w:lineRule="auto"/>
        <w:ind w:left="1426"/>
        <w:contextualSpacing/>
        <w:jc w:val="both"/>
        <w:rPr>
          <w:rFonts w:eastAsia="Times New Roman" w:cs="Times New Roman"/>
          <w:color w:val="727CA3"/>
          <w:kern w:val="0"/>
          <w:lang w:eastAsia="fr-FR"/>
          <w14:ligatures w14:val="none"/>
        </w:rPr>
      </w:pPr>
      <w:r w:rsidRPr="009518DC">
        <w:rPr>
          <w:rFonts w:eastAsiaTheme="minorEastAsia"/>
          <w:color w:val="000000" w:themeColor="text1"/>
          <w:kern w:val="24"/>
          <w:lang w:eastAsia="fr-FR"/>
          <w14:ligatures w14:val="none"/>
        </w:rPr>
        <w:t>En favorisant la transparence de l’information</w:t>
      </w:r>
    </w:p>
    <w:p w14:paraId="13CDF573" w14:textId="77777777" w:rsidR="009518DC" w:rsidRPr="009518DC" w:rsidRDefault="009518DC" w:rsidP="00623F95">
      <w:pPr>
        <w:numPr>
          <w:ilvl w:val="0"/>
          <w:numId w:val="2"/>
        </w:numPr>
        <w:spacing w:after="0" w:line="240" w:lineRule="auto"/>
        <w:ind w:left="1426"/>
        <w:contextualSpacing/>
        <w:jc w:val="both"/>
        <w:rPr>
          <w:rFonts w:eastAsia="Times New Roman" w:cs="Times New Roman"/>
          <w:color w:val="727CA3"/>
          <w:kern w:val="0"/>
          <w:lang w:eastAsia="fr-FR"/>
          <w14:ligatures w14:val="none"/>
        </w:rPr>
      </w:pPr>
      <w:r w:rsidRPr="009518DC">
        <w:rPr>
          <w:rFonts w:eastAsiaTheme="minorEastAsia"/>
          <w:color w:val="000000" w:themeColor="text1"/>
          <w:kern w:val="24"/>
          <w:lang w:eastAsia="fr-FR"/>
          <w14:ligatures w14:val="none"/>
        </w:rPr>
        <w:t>En garantissant le respect des règles  de la concurrence (sanction des pratiques et comportements qui nuisent à la concurrence)</w:t>
      </w:r>
    </w:p>
    <w:p w14:paraId="4FF64596" w14:textId="18BBF8CE" w:rsidR="009518DC" w:rsidRDefault="009518DC" w:rsidP="00623F95">
      <w:pPr>
        <w:ind w:left="360"/>
        <w:jc w:val="both"/>
      </w:pPr>
      <w:r w:rsidRPr="009518DC">
        <w:t>L'instauration de la concurrence résulte</w:t>
      </w:r>
      <w:r>
        <w:t>,</w:t>
      </w:r>
      <w:r w:rsidRPr="009518DC">
        <w:t xml:space="preserve"> En France de la liberté du commerce et de l'industrie instituée par le décret </w:t>
      </w:r>
      <w:r w:rsidR="00653340" w:rsidRPr="009518DC">
        <w:t>d’Allarde</w:t>
      </w:r>
      <w:r w:rsidRPr="009518DC">
        <w:t xml:space="preserve"> de 1791</w:t>
      </w:r>
    </w:p>
    <w:p w14:paraId="50FF729B" w14:textId="2A329D27" w:rsidR="009518DC" w:rsidRDefault="00653340" w:rsidP="00623F95">
      <w:pPr>
        <w:spacing w:after="0"/>
        <w:ind w:left="357"/>
        <w:jc w:val="both"/>
      </w:pPr>
      <w:r>
        <w:t>E</w:t>
      </w:r>
      <w:r w:rsidR="009518DC" w:rsidRPr="009518DC">
        <w:t>lle recouvre 3 libertés</w:t>
      </w:r>
      <w:r w:rsidR="009518DC">
        <w:t> :</w:t>
      </w:r>
    </w:p>
    <w:p w14:paraId="4E40DF4E" w14:textId="399A6AD3" w:rsidR="009518DC" w:rsidRDefault="009518DC" w:rsidP="00623F95">
      <w:pPr>
        <w:spacing w:after="0"/>
        <w:ind w:left="357"/>
        <w:jc w:val="both"/>
      </w:pPr>
      <w:r>
        <w:t>-</w:t>
      </w:r>
      <w:r w:rsidRPr="009518DC">
        <w:t>de la liberté d'entreprendre</w:t>
      </w:r>
      <w:r>
        <w:t>,</w:t>
      </w:r>
      <w:r w:rsidRPr="009518DC">
        <w:t xml:space="preserve"> qui permet à chacun d'exercer une activité professionnelle de son choix et d'entrer sur un marché</w:t>
      </w:r>
      <w:r>
        <w:t> ;</w:t>
      </w:r>
    </w:p>
    <w:p w14:paraId="629F7C13" w14:textId="6EDADFCC" w:rsidR="009518DC" w:rsidRDefault="009518DC" w:rsidP="00623F95">
      <w:pPr>
        <w:spacing w:after="0"/>
        <w:ind w:left="357"/>
        <w:jc w:val="both"/>
      </w:pPr>
      <w:r>
        <w:t xml:space="preserve">- </w:t>
      </w:r>
      <w:r w:rsidRPr="009518DC">
        <w:t>la liberté de concurrence</w:t>
      </w:r>
      <w:r>
        <w:t>,</w:t>
      </w:r>
      <w:r w:rsidRPr="009518DC">
        <w:t xml:space="preserve"> qui permet à chaque acteur économique de livrer une concurrence aux entreprises présentes sur le marché pour attirer la clientèle</w:t>
      </w:r>
      <w:r>
        <w:t> ;</w:t>
      </w:r>
    </w:p>
    <w:p w14:paraId="7045F420" w14:textId="1567AE0E" w:rsidR="009518DC" w:rsidRDefault="009518DC" w:rsidP="00623F95">
      <w:pPr>
        <w:spacing w:after="0"/>
        <w:ind w:left="357"/>
        <w:jc w:val="both"/>
      </w:pPr>
      <w:r>
        <w:t>-</w:t>
      </w:r>
      <w:r w:rsidRPr="009518DC">
        <w:t xml:space="preserve"> la liberté d'exploitation qui garantit la liberté dans la gestion de l'entreprise</w:t>
      </w:r>
      <w:r>
        <w:t>.</w:t>
      </w:r>
    </w:p>
    <w:p w14:paraId="5A4632A9" w14:textId="77777777" w:rsidR="00EF2CCA" w:rsidRDefault="00EF2CCA" w:rsidP="00623F95">
      <w:pPr>
        <w:ind w:left="360"/>
        <w:jc w:val="both"/>
        <w:rPr>
          <w:b/>
          <w:bCs/>
        </w:rPr>
      </w:pPr>
    </w:p>
    <w:p w14:paraId="5034A2A0" w14:textId="0C63587C" w:rsidR="00BF69A7" w:rsidRDefault="00BF69A7" w:rsidP="00623F95">
      <w:pPr>
        <w:ind w:left="360"/>
        <w:jc w:val="both"/>
        <w:rPr>
          <w:b/>
          <w:bCs/>
        </w:rPr>
      </w:pPr>
      <w:r w:rsidRPr="00BF69A7">
        <w:rPr>
          <w:b/>
          <w:bCs/>
        </w:rPr>
        <w:t xml:space="preserve">2 </w:t>
      </w:r>
      <w:r>
        <w:rPr>
          <w:b/>
          <w:bCs/>
        </w:rPr>
        <w:t xml:space="preserve">. </w:t>
      </w:r>
      <w:r w:rsidRPr="00BF69A7">
        <w:rPr>
          <w:b/>
          <w:bCs/>
        </w:rPr>
        <w:t>Les institutions en charge de la concurrence</w:t>
      </w:r>
    </w:p>
    <w:p w14:paraId="2089B4AC" w14:textId="377264AB" w:rsidR="00BF69A7" w:rsidRDefault="00BF69A7" w:rsidP="00623F95">
      <w:pPr>
        <w:pStyle w:val="Paragraphedeliste"/>
        <w:numPr>
          <w:ilvl w:val="0"/>
          <w:numId w:val="3"/>
        </w:numPr>
        <w:jc w:val="both"/>
        <w:rPr>
          <w:b/>
          <w:bCs/>
        </w:rPr>
      </w:pPr>
      <w:r>
        <w:rPr>
          <w:b/>
          <w:bCs/>
        </w:rPr>
        <w:t>L’autorité de la concurrence au niveau national</w:t>
      </w:r>
    </w:p>
    <w:p w14:paraId="7E832271" w14:textId="77777777" w:rsidR="00BF69A7" w:rsidRPr="00BF69A7" w:rsidRDefault="00BF69A7" w:rsidP="00623F95">
      <w:pPr>
        <w:pStyle w:val="Paragraphedeliste"/>
        <w:spacing w:after="0"/>
        <w:jc w:val="both"/>
      </w:pPr>
      <w:r w:rsidRPr="00BF69A7">
        <w:t>Elle est spécialisée dans le contrôle des pratiques anticoncurrentielles, l’expertise du fonctionnement des marchés et le contrôle des opérations de concentration.</w:t>
      </w:r>
    </w:p>
    <w:p w14:paraId="07CD4DC5" w14:textId="77777777" w:rsidR="00BF69A7" w:rsidRDefault="00BF69A7" w:rsidP="00623F95">
      <w:pPr>
        <w:pStyle w:val="Paragraphedeliste"/>
        <w:spacing w:after="0"/>
        <w:jc w:val="both"/>
      </w:pPr>
      <w:r w:rsidRPr="00BF69A7">
        <w:t>Elle est composée de 17 membres choisis en fonction de leurs compétences diverses (juristes, producteurs, distributeurs…) et nommés par décret pris par le ministre chargé de l’économie.</w:t>
      </w:r>
    </w:p>
    <w:p w14:paraId="65390194" w14:textId="77777777" w:rsidR="00BF69A7" w:rsidRPr="00BF69A7" w:rsidRDefault="00BF69A7" w:rsidP="00623F95">
      <w:pPr>
        <w:pStyle w:val="NormalWeb"/>
        <w:spacing w:before="0" w:beforeAutospacing="0" w:after="0" w:afterAutospacing="0"/>
        <w:jc w:val="both"/>
        <w:rPr>
          <w:rFonts w:asciiTheme="minorHAnsi" w:hAnsiTheme="minorHAnsi"/>
        </w:rPr>
      </w:pPr>
      <w:r w:rsidRPr="00BF69A7">
        <w:rPr>
          <w:rFonts w:asciiTheme="minorHAnsi" w:eastAsiaTheme="minorEastAsia" w:hAnsiTheme="minorHAnsi" w:cstheme="minorBidi"/>
          <w:color w:val="000000" w:themeColor="text1"/>
          <w:kern w:val="24"/>
        </w:rPr>
        <w:lastRenderedPageBreak/>
        <w:t>Elle analyse et régule le fonctionnement de la concurrence en vue de la sauvegarde de l’intérêt public économique.</w:t>
      </w:r>
    </w:p>
    <w:p w14:paraId="56FE7A1C" w14:textId="3FD2100C" w:rsidR="00BF69A7" w:rsidRPr="00BF69A7" w:rsidRDefault="00BF69A7" w:rsidP="00623F95">
      <w:pPr>
        <w:pStyle w:val="NormalWeb"/>
        <w:spacing w:before="0" w:beforeAutospacing="0" w:after="0" w:afterAutospacing="0"/>
        <w:jc w:val="both"/>
        <w:rPr>
          <w:rFonts w:asciiTheme="minorHAnsi" w:hAnsiTheme="minorHAnsi"/>
        </w:rPr>
      </w:pPr>
      <w:r w:rsidRPr="00BF69A7">
        <w:rPr>
          <w:rFonts w:asciiTheme="minorHAnsi" w:eastAsiaTheme="minorEastAsia" w:hAnsiTheme="minorHAnsi" w:cstheme="minorBidi"/>
          <w:color w:val="000000" w:themeColor="text1"/>
          <w:kern w:val="24"/>
        </w:rPr>
        <w:t>Elle veille au jeu de la libre concurrence et apporte son concours au fonctionnement concurrentiel des  marchés aux niveaux national, européen et international</w:t>
      </w:r>
      <w:r w:rsidR="00EF2CCA">
        <w:rPr>
          <w:rFonts w:asciiTheme="minorHAnsi" w:eastAsiaTheme="minorEastAsia" w:hAnsiTheme="minorHAnsi" w:cstheme="minorBidi"/>
          <w:color w:val="000000" w:themeColor="text1"/>
          <w:kern w:val="24"/>
        </w:rPr>
        <w:t>.</w:t>
      </w:r>
    </w:p>
    <w:p w14:paraId="7B9F5ADC" w14:textId="77777777" w:rsidR="00BF69A7" w:rsidRPr="00BF69A7" w:rsidRDefault="00BF69A7" w:rsidP="00623F95">
      <w:pPr>
        <w:pStyle w:val="NormalWeb"/>
        <w:spacing w:before="0" w:beforeAutospacing="0" w:after="0" w:afterAutospacing="0"/>
        <w:ind w:left="567" w:hanging="605"/>
        <w:jc w:val="both"/>
        <w:rPr>
          <w:rFonts w:asciiTheme="minorHAnsi" w:hAnsiTheme="minorHAnsi"/>
        </w:rPr>
      </w:pPr>
      <w:r w:rsidRPr="00BF69A7">
        <w:rPr>
          <w:rFonts w:asciiTheme="minorHAnsi" w:eastAsiaTheme="minorEastAsia" w:hAnsiTheme="minorHAnsi" w:cstheme="minorBidi"/>
          <w:color w:val="000000" w:themeColor="text1"/>
          <w:kern w:val="24"/>
        </w:rPr>
        <w:t>Elle contrôle les opérations de concentration d’entreprises pour éviter les monopoles.</w:t>
      </w:r>
    </w:p>
    <w:p w14:paraId="2B6DB032" w14:textId="77777777" w:rsidR="00BF69A7" w:rsidRPr="00BF69A7" w:rsidRDefault="00BF69A7" w:rsidP="00623F95">
      <w:pPr>
        <w:pStyle w:val="NormalWeb"/>
        <w:spacing w:before="0" w:beforeAutospacing="0" w:after="0" w:afterAutospacing="0"/>
        <w:ind w:left="567" w:hanging="605"/>
        <w:jc w:val="both"/>
        <w:rPr>
          <w:rFonts w:asciiTheme="minorHAnsi" w:hAnsiTheme="minorHAnsi"/>
        </w:rPr>
      </w:pPr>
      <w:r w:rsidRPr="00BF69A7">
        <w:rPr>
          <w:rFonts w:asciiTheme="minorHAnsi" w:eastAsiaTheme="minorEastAsia" w:hAnsiTheme="minorHAnsi" w:cstheme="minorBidi"/>
          <w:color w:val="000000" w:themeColor="text1"/>
          <w:kern w:val="24"/>
        </w:rPr>
        <w:t xml:space="preserve">Elle émet des avis des recommandations sur la concurrence . </w:t>
      </w:r>
    </w:p>
    <w:p w14:paraId="2A0D34D3" w14:textId="77777777" w:rsidR="00BF69A7" w:rsidRPr="00BF69A7" w:rsidRDefault="00BF69A7" w:rsidP="00623F95">
      <w:pPr>
        <w:pStyle w:val="NormalWeb"/>
        <w:spacing w:before="0" w:beforeAutospacing="0" w:after="0" w:afterAutospacing="0"/>
        <w:ind w:left="142" w:hanging="183"/>
        <w:jc w:val="both"/>
        <w:rPr>
          <w:rFonts w:asciiTheme="minorHAnsi" w:hAnsiTheme="minorHAnsi"/>
        </w:rPr>
      </w:pPr>
      <w:r w:rsidRPr="00BF69A7">
        <w:rPr>
          <w:rFonts w:asciiTheme="minorHAnsi" w:eastAsiaTheme="minorEastAsia" w:hAnsiTheme="minorHAnsi" w:cstheme="minorBidi"/>
          <w:color w:val="000000" w:themeColor="text1"/>
          <w:kern w:val="24"/>
        </w:rPr>
        <w:t xml:space="preserve">Elle peut sanctionner des comportements anti concurrentiels. </w:t>
      </w:r>
    </w:p>
    <w:p w14:paraId="662EB3ED" w14:textId="59DDFC48" w:rsidR="009518DC" w:rsidRDefault="00BF69A7" w:rsidP="00623F95">
      <w:pPr>
        <w:jc w:val="both"/>
        <w:rPr>
          <w:b/>
          <w:bCs/>
        </w:rPr>
      </w:pPr>
      <w:r>
        <w:rPr>
          <w:b/>
          <w:bCs/>
        </w:rPr>
        <w:t xml:space="preserve">C’est une autorité administrative indépendante </w:t>
      </w:r>
    </w:p>
    <w:p w14:paraId="50804AB1" w14:textId="77777777" w:rsidR="00BF69A7" w:rsidRPr="00BF69A7" w:rsidRDefault="00BF69A7" w:rsidP="00623F95">
      <w:pPr>
        <w:spacing w:after="0" w:line="240" w:lineRule="auto"/>
        <w:ind w:left="1426"/>
        <w:contextualSpacing/>
        <w:jc w:val="both"/>
        <w:rPr>
          <w:rFonts w:eastAsia="Times New Roman" w:cs="Times New Roman"/>
          <w:color w:val="727CA3"/>
          <w:kern w:val="0"/>
          <w:lang w:eastAsia="fr-FR"/>
          <w14:ligatures w14:val="none"/>
        </w:rPr>
      </w:pPr>
      <w:r w:rsidRPr="00BF69A7">
        <w:rPr>
          <w:rFonts w:eastAsiaTheme="minorEastAsia"/>
          <w:color w:val="000000" w:themeColor="text1"/>
          <w:kern w:val="24"/>
          <w:lang w:eastAsia="fr-FR"/>
          <w14:ligatures w14:val="none"/>
        </w:rPr>
        <w:t>Les AAI présentent trois caractéristiques. Ce sont :</w:t>
      </w:r>
    </w:p>
    <w:p w14:paraId="64BE36C0" w14:textId="77777777" w:rsidR="00BF69A7" w:rsidRPr="00BF69A7" w:rsidRDefault="00BF69A7" w:rsidP="00623F95">
      <w:pPr>
        <w:numPr>
          <w:ilvl w:val="0"/>
          <w:numId w:val="5"/>
        </w:numPr>
        <w:spacing w:after="0" w:line="240" w:lineRule="auto"/>
        <w:ind w:left="1426"/>
        <w:contextualSpacing/>
        <w:jc w:val="both"/>
        <w:rPr>
          <w:rFonts w:eastAsia="Times New Roman" w:cs="Times New Roman"/>
          <w:color w:val="727CA3"/>
          <w:kern w:val="0"/>
          <w:lang w:eastAsia="fr-FR"/>
          <w14:ligatures w14:val="none"/>
        </w:rPr>
      </w:pPr>
      <w:r w:rsidRPr="00BF69A7">
        <w:rPr>
          <w:rFonts w:eastAsiaTheme="minorEastAsia"/>
          <w:color w:val="000000" w:themeColor="text1"/>
          <w:kern w:val="24"/>
          <w:lang w:eastAsia="fr-FR"/>
          <w14:ligatures w14:val="none"/>
        </w:rPr>
        <w:t>des autorités : elles disposent d’un certain nombre de pouvoirs (recommandation, décision, réglementation, sanction) ;</w:t>
      </w:r>
    </w:p>
    <w:p w14:paraId="70474468" w14:textId="77777777" w:rsidR="00BF69A7" w:rsidRPr="00BF69A7" w:rsidRDefault="00BF69A7" w:rsidP="00623F95">
      <w:pPr>
        <w:numPr>
          <w:ilvl w:val="0"/>
          <w:numId w:val="5"/>
        </w:numPr>
        <w:spacing w:after="0" w:line="240" w:lineRule="auto"/>
        <w:ind w:left="1426"/>
        <w:contextualSpacing/>
        <w:jc w:val="both"/>
        <w:rPr>
          <w:rFonts w:eastAsia="Times New Roman" w:cs="Times New Roman"/>
          <w:color w:val="727CA3"/>
          <w:kern w:val="0"/>
          <w:lang w:eastAsia="fr-FR"/>
          <w14:ligatures w14:val="none"/>
        </w:rPr>
      </w:pPr>
      <w:r w:rsidRPr="00BF69A7">
        <w:rPr>
          <w:rFonts w:eastAsiaTheme="minorEastAsia"/>
          <w:color w:val="000000" w:themeColor="text1"/>
          <w:kern w:val="24"/>
          <w:lang w:eastAsia="fr-FR"/>
          <w14:ligatures w14:val="none"/>
        </w:rPr>
        <w:t>administratives : elles agissent au nom de l’État et certaines compétences dévolues à l’administration leur sont déléguées (ex : le pouvoir réglementaire) ;</w:t>
      </w:r>
    </w:p>
    <w:p w14:paraId="79182FC1" w14:textId="77777777" w:rsidR="00BF69A7" w:rsidRPr="00BF69A7" w:rsidRDefault="00BF69A7" w:rsidP="00623F95">
      <w:pPr>
        <w:numPr>
          <w:ilvl w:val="0"/>
          <w:numId w:val="5"/>
        </w:numPr>
        <w:spacing w:after="0" w:line="240" w:lineRule="auto"/>
        <w:ind w:left="1426"/>
        <w:contextualSpacing/>
        <w:jc w:val="both"/>
        <w:rPr>
          <w:rFonts w:eastAsia="Times New Roman" w:cs="Times New Roman"/>
          <w:color w:val="727CA3"/>
          <w:kern w:val="0"/>
          <w:lang w:eastAsia="fr-FR"/>
          <w14:ligatures w14:val="none"/>
        </w:rPr>
      </w:pPr>
      <w:r w:rsidRPr="00BF69A7">
        <w:rPr>
          <w:rFonts w:eastAsiaTheme="minorEastAsia"/>
          <w:color w:val="000000" w:themeColor="text1"/>
          <w:kern w:val="24"/>
          <w:lang w:eastAsia="fr-FR"/>
          <w14:ligatures w14:val="none"/>
        </w:rPr>
        <w:t>indépendantes : à la fois des secteurs contrôlés mais aussi des pouvoirs publics</w:t>
      </w:r>
    </w:p>
    <w:p w14:paraId="2B90002B" w14:textId="77777777" w:rsidR="00BF69A7" w:rsidRPr="00BF69A7" w:rsidRDefault="00BF69A7" w:rsidP="00623F95">
      <w:pPr>
        <w:spacing w:after="0" w:line="240" w:lineRule="auto"/>
        <w:ind w:left="1426"/>
        <w:contextualSpacing/>
        <w:jc w:val="both"/>
        <w:rPr>
          <w:rFonts w:eastAsia="Times New Roman" w:cs="Times New Roman"/>
          <w:color w:val="727CA3"/>
          <w:kern w:val="0"/>
          <w:lang w:eastAsia="fr-FR"/>
          <w14:ligatures w14:val="none"/>
        </w:rPr>
      </w:pPr>
    </w:p>
    <w:p w14:paraId="6FA1E9A5" w14:textId="5F2043C4" w:rsidR="00BF69A7" w:rsidRDefault="00BF69A7" w:rsidP="00623F95">
      <w:pPr>
        <w:pStyle w:val="Paragraphedeliste"/>
        <w:numPr>
          <w:ilvl w:val="0"/>
          <w:numId w:val="3"/>
        </w:numPr>
        <w:jc w:val="both"/>
        <w:rPr>
          <w:b/>
          <w:bCs/>
        </w:rPr>
      </w:pPr>
      <w:r>
        <w:rPr>
          <w:b/>
          <w:bCs/>
        </w:rPr>
        <w:t>La commission européenne au niveau européen</w:t>
      </w:r>
    </w:p>
    <w:p w14:paraId="78310484" w14:textId="496A21DC" w:rsidR="008D4C34" w:rsidRDefault="00B21BDB" w:rsidP="00623F95">
      <w:pPr>
        <w:pStyle w:val="Paragraphedeliste"/>
        <w:ind w:left="0"/>
        <w:jc w:val="both"/>
      </w:pPr>
      <w:r w:rsidRPr="00B21BDB">
        <w:t>La Commission européenne a la charge de veiller au respect du droit de la concurrence pour améliorer le bien-être des consommateurs et le fonctionnement des marchés dans l'Union européenne</w:t>
      </w:r>
      <w:r>
        <w:t>.</w:t>
      </w:r>
      <w:r w:rsidRPr="00B21BDB">
        <w:t xml:space="preserve"> </w:t>
      </w:r>
      <w:r w:rsidR="00B437EA">
        <w:t>Elle</w:t>
      </w:r>
      <w:r w:rsidRPr="00B21BDB">
        <w:t xml:space="preserve"> contrôle les pratiques anticoncurrentielles</w:t>
      </w:r>
      <w:r>
        <w:t>,</w:t>
      </w:r>
      <w:r w:rsidRPr="00B21BDB">
        <w:t xml:space="preserve"> et concentrations et les aides d'</w:t>
      </w:r>
      <w:r w:rsidR="00E247F5">
        <w:t>E</w:t>
      </w:r>
      <w:r w:rsidRPr="00B21BDB">
        <w:t>tat et p</w:t>
      </w:r>
      <w:r w:rsidR="00B437EA">
        <w:t>eut</w:t>
      </w:r>
      <w:r w:rsidRPr="00B21BDB">
        <w:t xml:space="preserve"> enquêter sur ces opérations</w:t>
      </w:r>
      <w:r w:rsidR="00B437EA">
        <w:t>.</w:t>
      </w:r>
    </w:p>
    <w:p w14:paraId="07892481" w14:textId="77777777" w:rsidR="006824EB" w:rsidRDefault="006824EB" w:rsidP="00623F95">
      <w:pPr>
        <w:pStyle w:val="Paragraphedeliste"/>
        <w:ind w:left="142" w:hanging="142"/>
        <w:jc w:val="both"/>
        <w:rPr>
          <w:b/>
          <w:bCs/>
        </w:rPr>
      </w:pPr>
    </w:p>
    <w:p w14:paraId="5AB4A363" w14:textId="3FB7C18D" w:rsidR="008D4C34" w:rsidRDefault="008D4C34" w:rsidP="00623F95">
      <w:pPr>
        <w:pStyle w:val="Paragraphedeliste"/>
        <w:ind w:left="142" w:hanging="142"/>
        <w:jc w:val="both"/>
        <w:rPr>
          <w:b/>
          <w:bCs/>
        </w:rPr>
      </w:pPr>
      <w:r w:rsidRPr="008D4C34">
        <w:rPr>
          <w:b/>
          <w:bCs/>
        </w:rPr>
        <w:t>3. la protection par le droit de la concurrence</w:t>
      </w:r>
    </w:p>
    <w:p w14:paraId="41CEDD2B" w14:textId="5E0D06C1" w:rsidR="008D4C34" w:rsidRDefault="008D4C34" w:rsidP="00623F95">
      <w:pPr>
        <w:pStyle w:val="Paragraphedeliste"/>
        <w:ind w:left="142" w:hanging="142"/>
        <w:jc w:val="both"/>
        <w:rPr>
          <w:b/>
          <w:bCs/>
        </w:rPr>
      </w:pPr>
      <w:r>
        <w:rPr>
          <w:b/>
          <w:bCs/>
        </w:rPr>
        <w:t>A) le contrôle des concentrations d’entreprise</w:t>
      </w:r>
    </w:p>
    <w:p w14:paraId="77FC3EEA" w14:textId="77777777" w:rsidR="008D4C34" w:rsidRPr="008D4C34" w:rsidRDefault="008D4C34" w:rsidP="00623F95">
      <w:pPr>
        <w:pStyle w:val="NormalWeb"/>
        <w:spacing w:before="134" w:beforeAutospacing="0" w:after="0" w:afterAutospacing="0"/>
        <w:ind w:left="142"/>
        <w:jc w:val="both"/>
        <w:rPr>
          <w:rFonts w:asciiTheme="minorHAnsi" w:hAnsiTheme="minorHAnsi"/>
        </w:rPr>
      </w:pPr>
      <w:r w:rsidRPr="008D4C34">
        <w:rPr>
          <w:rFonts w:asciiTheme="minorHAnsi" w:eastAsiaTheme="minorEastAsia" w:hAnsiTheme="minorHAnsi" w:cstheme="minorBidi"/>
          <w:color w:val="000000" w:themeColor="text1"/>
          <w:kern w:val="24"/>
        </w:rPr>
        <w:t>Les entreprises peuvent avoir intérêt à se rapprocher entre elles par des opérations de concentration (fusion, acquisition…) pour baisser leur cout soit pour réaliser des économies d’échelle ou pour innover davantage soit des synergies.</w:t>
      </w:r>
    </w:p>
    <w:p w14:paraId="23069A49" w14:textId="2DFC1EDC" w:rsidR="008D4C34" w:rsidRPr="008D4C34" w:rsidRDefault="008D4C34" w:rsidP="00623F95">
      <w:pPr>
        <w:pStyle w:val="NormalWeb"/>
        <w:spacing w:before="134" w:beforeAutospacing="0" w:after="0" w:afterAutospacing="0"/>
        <w:ind w:left="142"/>
        <w:jc w:val="both"/>
        <w:rPr>
          <w:rFonts w:asciiTheme="minorHAnsi" w:hAnsiTheme="minorHAnsi"/>
        </w:rPr>
      </w:pPr>
      <w:r>
        <w:rPr>
          <w:rFonts w:asciiTheme="minorHAnsi" w:eastAsiaTheme="minorEastAsia" w:hAnsiTheme="minorHAnsi" w:cstheme="minorBidi"/>
          <w:color w:val="000000" w:themeColor="text1"/>
          <w:kern w:val="24"/>
        </w:rPr>
        <w:t>L</w:t>
      </w:r>
      <w:r w:rsidRPr="008D4C34">
        <w:rPr>
          <w:rFonts w:asciiTheme="minorHAnsi" w:eastAsiaTheme="minorEastAsia" w:hAnsiTheme="minorHAnsi" w:cstheme="minorBidi"/>
          <w:color w:val="000000" w:themeColor="text1"/>
          <w:kern w:val="24"/>
        </w:rPr>
        <w:t>orsque ces opérations de concentration risquent d’avoir une incidence sur la concurrence, elles doivent au préalable être autorisées.</w:t>
      </w:r>
    </w:p>
    <w:p w14:paraId="611AFAE1" w14:textId="77777777" w:rsidR="008D4C34" w:rsidRPr="008D4C34" w:rsidRDefault="008D4C34" w:rsidP="00623F95">
      <w:pPr>
        <w:pStyle w:val="NormalWeb"/>
        <w:spacing w:before="134" w:beforeAutospacing="0" w:after="0" w:afterAutospacing="0"/>
        <w:ind w:left="142" w:hanging="41"/>
        <w:jc w:val="both"/>
        <w:rPr>
          <w:rFonts w:asciiTheme="minorHAnsi" w:hAnsiTheme="minorHAnsi"/>
        </w:rPr>
      </w:pPr>
      <w:r w:rsidRPr="008D4C34">
        <w:rPr>
          <w:rFonts w:asciiTheme="minorHAnsi" w:eastAsiaTheme="minorEastAsia" w:hAnsiTheme="minorHAnsi" w:cstheme="minorBidi"/>
          <w:color w:val="000000" w:themeColor="text1"/>
          <w:kern w:val="24"/>
        </w:rPr>
        <w:t>Ce sont la commission européenne au niveau de l’Union Européenne et l’autorité de la concurrence et le ministre de l’Economie au niveau national qui autorise cette concentration.</w:t>
      </w:r>
    </w:p>
    <w:p w14:paraId="63177EED" w14:textId="61797B22" w:rsidR="008D4C34" w:rsidRDefault="008D4C34" w:rsidP="00623F95">
      <w:pPr>
        <w:pStyle w:val="NormalWeb"/>
        <w:spacing w:before="134" w:beforeAutospacing="0" w:after="0" w:afterAutospacing="0"/>
        <w:ind w:left="142" w:hanging="41"/>
        <w:jc w:val="both"/>
        <w:rPr>
          <w:rFonts w:asciiTheme="minorHAnsi" w:eastAsiaTheme="minorEastAsia" w:hAnsiTheme="minorHAnsi" w:cstheme="minorBidi"/>
          <w:color w:val="000000" w:themeColor="text1"/>
          <w:kern w:val="24"/>
        </w:rPr>
      </w:pPr>
      <w:r w:rsidRPr="008D4C34">
        <w:rPr>
          <w:rFonts w:asciiTheme="minorHAnsi" w:eastAsiaTheme="minorEastAsia" w:hAnsiTheme="minorHAnsi" w:cstheme="minorBidi"/>
          <w:color w:val="000000" w:themeColor="text1"/>
          <w:kern w:val="24"/>
        </w:rPr>
        <w:tab/>
        <w:t>Afin de prendre une décision ces autorités doivent comparer les incidences du projet de concentration sur la concurrence (ex: risque de monopole) et ses apports par rapport au progrès technique et économique</w:t>
      </w:r>
      <w:r>
        <w:rPr>
          <w:rFonts w:asciiTheme="minorHAnsi" w:eastAsiaTheme="minorEastAsia" w:hAnsiTheme="minorHAnsi" w:cstheme="minorBidi"/>
          <w:color w:val="000000" w:themeColor="text1"/>
          <w:kern w:val="24"/>
        </w:rPr>
        <w:t>. Puis elles donnent une suite favorable ou non au projet de concentration.</w:t>
      </w:r>
    </w:p>
    <w:p w14:paraId="17C405D4" w14:textId="0D70CEF6" w:rsidR="008D4C34" w:rsidRPr="008D4C34" w:rsidRDefault="008D4C34" w:rsidP="00623F95">
      <w:pPr>
        <w:pStyle w:val="NormalWeb"/>
        <w:numPr>
          <w:ilvl w:val="0"/>
          <w:numId w:val="6"/>
        </w:numPr>
        <w:spacing w:before="134" w:beforeAutospacing="0" w:after="0" w:afterAutospacing="0"/>
        <w:ind w:left="284" w:hanging="284"/>
        <w:jc w:val="both"/>
        <w:rPr>
          <w:rFonts w:asciiTheme="minorHAnsi" w:hAnsiTheme="minorHAnsi"/>
          <w:b/>
          <w:bCs/>
        </w:rPr>
      </w:pPr>
      <w:r w:rsidRPr="008D4C34">
        <w:rPr>
          <w:rFonts w:asciiTheme="minorHAnsi" w:eastAsiaTheme="minorEastAsia" w:hAnsiTheme="minorHAnsi" w:cstheme="minorBidi"/>
          <w:b/>
          <w:bCs/>
          <w:color w:val="000000" w:themeColor="text1"/>
          <w:kern w:val="24"/>
        </w:rPr>
        <w:t>La sanction des pratiques anticoncurrentielles</w:t>
      </w:r>
    </w:p>
    <w:p w14:paraId="1DFB7587" w14:textId="621250D1" w:rsidR="008D4C34" w:rsidRDefault="008D4C34" w:rsidP="00623F95">
      <w:pPr>
        <w:pStyle w:val="Paragraphedeliste"/>
        <w:numPr>
          <w:ilvl w:val="0"/>
          <w:numId w:val="7"/>
        </w:numPr>
        <w:jc w:val="both"/>
        <w:rPr>
          <w:b/>
          <w:bCs/>
        </w:rPr>
      </w:pPr>
      <w:r>
        <w:rPr>
          <w:b/>
          <w:bCs/>
        </w:rPr>
        <w:t xml:space="preserve">Les abus de position dominante </w:t>
      </w:r>
    </w:p>
    <w:p w14:paraId="3B84C1E2" w14:textId="38571DCF" w:rsidR="00412651" w:rsidRDefault="000E6D38" w:rsidP="00623F95">
      <w:pPr>
        <w:pStyle w:val="Paragraphedeliste"/>
        <w:jc w:val="both"/>
      </w:pPr>
      <w:r w:rsidRPr="000E6D38">
        <w:t>L'abus de position dominante est interdit lorsqu'</w:t>
      </w:r>
      <w:r w:rsidR="00280F55">
        <w:t>il</w:t>
      </w:r>
      <w:r w:rsidRPr="000E6D38">
        <w:t xml:space="preserve"> a pour objet peuvent avoir pour effet d'empêcher</w:t>
      </w:r>
      <w:r w:rsidR="00551DE0">
        <w:t>,</w:t>
      </w:r>
      <w:r w:rsidRPr="000E6D38">
        <w:t xml:space="preserve"> </w:t>
      </w:r>
      <w:r w:rsidR="00551DE0">
        <w:t>d</w:t>
      </w:r>
      <w:r w:rsidRPr="000E6D38">
        <w:t>e restreindre ou de fausser le jeu de la concurrence sur un marché</w:t>
      </w:r>
      <w:r w:rsidR="00536C23">
        <w:t>.</w:t>
      </w:r>
    </w:p>
    <w:p w14:paraId="31387682" w14:textId="3D3A94C9" w:rsidR="000E6D38" w:rsidRDefault="00536C23" w:rsidP="00623F95">
      <w:pPr>
        <w:pStyle w:val="Paragraphedeliste"/>
        <w:jc w:val="both"/>
      </w:pPr>
      <w:r>
        <w:t>U</w:t>
      </w:r>
      <w:r w:rsidR="000E6D38" w:rsidRPr="000E6D38">
        <w:t>n abus de position dominante doit réunir 3 conditions</w:t>
      </w:r>
      <w:r>
        <w:t> :</w:t>
      </w:r>
    </w:p>
    <w:p w14:paraId="2E92EDD7" w14:textId="5ACFACAA" w:rsidR="0022708D" w:rsidRDefault="0022708D" w:rsidP="00623F95">
      <w:pPr>
        <w:pStyle w:val="Paragraphedeliste"/>
        <w:numPr>
          <w:ilvl w:val="0"/>
          <w:numId w:val="8"/>
        </w:numPr>
        <w:jc w:val="both"/>
      </w:pPr>
      <w:r w:rsidRPr="00536C23">
        <w:rPr>
          <w:b/>
          <w:bCs/>
        </w:rPr>
        <w:t>l'existence d'une position dominante</w:t>
      </w:r>
      <w:r w:rsidR="00536C23">
        <w:t xml:space="preserve"> : </w:t>
      </w:r>
      <w:r w:rsidRPr="0022708D">
        <w:t>il s'agit de la position de puissance économique détenue par une entreprise vis-à-vis de ses concurrents</w:t>
      </w:r>
      <w:r w:rsidR="00065D05">
        <w:t>,</w:t>
      </w:r>
      <w:r w:rsidRPr="0022708D">
        <w:t xml:space="preserve"> </w:t>
      </w:r>
      <w:r w:rsidR="00065D05">
        <w:t>d</w:t>
      </w:r>
      <w:r w:rsidRPr="0022708D">
        <w:t>e ses clients et finalement des consommateurs</w:t>
      </w:r>
      <w:r>
        <w:t>.</w:t>
      </w:r>
    </w:p>
    <w:p w14:paraId="1C96E4CE" w14:textId="29AF975F" w:rsidR="00065D05" w:rsidRDefault="00065D05" w:rsidP="00623F95">
      <w:pPr>
        <w:pStyle w:val="Paragraphedeliste"/>
        <w:numPr>
          <w:ilvl w:val="0"/>
          <w:numId w:val="8"/>
        </w:numPr>
        <w:jc w:val="both"/>
      </w:pPr>
      <w:r w:rsidRPr="00065D05">
        <w:rPr>
          <w:b/>
          <w:bCs/>
        </w:rPr>
        <w:t>L'exploitation abusive de cette position dominante</w:t>
      </w:r>
      <w:r>
        <w:rPr>
          <w:b/>
          <w:bCs/>
        </w:rPr>
        <w:t> </w:t>
      </w:r>
      <w:r w:rsidRPr="00065D05">
        <w:t xml:space="preserve">: </w:t>
      </w:r>
      <w:r w:rsidR="001D21D3">
        <w:t>à</w:t>
      </w:r>
      <w:r w:rsidRPr="00065D05">
        <w:t xml:space="preserve"> savoir des pratiques illicites en elles-mêmes</w:t>
      </w:r>
      <w:r w:rsidR="001D21D3" w:rsidRPr="001D21D3">
        <w:t xml:space="preserve"> </w:t>
      </w:r>
      <w:r w:rsidR="001D21D3">
        <w:t xml:space="preserve">ou </w:t>
      </w:r>
      <w:r w:rsidR="001D21D3" w:rsidRPr="001D21D3">
        <w:t>des comportements abusifs</w:t>
      </w:r>
      <w:r w:rsidR="001D21D3">
        <w:t>.</w:t>
      </w:r>
    </w:p>
    <w:p w14:paraId="7B8E8967" w14:textId="74E427B4" w:rsidR="001D21D3" w:rsidRDefault="001D21D3" w:rsidP="00623F95">
      <w:pPr>
        <w:pStyle w:val="Paragraphedeliste"/>
        <w:numPr>
          <w:ilvl w:val="0"/>
          <w:numId w:val="8"/>
        </w:numPr>
        <w:jc w:val="both"/>
      </w:pPr>
      <w:r w:rsidRPr="001D21D3">
        <w:rPr>
          <w:b/>
          <w:bCs/>
        </w:rPr>
        <w:t>En effet anticoncurrentiel actuel ou potentiel</w:t>
      </w:r>
      <w:r w:rsidR="00FF71B9">
        <w:rPr>
          <w:b/>
          <w:bCs/>
        </w:rPr>
        <w:t> </w:t>
      </w:r>
      <w:r w:rsidR="00FF71B9" w:rsidRPr="00FF71B9">
        <w:t>: entreprise abuse</w:t>
      </w:r>
      <w:r w:rsidR="00FF71B9">
        <w:t>,</w:t>
      </w:r>
      <w:r w:rsidR="00FF71B9" w:rsidRPr="00FF71B9">
        <w:t xml:space="preserve"> profite de sa position dominante</w:t>
      </w:r>
      <w:r w:rsidR="00FF71B9">
        <w:t>(</w:t>
      </w:r>
      <w:r w:rsidR="00FF71B9" w:rsidRPr="00FF71B9">
        <w:t>de causalité entre la position dominante et l'abus</w:t>
      </w:r>
      <w:r w:rsidR="00FF71B9">
        <w:t>).</w:t>
      </w:r>
      <w:r w:rsidR="00FF71B9" w:rsidRPr="00FF71B9">
        <w:t xml:space="preserve"> </w:t>
      </w:r>
      <w:r w:rsidR="00FF71B9">
        <w:t>C</w:t>
      </w:r>
      <w:r w:rsidR="00FF71B9" w:rsidRPr="00FF71B9">
        <w:t>e comportement nuit à la concurrence où est susceptible de lui nuire à terme</w:t>
      </w:r>
      <w:r w:rsidR="00FF71B9">
        <w:t>.</w:t>
      </w:r>
    </w:p>
    <w:p w14:paraId="370B7E4C" w14:textId="37370593" w:rsidR="00897F7F" w:rsidRDefault="006C7442" w:rsidP="00623F95">
      <w:pPr>
        <w:jc w:val="both"/>
      </w:pPr>
      <w:r w:rsidRPr="006C7442">
        <w:t xml:space="preserve">Ainsi </w:t>
      </w:r>
      <w:r w:rsidR="00BF7197">
        <w:t>, une part</w:t>
      </w:r>
      <w:r w:rsidRPr="006C7442">
        <w:t xml:space="preserve"> marché forte détenue par une entreprise ne suffit donc pas à qualifier un abus de position dominante</w:t>
      </w:r>
      <w:r>
        <w:t> :</w:t>
      </w:r>
      <w:r w:rsidRPr="006C7442">
        <w:t xml:space="preserve">  l'entreprise devra exploiter cette position dominante de manière abusive </w:t>
      </w:r>
      <w:r w:rsidR="00675D0F">
        <w:t>et</w:t>
      </w:r>
      <w:r w:rsidRPr="006C7442">
        <w:t xml:space="preserve"> son comportement sera nuisible à la concurrence</w:t>
      </w:r>
      <w:r>
        <w:t>.</w:t>
      </w:r>
      <w:r w:rsidRPr="006C7442">
        <w:t xml:space="preserve"> </w:t>
      </w:r>
      <w:r w:rsidR="00F4435F">
        <w:t>C</w:t>
      </w:r>
      <w:r w:rsidRPr="006C7442">
        <w:t>ette</w:t>
      </w:r>
      <w:r w:rsidR="00BF7B09">
        <w:t xml:space="preserve"> </w:t>
      </w:r>
      <w:r w:rsidR="00BF7B09" w:rsidRPr="00BF7B09">
        <w:t xml:space="preserve">pratique peut être </w:t>
      </w:r>
      <w:r w:rsidR="00F4435F" w:rsidRPr="00BF7B09">
        <w:t>sanctionné</w:t>
      </w:r>
      <w:r w:rsidR="00675D0F">
        <w:t>e</w:t>
      </w:r>
      <w:r w:rsidR="00397496">
        <w:t xml:space="preserve"> </w:t>
      </w:r>
      <w:r w:rsidR="00BF7B09" w:rsidRPr="00BF7B09">
        <w:t>au niveau national par l'autorité de la concurrence</w:t>
      </w:r>
      <w:r w:rsidR="00BF7B09">
        <w:t>.</w:t>
      </w:r>
      <w:r w:rsidR="00BF7B09" w:rsidRPr="00BF7B09">
        <w:t xml:space="preserve"> Cette dernière </w:t>
      </w:r>
      <w:r w:rsidR="00397496">
        <w:t>peut</w:t>
      </w:r>
      <w:r w:rsidR="00BF7B09" w:rsidRPr="00BF7B09">
        <w:t xml:space="preserve"> pronon</w:t>
      </w:r>
      <w:r w:rsidR="00397496">
        <w:t>cer</w:t>
      </w:r>
      <w:r w:rsidR="00BF7B09" w:rsidRPr="00BF7B09">
        <w:t xml:space="preserve"> </w:t>
      </w:r>
      <w:r w:rsidR="00772AB3">
        <w:t>d</w:t>
      </w:r>
      <w:r w:rsidR="00BF7B09" w:rsidRPr="00BF7B09">
        <w:t xml:space="preserve">es sanctions pécuniaires </w:t>
      </w:r>
      <w:r w:rsidR="00772AB3">
        <w:t>(</w:t>
      </w:r>
      <w:r w:rsidR="00BF7B09" w:rsidRPr="00BF7B09">
        <w:t xml:space="preserve"> maximum 10% du chiffre mondial du groupe</w:t>
      </w:r>
      <w:r w:rsidR="00772AB3">
        <w:t>)</w:t>
      </w:r>
      <w:r w:rsidR="00BF7B09" w:rsidRPr="00BF7B09">
        <w:t xml:space="preserve"> et des injonctions </w:t>
      </w:r>
      <w:r w:rsidR="00772AB3">
        <w:t>(d</w:t>
      </w:r>
      <w:r w:rsidR="00BF7B09" w:rsidRPr="00BF7B09">
        <w:t>es actions à entreprendre pour rétablir la concurrence par exemple</w:t>
      </w:r>
      <w:r w:rsidR="00BF7197">
        <w:t>)</w:t>
      </w:r>
      <w:r w:rsidR="00F4435F">
        <w:t>.</w:t>
      </w:r>
      <w:r w:rsidR="00F4435F" w:rsidRPr="00F4435F">
        <w:t xml:space="preserve"> Au niveau européen on parle de position dominante lorsqu'une entreprise peut mener la politique qu'elle désire sans se préoccuper de celle de ses concurrents sur le marché cette conception est plus large que le droit français</w:t>
      </w:r>
      <w:r w:rsidR="00F4435F">
        <w:t>.</w:t>
      </w:r>
    </w:p>
    <w:p w14:paraId="6A81D4B1" w14:textId="4CCFF960" w:rsidR="00AD679A" w:rsidRDefault="00AD679A" w:rsidP="00623F95">
      <w:pPr>
        <w:pStyle w:val="Paragraphedeliste"/>
        <w:numPr>
          <w:ilvl w:val="0"/>
          <w:numId w:val="7"/>
        </w:numPr>
        <w:jc w:val="both"/>
        <w:rPr>
          <w:b/>
          <w:bCs/>
        </w:rPr>
      </w:pPr>
      <w:r w:rsidRPr="00AD679A">
        <w:rPr>
          <w:b/>
          <w:bCs/>
        </w:rPr>
        <w:t>Les ententes illicites</w:t>
      </w:r>
    </w:p>
    <w:p w14:paraId="6CC62CC0" w14:textId="4085F39C" w:rsidR="002348B8" w:rsidRDefault="00AD5BD6" w:rsidP="00623F95">
      <w:pPr>
        <w:pStyle w:val="Paragraphedeliste"/>
        <w:ind w:left="142"/>
        <w:jc w:val="both"/>
        <w:rPr>
          <w:rFonts w:eastAsiaTheme="minorEastAsia"/>
          <w:color w:val="000000" w:themeColor="text1"/>
          <w:kern w:val="24"/>
        </w:rPr>
      </w:pPr>
      <w:r w:rsidRPr="00AD5BD6">
        <w:rPr>
          <w:rFonts w:eastAsiaTheme="minorEastAsia"/>
          <w:color w:val="000000" w:themeColor="text1"/>
          <w:kern w:val="24"/>
        </w:rPr>
        <w:t xml:space="preserve">Ce sont des accords </w:t>
      </w:r>
      <w:r w:rsidR="00EE4104">
        <w:rPr>
          <w:rFonts w:eastAsiaTheme="minorEastAsia"/>
          <w:color w:val="000000" w:themeColor="text1"/>
          <w:kern w:val="24"/>
        </w:rPr>
        <w:t xml:space="preserve">écrits ou oraux </w:t>
      </w:r>
      <w:r w:rsidRPr="00AD5BD6">
        <w:rPr>
          <w:rFonts w:eastAsiaTheme="minorEastAsia"/>
          <w:color w:val="000000" w:themeColor="text1"/>
          <w:kern w:val="24"/>
        </w:rPr>
        <w:t>entre des entreprises concurrentes qui ont pour objet ou pour effet</w:t>
      </w:r>
      <w:r w:rsidR="00EE4104">
        <w:rPr>
          <w:rFonts w:eastAsiaTheme="minorEastAsia"/>
          <w:color w:val="000000" w:themeColor="text1"/>
          <w:kern w:val="24"/>
        </w:rPr>
        <w:t xml:space="preserve"> d’empêcher, de restreindre ou </w:t>
      </w:r>
      <w:r w:rsidRPr="00AD5BD6">
        <w:rPr>
          <w:rFonts w:eastAsiaTheme="minorEastAsia"/>
          <w:color w:val="000000" w:themeColor="text1"/>
          <w:kern w:val="24"/>
        </w:rPr>
        <w:t xml:space="preserve"> de fausser la concurrence du marché </w:t>
      </w:r>
      <w:r w:rsidR="009C2B17">
        <w:rPr>
          <w:rFonts w:eastAsiaTheme="minorEastAsia"/>
          <w:color w:val="000000" w:themeColor="text1"/>
          <w:kern w:val="24"/>
        </w:rPr>
        <w:t>(</w:t>
      </w:r>
      <w:r w:rsidRPr="00AD5BD6">
        <w:rPr>
          <w:rFonts w:eastAsiaTheme="minorEastAsia"/>
          <w:color w:val="000000" w:themeColor="text1"/>
          <w:kern w:val="24"/>
        </w:rPr>
        <w:t>ex fixation des prix par ententes pour éviter qu’il soit fixé par le jeu de l’offre et de la demande</w:t>
      </w:r>
      <w:r w:rsidR="009C2B17">
        <w:rPr>
          <w:rFonts w:eastAsiaTheme="minorEastAsia"/>
          <w:color w:val="000000" w:themeColor="text1"/>
          <w:kern w:val="24"/>
        </w:rPr>
        <w:t>)</w:t>
      </w:r>
      <w:r w:rsidR="00211CD5">
        <w:rPr>
          <w:rFonts w:eastAsiaTheme="minorEastAsia"/>
          <w:color w:val="000000" w:themeColor="text1"/>
          <w:kern w:val="24"/>
        </w:rPr>
        <w:t>.</w:t>
      </w:r>
    </w:p>
    <w:p w14:paraId="7B071FC0" w14:textId="77777777" w:rsidR="005339BE" w:rsidRPr="005339BE" w:rsidRDefault="005339BE" w:rsidP="00623F95">
      <w:pPr>
        <w:spacing w:before="144" w:after="0" w:line="240" w:lineRule="auto"/>
        <w:ind w:left="706" w:hanging="605"/>
        <w:jc w:val="both"/>
        <w:rPr>
          <w:rFonts w:eastAsia="Times New Roman" w:cs="Times New Roman"/>
          <w:kern w:val="0"/>
          <w:lang w:eastAsia="fr-FR"/>
          <w14:ligatures w14:val="none"/>
        </w:rPr>
      </w:pPr>
      <w:r w:rsidRPr="005339BE">
        <w:rPr>
          <w:rFonts w:eastAsiaTheme="minorEastAsia"/>
          <w:color w:val="000000" w:themeColor="text1"/>
          <w:kern w:val="24"/>
          <w:lang w:eastAsia="fr-FR"/>
          <w14:ligatures w14:val="none"/>
        </w:rPr>
        <w:t xml:space="preserve">Il existe : </w:t>
      </w:r>
    </w:p>
    <w:p w14:paraId="5B59F026" w14:textId="77777777" w:rsidR="005339BE" w:rsidRPr="005339BE" w:rsidRDefault="005339BE" w:rsidP="00623F95">
      <w:pPr>
        <w:numPr>
          <w:ilvl w:val="0"/>
          <w:numId w:val="9"/>
        </w:numPr>
        <w:spacing w:after="0" w:line="240" w:lineRule="auto"/>
        <w:ind w:left="1426"/>
        <w:contextualSpacing/>
        <w:jc w:val="both"/>
        <w:rPr>
          <w:rFonts w:eastAsia="Times New Roman" w:cs="Times New Roman"/>
          <w:color w:val="727CA3"/>
          <w:kern w:val="0"/>
          <w:lang w:eastAsia="fr-FR"/>
          <w14:ligatures w14:val="none"/>
        </w:rPr>
      </w:pPr>
      <w:r w:rsidRPr="005339BE">
        <w:rPr>
          <w:rFonts w:eastAsiaTheme="minorEastAsia"/>
          <w:color w:val="000000" w:themeColor="text1"/>
          <w:kern w:val="24"/>
          <w:lang w:eastAsia="fr-FR"/>
          <w14:ligatures w14:val="none"/>
        </w:rPr>
        <w:t>des ententes horizontales (sur le même marché)</w:t>
      </w:r>
    </w:p>
    <w:p w14:paraId="245ED51F" w14:textId="2B26703E" w:rsidR="005339BE" w:rsidRPr="005339BE" w:rsidRDefault="00277677" w:rsidP="00623F95">
      <w:pPr>
        <w:numPr>
          <w:ilvl w:val="0"/>
          <w:numId w:val="9"/>
        </w:numPr>
        <w:spacing w:after="0" w:line="240" w:lineRule="auto"/>
        <w:ind w:left="1426"/>
        <w:contextualSpacing/>
        <w:jc w:val="both"/>
        <w:rPr>
          <w:rFonts w:eastAsia="Times New Roman" w:cs="Times New Roman"/>
          <w:color w:val="727CA3"/>
          <w:kern w:val="0"/>
          <w:lang w:eastAsia="fr-FR"/>
          <w14:ligatures w14:val="none"/>
        </w:rPr>
      </w:pPr>
      <w:r>
        <w:rPr>
          <w:rFonts w:eastAsiaTheme="minorEastAsia"/>
          <w:color w:val="000000" w:themeColor="text1"/>
          <w:kern w:val="24"/>
          <w:lang w:eastAsia="fr-FR"/>
          <w14:ligatures w14:val="none"/>
        </w:rPr>
        <w:t>d</w:t>
      </w:r>
      <w:r w:rsidR="005339BE" w:rsidRPr="005339BE">
        <w:rPr>
          <w:rFonts w:eastAsiaTheme="minorEastAsia"/>
          <w:color w:val="000000" w:themeColor="text1"/>
          <w:kern w:val="24"/>
          <w:lang w:eastAsia="fr-FR"/>
          <w14:ligatures w14:val="none"/>
        </w:rPr>
        <w:t>es ententes verticales entre distributeur et fournisseur</w:t>
      </w:r>
    </w:p>
    <w:p w14:paraId="0DBF6AAE" w14:textId="77777777" w:rsidR="00147452" w:rsidRPr="00147452" w:rsidRDefault="00147452" w:rsidP="00623F95">
      <w:pPr>
        <w:pStyle w:val="Paragraphedeliste"/>
        <w:ind w:left="0"/>
        <w:jc w:val="both"/>
      </w:pPr>
      <w:r w:rsidRPr="00147452">
        <w:t>Les sanctions des ententes illicites : amendes prononcées par la commission européenne au niveau de l’Europe ou par l’autorité de la concurrence en droit français.</w:t>
      </w:r>
    </w:p>
    <w:p w14:paraId="036C44DF" w14:textId="0548E498" w:rsidR="00147452" w:rsidRPr="00147452" w:rsidRDefault="00147452" w:rsidP="00623F95">
      <w:pPr>
        <w:pStyle w:val="Paragraphedeliste"/>
        <w:ind w:left="0"/>
        <w:jc w:val="both"/>
      </w:pPr>
      <w:r w:rsidRPr="00147452">
        <w:t>L’entreprise qui a dénoncé l’entente peut bénéficier</w:t>
      </w:r>
      <w:r w:rsidR="00781839">
        <w:t xml:space="preserve"> de clémence à savoir </w:t>
      </w:r>
      <w:r w:rsidRPr="00147452">
        <w:t xml:space="preserve"> d’une amende réduite voire d’une exonération.</w:t>
      </w:r>
    </w:p>
    <w:p w14:paraId="6C4F5407" w14:textId="77777777" w:rsidR="005339BE" w:rsidRDefault="005339BE" w:rsidP="00623F95">
      <w:pPr>
        <w:pStyle w:val="Paragraphedeliste"/>
        <w:ind w:left="142"/>
        <w:jc w:val="both"/>
        <w:rPr>
          <w:b/>
          <w:bCs/>
        </w:rPr>
      </w:pPr>
    </w:p>
    <w:p w14:paraId="5D187052" w14:textId="6BF900FE" w:rsidR="002B6480" w:rsidRDefault="002B6480" w:rsidP="00623F95">
      <w:pPr>
        <w:pStyle w:val="Paragraphedeliste"/>
        <w:ind w:left="142"/>
        <w:jc w:val="both"/>
        <w:rPr>
          <w:b/>
          <w:bCs/>
        </w:rPr>
      </w:pPr>
      <w:r>
        <w:rPr>
          <w:b/>
          <w:bCs/>
        </w:rPr>
        <w:t xml:space="preserve">4 </w:t>
      </w:r>
      <w:r w:rsidR="00DF6BB5">
        <w:rPr>
          <w:b/>
          <w:bCs/>
        </w:rPr>
        <w:t>. L</w:t>
      </w:r>
      <w:r w:rsidRPr="00DF6BB5">
        <w:rPr>
          <w:b/>
          <w:bCs/>
        </w:rPr>
        <w:t>a protection des acteurs sur le ma</w:t>
      </w:r>
      <w:r w:rsidR="00DF6BB5" w:rsidRPr="00DF6BB5">
        <w:rPr>
          <w:b/>
          <w:bCs/>
        </w:rPr>
        <w:t>rché</w:t>
      </w:r>
    </w:p>
    <w:p w14:paraId="2BB553B1" w14:textId="06D5AE23" w:rsidR="00DF6BB5" w:rsidRDefault="00E53385" w:rsidP="00623F95">
      <w:pPr>
        <w:pStyle w:val="Paragraphedeliste"/>
        <w:ind w:left="142"/>
        <w:jc w:val="both"/>
      </w:pPr>
      <w:r w:rsidRPr="00E53385">
        <w:t>U</w:t>
      </w:r>
      <w:r w:rsidR="00120A1F" w:rsidRPr="00E53385">
        <w:t>n autre objectif du droit de la concurrence est de protéger les acteurs du marché en sanctionnant les comportements déloyaux qui portent préjudice aux entreprises présentes sur ce marché</w:t>
      </w:r>
      <w:r w:rsidR="005B7724" w:rsidRPr="00E53385">
        <w:t>. Contrairement aux pratiques anticoncurrentielles ces pratiques sont réprimées indépendamment de leur impact sur le marché : il s'agit ici de valoriser la loyauté et la transparence dans les relations entre les entreprises, en sanctionnant la concurrence déloyale et les pratiques restrictives de concurrence</w:t>
      </w:r>
      <w:r w:rsidRPr="00E53385">
        <w:t>.</w:t>
      </w:r>
    </w:p>
    <w:p w14:paraId="6562C6B6" w14:textId="77777777" w:rsidR="00F107E2" w:rsidRDefault="00F107E2" w:rsidP="00623F95">
      <w:pPr>
        <w:pStyle w:val="Paragraphedeliste"/>
        <w:ind w:left="142"/>
        <w:jc w:val="both"/>
      </w:pPr>
    </w:p>
    <w:p w14:paraId="2D368F7C" w14:textId="5FA8CC98" w:rsidR="006F61D8" w:rsidRDefault="006F61D8" w:rsidP="00623F95">
      <w:pPr>
        <w:pStyle w:val="Paragraphedeliste"/>
        <w:numPr>
          <w:ilvl w:val="0"/>
          <w:numId w:val="10"/>
        </w:numPr>
        <w:jc w:val="both"/>
        <w:rPr>
          <w:b/>
          <w:bCs/>
        </w:rPr>
      </w:pPr>
      <w:r w:rsidRPr="006F61D8">
        <w:rPr>
          <w:b/>
          <w:bCs/>
        </w:rPr>
        <w:t>La</w:t>
      </w:r>
      <w:r w:rsidR="00442CEA">
        <w:rPr>
          <w:b/>
          <w:bCs/>
        </w:rPr>
        <w:t xml:space="preserve"> </w:t>
      </w:r>
      <w:r w:rsidRPr="006F61D8">
        <w:rPr>
          <w:b/>
          <w:bCs/>
        </w:rPr>
        <w:t>concurrence déloyale</w:t>
      </w:r>
    </w:p>
    <w:p w14:paraId="3096F592" w14:textId="3B0FD24F" w:rsidR="006F61D8" w:rsidRPr="003679A9" w:rsidRDefault="00A55AA0" w:rsidP="00623F95">
      <w:pPr>
        <w:jc w:val="both"/>
      </w:pPr>
      <w:r w:rsidRPr="003679A9">
        <w:t xml:space="preserve">La libre concurrence n'autorise pas tout type de pratique pour attirer la clientèle. </w:t>
      </w:r>
      <w:r w:rsidR="00597701" w:rsidRPr="003679A9">
        <w:t>L</w:t>
      </w:r>
      <w:r w:rsidRPr="003679A9">
        <w:t>es juges sanctionnent les actes de concurrence déloyale parmi lesquels on distingue</w:t>
      </w:r>
      <w:r w:rsidR="00597701" w:rsidRPr="003679A9">
        <w:t> :</w:t>
      </w:r>
    </w:p>
    <w:p w14:paraId="18AB4DB6" w14:textId="77777777" w:rsidR="00742A61" w:rsidRPr="00742A61" w:rsidRDefault="00742A61" w:rsidP="00623F95">
      <w:pPr>
        <w:numPr>
          <w:ilvl w:val="0"/>
          <w:numId w:val="11"/>
        </w:numPr>
        <w:spacing w:after="0" w:line="240" w:lineRule="auto"/>
        <w:ind w:left="1426"/>
        <w:contextualSpacing/>
        <w:jc w:val="both"/>
        <w:rPr>
          <w:rFonts w:eastAsia="Times New Roman" w:cs="Times New Roman"/>
          <w:color w:val="727CA3"/>
          <w:kern w:val="0"/>
          <w:lang w:eastAsia="fr-FR"/>
          <w14:ligatures w14:val="none"/>
        </w:rPr>
      </w:pPr>
      <w:r w:rsidRPr="00742A61">
        <w:rPr>
          <w:rFonts w:eastAsiaTheme="minorEastAsia"/>
          <w:color w:val="000000" w:themeColor="text1"/>
          <w:kern w:val="24"/>
          <w:lang w:eastAsia="fr-FR"/>
          <w14:ligatures w14:val="none"/>
        </w:rPr>
        <w:t>Le dénigrement : discréditer en public les produits, l’activité ou les représentants d’une entreprise concurrente (ex: critique abusive d’un concurrent)</w:t>
      </w:r>
    </w:p>
    <w:p w14:paraId="7ED10E03" w14:textId="77777777" w:rsidR="00742A61" w:rsidRPr="00742A61" w:rsidRDefault="00742A61" w:rsidP="00623F95">
      <w:pPr>
        <w:numPr>
          <w:ilvl w:val="0"/>
          <w:numId w:val="11"/>
        </w:numPr>
        <w:spacing w:after="0" w:line="240" w:lineRule="auto"/>
        <w:ind w:left="1426"/>
        <w:contextualSpacing/>
        <w:jc w:val="both"/>
        <w:rPr>
          <w:rFonts w:eastAsia="Times New Roman" w:cs="Times New Roman"/>
          <w:color w:val="727CA3"/>
          <w:kern w:val="0"/>
          <w:lang w:eastAsia="fr-FR"/>
          <w14:ligatures w14:val="none"/>
        </w:rPr>
      </w:pPr>
      <w:r w:rsidRPr="00742A61">
        <w:rPr>
          <w:rFonts w:eastAsiaTheme="minorEastAsia"/>
          <w:color w:val="000000" w:themeColor="text1"/>
          <w:kern w:val="24"/>
          <w:lang w:eastAsia="fr-FR"/>
          <w14:ligatures w14:val="none"/>
        </w:rPr>
        <w:t>L’imitation : imiter des signes distinctifs d’un concurrent (logo, nom commercial, dénomination sociale) ou imiter ses produits ou services. Elle est considérée comme abusive en cas de risque de confusion chez les consommateurs</w:t>
      </w:r>
    </w:p>
    <w:p w14:paraId="65031A2E" w14:textId="1212C9E1" w:rsidR="00D405F4" w:rsidRPr="00D405F4" w:rsidRDefault="00D405F4" w:rsidP="00623F95">
      <w:pPr>
        <w:numPr>
          <w:ilvl w:val="0"/>
          <w:numId w:val="12"/>
        </w:numPr>
        <w:spacing w:after="0" w:line="240" w:lineRule="auto"/>
        <w:ind w:left="1426"/>
        <w:contextualSpacing/>
        <w:jc w:val="both"/>
        <w:rPr>
          <w:rFonts w:eastAsia="Times New Roman" w:cs="Times New Roman"/>
          <w:color w:val="727CA3"/>
          <w:kern w:val="0"/>
          <w:lang w:eastAsia="fr-FR"/>
          <w14:ligatures w14:val="none"/>
        </w:rPr>
      </w:pPr>
      <w:r w:rsidRPr="00D405F4">
        <w:rPr>
          <w:rFonts w:eastAsiaTheme="minorEastAsia"/>
          <w:color w:val="000000" w:themeColor="text1"/>
          <w:kern w:val="24"/>
          <w:lang w:eastAsia="fr-FR"/>
          <w14:ligatures w14:val="none"/>
        </w:rPr>
        <w:t>La désorganisation : désorganiser en interne un concurrent (ex</w:t>
      </w:r>
      <w:r w:rsidR="00AE5D4A">
        <w:rPr>
          <w:rFonts w:eastAsiaTheme="minorEastAsia"/>
          <w:color w:val="000000" w:themeColor="text1"/>
          <w:kern w:val="24"/>
          <w:lang w:eastAsia="fr-FR"/>
          <w14:ligatures w14:val="none"/>
        </w:rPr>
        <w:t xml:space="preserve"> : </w:t>
      </w:r>
      <w:r w:rsidRPr="00D405F4">
        <w:rPr>
          <w:rFonts w:eastAsiaTheme="minorEastAsia"/>
          <w:color w:val="000000" w:themeColor="text1"/>
          <w:kern w:val="24"/>
          <w:lang w:eastAsia="fr-FR"/>
          <w14:ligatures w14:val="none"/>
        </w:rPr>
        <w:t>débauchage d’un salarié avec divulgation des secrets de l’entreprise)</w:t>
      </w:r>
    </w:p>
    <w:p w14:paraId="5FA4BD13" w14:textId="4704E05F" w:rsidR="00D405F4" w:rsidRPr="00D405F4" w:rsidRDefault="00D405F4" w:rsidP="00623F95">
      <w:pPr>
        <w:numPr>
          <w:ilvl w:val="0"/>
          <w:numId w:val="12"/>
        </w:numPr>
        <w:spacing w:after="0" w:line="240" w:lineRule="auto"/>
        <w:ind w:left="1426"/>
        <w:contextualSpacing/>
        <w:jc w:val="both"/>
        <w:rPr>
          <w:rFonts w:eastAsia="Times New Roman" w:cs="Times New Roman"/>
          <w:color w:val="727CA3"/>
          <w:kern w:val="0"/>
          <w:lang w:eastAsia="fr-FR"/>
          <w14:ligatures w14:val="none"/>
        </w:rPr>
      </w:pPr>
      <w:r w:rsidRPr="00D405F4">
        <w:rPr>
          <w:rFonts w:eastAsiaTheme="minorEastAsia"/>
          <w:color w:val="000000" w:themeColor="text1"/>
          <w:kern w:val="24"/>
          <w:lang w:eastAsia="fr-FR"/>
          <w14:ligatures w14:val="none"/>
        </w:rPr>
        <w:t>Le parasitisme :est « </w:t>
      </w:r>
      <w:r w:rsidRPr="00D405F4">
        <w:rPr>
          <w:rFonts w:eastAsiaTheme="minorEastAsia"/>
          <w:i/>
          <w:iCs/>
          <w:color w:val="000000" w:themeColor="text1"/>
          <w:kern w:val="24"/>
          <w:lang w:eastAsia="fr-FR"/>
          <w14:ligatures w14:val="none"/>
        </w:rPr>
        <w:t>l'ensemble des comportements par lesquels un agent économique s'immisce dans le sillage d'un autre afin de tirer profit, sans rien dépenser, de ses efforts et de son savoir-faire </w:t>
      </w:r>
      <w:r w:rsidRPr="00D405F4">
        <w:rPr>
          <w:rFonts w:eastAsiaTheme="minorEastAsia"/>
          <w:color w:val="000000" w:themeColor="text1"/>
          <w:kern w:val="24"/>
          <w:lang w:eastAsia="fr-FR"/>
          <w14:ligatures w14:val="none"/>
        </w:rPr>
        <w:t>». Peuvent ainsi constituer des manœuvres susceptibles d'être qualifiées d'actes de parasitisme</w:t>
      </w:r>
      <w:r w:rsidRPr="00D405F4">
        <w:rPr>
          <w:rFonts w:eastAsiaTheme="minorEastAsia"/>
          <w:b/>
          <w:bCs/>
          <w:color w:val="000000" w:themeColor="text1"/>
          <w:kern w:val="24"/>
          <w:lang w:eastAsia="fr-FR"/>
          <w14:ligatures w14:val="none"/>
        </w:rPr>
        <w:t> </w:t>
      </w:r>
      <w:r w:rsidRPr="00D405F4">
        <w:rPr>
          <w:rFonts w:eastAsiaTheme="minorEastAsia"/>
          <w:color w:val="000000" w:themeColor="text1"/>
          <w:kern w:val="24"/>
          <w:lang w:eastAsia="fr-FR"/>
          <w14:ligatures w14:val="none"/>
        </w:rPr>
        <w:t>: la reprise de documents commerciaux ou d'argumentaires de vente ou de contrats types, à condition que leur spécificité soit établie et qu'elle entretienne dans l'esprit de potentiels clients une confusion</w:t>
      </w:r>
      <w:r w:rsidRPr="00D405F4">
        <w:rPr>
          <w:rFonts w:eastAsiaTheme="minorEastAsia"/>
          <w:b/>
          <w:bCs/>
          <w:color w:val="000000" w:themeColor="text1"/>
          <w:kern w:val="24"/>
          <w:lang w:eastAsia="fr-FR"/>
          <w14:ligatures w14:val="none"/>
        </w:rPr>
        <w:t>. </w:t>
      </w:r>
      <w:r w:rsidRPr="00D405F4">
        <w:rPr>
          <w:rFonts w:eastAsiaTheme="minorEastAsia"/>
          <w:color w:val="000000" w:themeColor="text1"/>
          <w:kern w:val="24"/>
          <w:lang w:eastAsia="fr-FR"/>
          <w14:ligatures w14:val="none"/>
        </w:rPr>
        <w:t xml:space="preserve">Un tel comportement peut également être caractérisé par des tenues, des sigles ou de logos ou encore des fournisseurs. </w:t>
      </w:r>
    </w:p>
    <w:p w14:paraId="24225B96" w14:textId="77777777" w:rsidR="00742A61" w:rsidRDefault="00742A61" w:rsidP="00623F95">
      <w:pPr>
        <w:spacing w:after="0" w:line="240" w:lineRule="auto"/>
        <w:ind w:left="1426"/>
        <w:contextualSpacing/>
        <w:jc w:val="both"/>
        <w:rPr>
          <w:rFonts w:eastAsia="Times New Roman" w:cs="Times New Roman"/>
          <w:color w:val="727CA3"/>
          <w:kern w:val="0"/>
          <w:lang w:eastAsia="fr-FR"/>
          <w14:ligatures w14:val="none"/>
        </w:rPr>
      </w:pPr>
    </w:p>
    <w:p w14:paraId="43719341" w14:textId="77777777" w:rsidR="00742A61" w:rsidRDefault="00742A61" w:rsidP="00623F95">
      <w:pPr>
        <w:spacing w:after="0" w:line="240" w:lineRule="auto"/>
        <w:ind w:left="1426"/>
        <w:contextualSpacing/>
        <w:jc w:val="both"/>
        <w:rPr>
          <w:rFonts w:eastAsia="Times New Roman" w:cs="Times New Roman"/>
          <w:color w:val="727CA3"/>
          <w:kern w:val="0"/>
          <w:lang w:eastAsia="fr-FR"/>
          <w14:ligatures w14:val="none"/>
        </w:rPr>
      </w:pPr>
    </w:p>
    <w:p w14:paraId="451A94B6" w14:textId="05552FB1" w:rsidR="00742A61" w:rsidRPr="003679A9" w:rsidRDefault="003679A9" w:rsidP="00623F95">
      <w:pPr>
        <w:pStyle w:val="Paragraphedeliste"/>
        <w:numPr>
          <w:ilvl w:val="0"/>
          <w:numId w:val="10"/>
        </w:numPr>
        <w:spacing w:after="0" w:line="240" w:lineRule="auto"/>
        <w:ind w:left="426" w:hanging="426"/>
        <w:jc w:val="both"/>
        <w:rPr>
          <w:rFonts w:eastAsia="Times New Roman" w:cs="Times New Roman"/>
          <w:b/>
          <w:bCs/>
          <w:kern w:val="0"/>
          <w:lang w:eastAsia="fr-FR"/>
          <w14:ligatures w14:val="none"/>
        </w:rPr>
      </w:pPr>
      <w:r w:rsidRPr="003679A9">
        <w:rPr>
          <w:rFonts w:eastAsia="Times New Roman" w:cs="Times New Roman"/>
          <w:b/>
          <w:bCs/>
          <w:kern w:val="0"/>
          <w:lang w:eastAsia="fr-FR"/>
          <w14:ligatures w14:val="none"/>
        </w:rPr>
        <w:t>Les sanctions des pratiques déloyales</w:t>
      </w:r>
    </w:p>
    <w:p w14:paraId="62BF41E6" w14:textId="77777777" w:rsidR="00ED30C0" w:rsidRPr="00141FF8" w:rsidRDefault="00ED30C0" w:rsidP="00623F95">
      <w:pPr>
        <w:pStyle w:val="NormalWeb"/>
        <w:spacing w:before="110" w:beforeAutospacing="0" w:after="0" w:afterAutospacing="0"/>
        <w:jc w:val="both"/>
        <w:rPr>
          <w:rFonts w:asciiTheme="minorHAnsi" w:hAnsiTheme="minorHAnsi"/>
        </w:rPr>
      </w:pPr>
      <w:r w:rsidRPr="00141FF8">
        <w:rPr>
          <w:rFonts w:asciiTheme="minorHAnsi" w:eastAsiaTheme="minorEastAsia" w:hAnsiTheme="minorHAnsi" w:cstheme="minorBidi"/>
          <w:color w:val="000000" w:themeColor="text1"/>
          <w:kern w:val="24"/>
        </w:rPr>
        <w:t>Les entreprises victimes d’un préjudice suite à un comportement déloyal peuvent intenter une action en concurrence déloyale, si elles prouvent une faute, un préjudice et un lien de causalité entre la faute et le préjudice.</w:t>
      </w:r>
    </w:p>
    <w:p w14:paraId="5E500ED6" w14:textId="77777777" w:rsidR="00ED30C0" w:rsidRPr="00141FF8" w:rsidRDefault="00ED30C0" w:rsidP="00623F95">
      <w:pPr>
        <w:pStyle w:val="NormalWeb"/>
        <w:spacing w:before="110" w:beforeAutospacing="0" w:after="0" w:afterAutospacing="0"/>
        <w:jc w:val="both"/>
        <w:rPr>
          <w:rFonts w:asciiTheme="minorHAnsi" w:hAnsiTheme="minorHAnsi"/>
        </w:rPr>
      </w:pPr>
      <w:r w:rsidRPr="00141FF8">
        <w:rPr>
          <w:rFonts w:asciiTheme="minorHAnsi" w:eastAsiaTheme="minorEastAsia" w:hAnsiTheme="minorHAnsi" w:cstheme="minorBidi"/>
          <w:color w:val="000000" w:themeColor="text1"/>
          <w:kern w:val="24"/>
        </w:rPr>
        <w:t>Les juges peuvent prononcer condamner le responsable à verser des dommages et intérêts à la victime et à exiger la cessation des pratiques déloyales.</w:t>
      </w:r>
    </w:p>
    <w:p w14:paraId="56734B8A" w14:textId="666897F1" w:rsidR="00597701" w:rsidRDefault="00597701" w:rsidP="00623F95">
      <w:pPr>
        <w:jc w:val="both"/>
        <w:rPr>
          <w:b/>
          <w:bCs/>
        </w:rPr>
      </w:pPr>
    </w:p>
    <w:p w14:paraId="4BE9D267" w14:textId="02D7BDD4" w:rsidR="004E2586" w:rsidRDefault="004E2586" w:rsidP="00623F95">
      <w:pPr>
        <w:pStyle w:val="Paragraphedeliste"/>
        <w:numPr>
          <w:ilvl w:val="0"/>
          <w:numId w:val="10"/>
        </w:numPr>
        <w:ind w:left="426"/>
        <w:jc w:val="both"/>
        <w:rPr>
          <w:b/>
          <w:bCs/>
        </w:rPr>
      </w:pPr>
      <w:r>
        <w:rPr>
          <w:b/>
          <w:bCs/>
        </w:rPr>
        <w:t xml:space="preserve">Les sanctions des pratiques restrictives </w:t>
      </w:r>
      <w:r w:rsidR="005E28EE">
        <w:rPr>
          <w:b/>
          <w:bCs/>
        </w:rPr>
        <w:t xml:space="preserve"> de concurrence</w:t>
      </w:r>
    </w:p>
    <w:p w14:paraId="156DA0CF" w14:textId="196E0E69" w:rsidR="007C092B" w:rsidRPr="0054455D" w:rsidRDefault="007C092B" w:rsidP="00623F95">
      <w:pPr>
        <w:jc w:val="both"/>
      </w:pPr>
      <w:r w:rsidRPr="0054455D">
        <w:t>Pour protéger les acteurs du marché</w:t>
      </w:r>
      <w:r w:rsidR="00F107E2">
        <w:t>,</w:t>
      </w:r>
      <w:r w:rsidRPr="0054455D">
        <w:t xml:space="preserve"> le droit de la concurrence sanctionne également les pratiques restrictives de la concurrence à savoir des pratiques qui nuisent à la loyauté  et à la transparence dans les relations entre les entreprises.</w:t>
      </w:r>
    </w:p>
    <w:p w14:paraId="4568F1D2" w14:textId="77777777" w:rsidR="00DE06C1" w:rsidRDefault="007C092B" w:rsidP="00623F95">
      <w:pPr>
        <w:jc w:val="both"/>
      </w:pPr>
      <w:r w:rsidRPr="0054455D">
        <w:t>Ces pratiques restrictives sont listées dans le code de commerce ex : la rupture brutale des relations commerciales sans préavis écrit</w:t>
      </w:r>
      <w:r w:rsidR="0054455D">
        <w:t> ; ou déséquilibre significatif entre les droits et obligations des parties</w:t>
      </w:r>
      <w:r w:rsidR="005C7F20">
        <w:t xml:space="preserve">( une entreprise s’octroie d’importantes prérogatives et /ou impose </w:t>
      </w:r>
      <w:r w:rsidR="00A11C5B">
        <w:t>des conditions lourdes à son cocontractant, au détriment de l’équilibre du contrat</w:t>
      </w:r>
      <w:r w:rsidR="00BF719A">
        <w:t>)</w:t>
      </w:r>
      <w:r w:rsidR="00A11C5B">
        <w:t>.</w:t>
      </w:r>
    </w:p>
    <w:p w14:paraId="1C0959D0" w14:textId="4596CDFB" w:rsidR="007C092B" w:rsidRPr="00BF719A" w:rsidRDefault="007C092B" w:rsidP="00623F95">
      <w:pPr>
        <w:jc w:val="both"/>
      </w:pPr>
      <w:r w:rsidRPr="0054455D">
        <w:t xml:space="preserve"> L’entreprise coupable de telles pratiques doit réparer le préjudice qu’elle a causé à son partenaire par le versement de dommages et intérêts ( responsabilité </w:t>
      </w:r>
      <w:r w:rsidRPr="00BF719A">
        <w:t xml:space="preserve">civile) elle peut également être condamnée à une amende. </w:t>
      </w:r>
    </w:p>
    <w:p w14:paraId="170F86F4" w14:textId="77777777" w:rsidR="005E28EE" w:rsidRPr="00BF719A" w:rsidRDefault="005E28EE" w:rsidP="00623F95">
      <w:pPr>
        <w:pStyle w:val="Paragraphedeliste"/>
        <w:ind w:left="786"/>
        <w:jc w:val="both"/>
      </w:pPr>
    </w:p>
    <w:sectPr w:rsidR="005E28EE" w:rsidRPr="00BF719A">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5C597" w14:textId="77777777" w:rsidR="00D61858" w:rsidRDefault="00D61858" w:rsidP="00DE06C1">
      <w:pPr>
        <w:spacing w:after="0" w:line="240" w:lineRule="auto"/>
      </w:pPr>
      <w:r>
        <w:separator/>
      </w:r>
    </w:p>
  </w:endnote>
  <w:endnote w:type="continuationSeparator" w:id="0">
    <w:p w14:paraId="29BB7F5A" w14:textId="77777777" w:rsidR="00D61858" w:rsidRDefault="00D61858" w:rsidP="00DE0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0726950"/>
      <w:docPartObj>
        <w:docPartGallery w:val="Page Numbers (Bottom of Page)"/>
        <w:docPartUnique/>
      </w:docPartObj>
    </w:sdtPr>
    <w:sdtContent>
      <w:p w14:paraId="77276E92" w14:textId="75B95E2B" w:rsidR="00DE06C1" w:rsidRDefault="00DE06C1">
        <w:pPr>
          <w:pStyle w:val="Pieddepage"/>
          <w:jc w:val="right"/>
        </w:pPr>
        <w:r>
          <w:fldChar w:fldCharType="begin"/>
        </w:r>
        <w:r>
          <w:instrText>PAGE   \* MERGEFORMAT</w:instrText>
        </w:r>
        <w:r>
          <w:fldChar w:fldCharType="separate"/>
        </w:r>
        <w:r>
          <w:t>2</w:t>
        </w:r>
        <w:r>
          <w:fldChar w:fldCharType="end"/>
        </w:r>
      </w:p>
    </w:sdtContent>
  </w:sdt>
  <w:p w14:paraId="68D5189C" w14:textId="77777777" w:rsidR="00DE06C1" w:rsidRDefault="00DE06C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A6446" w14:textId="77777777" w:rsidR="00D61858" w:rsidRDefault="00D61858" w:rsidP="00DE06C1">
      <w:pPr>
        <w:spacing w:after="0" w:line="240" w:lineRule="auto"/>
      </w:pPr>
      <w:r>
        <w:separator/>
      </w:r>
    </w:p>
  </w:footnote>
  <w:footnote w:type="continuationSeparator" w:id="0">
    <w:p w14:paraId="35B2D49E" w14:textId="77777777" w:rsidR="00D61858" w:rsidRDefault="00D61858" w:rsidP="00DE06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71CD2"/>
    <w:multiLevelType w:val="hybridMultilevel"/>
    <w:tmpl w:val="EAB6E208"/>
    <w:lvl w:ilvl="0" w:tplc="A5122B8C">
      <w:start w:val="1"/>
      <w:numFmt w:val="upperLetter"/>
      <w:lvlText w:val="%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1" w15:restartNumberingAfterBreak="0">
    <w:nsid w:val="19D41C18"/>
    <w:multiLevelType w:val="hybridMultilevel"/>
    <w:tmpl w:val="E08280B6"/>
    <w:lvl w:ilvl="0" w:tplc="4B627690">
      <w:start w:val="1"/>
      <w:numFmt w:val="bullet"/>
      <w:lvlText w:val=""/>
      <w:lvlJc w:val="left"/>
      <w:pPr>
        <w:tabs>
          <w:tab w:val="num" w:pos="720"/>
        </w:tabs>
        <w:ind w:left="720" w:hanging="360"/>
      </w:pPr>
      <w:rPr>
        <w:rFonts w:ascii="Wingdings 2" w:hAnsi="Wingdings 2" w:hint="default"/>
      </w:rPr>
    </w:lvl>
    <w:lvl w:ilvl="1" w:tplc="CF98AD2C" w:tentative="1">
      <w:start w:val="1"/>
      <w:numFmt w:val="bullet"/>
      <w:lvlText w:val=""/>
      <w:lvlJc w:val="left"/>
      <w:pPr>
        <w:tabs>
          <w:tab w:val="num" w:pos="1440"/>
        </w:tabs>
        <w:ind w:left="1440" w:hanging="360"/>
      </w:pPr>
      <w:rPr>
        <w:rFonts w:ascii="Wingdings 2" w:hAnsi="Wingdings 2" w:hint="default"/>
      </w:rPr>
    </w:lvl>
    <w:lvl w:ilvl="2" w:tplc="EF0414C0" w:tentative="1">
      <w:start w:val="1"/>
      <w:numFmt w:val="bullet"/>
      <w:lvlText w:val=""/>
      <w:lvlJc w:val="left"/>
      <w:pPr>
        <w:tabs>
          <w:tab w:val="num" w:pos="2160"/>
        </w:tabs>
        <w:ind w:left="2160" w:hanging="360"/>
      </w:pPr>
      <w:rPr>
        <w:rFonts w:ascii="Wingdings 2" w:hAnsi="Wingdings 2" w:hint="default"/>
      </w:rPr>
    </w:lvl>
    <w:lvl w:ilvl="3" w:tplc="6A6E8CC6" w:tentative="1">
      <w:start w:val="1"/>
      <w:numFmt w:val="bullet"/>
      <w:lvlText w:val=""/>
      <w:lvlJc w:val="left"/>
      <w:pPr>
        <w:tabs>
          <w:tab w:val="num" w:pos="2880"/>
        </w:tabs>
        <w:ind w:left="2880" w:hanging="360"/>
      </w:pPr>
      <w:rPr>
        <w:rFonts w:ascii="Wingdings 2" w:hAnsi="Wingdings 2" w:hint="default"/>
      </w:rPr>
    </w:lvl>
    <w:lvl w:ilvl="4" w:tplc="2CB6A40A" w:tentative="1">
      <w:start w:val="1"/>
      <w:numFmt w:val="bullet"/>
      <w:lvlText w:val=""/>
      <w:lvlJc w:val="left"/>
      <w:pPr>
        <w:tabs>
          <w:tab w:val="num" w:pos="3600"/>
        </w:tabs>
        <w:ind w:left="3600" w:hanging="360"/>
      </w:pPr>
      <w:rPr>
        <w:rFonts w:ascii="Wingdings 2" w:hAnsi="Wingdings 2" w:hint="default"/>
      </w:rPr>
    </w:lvl>
    <w:lvl w:ilvl="5" w:tplc="7F8A60F8" w:tentative="1">
      <w:start w:val="1"/>
      <w:numFmt w:val="bullet"/>
      <w:lvlText w:val=""/>
      <w:lvlJc w:val="left"/>
      <w:pPr>
        <w:tabs>
          <w:tab w:val="num" w:pos="4320"/>
        </w:tabs>
        <w:ind w:left="4320" w:hanging="360"/>
      </w:pPr>
      <w:rPr>
        <w:rFonts w:ascii="Wingdings 2" w:hAnsi="Wingdings 2" w:hint="default"/>
      </w:rPr>
    </w:lvl>
    <w:lvl w:ilvl="6" w:tplc="732AACC8" w:tentative="1">
      <w:start w:val="1"/>
      <w:numFmt w:val="bullet"/>
      <w:lvlText w:val=""/>
      <w:lvlJc w:val="left"/>
      <w:pPr>
        <w:tabs>
          <w:tab w:val="num" w:pos="5040"/>
        </w:tabs>
        <w:ind w:left="5040" w:hanging="360"/>
      </w:pPr>
      <w:rPr>
        <w:rFonts w:ascii="Wingdings 2" w:hAnsi="Wingdings 2" w:hint="default"/>
      </w:rPr>
    </w:lvl>
    <w:lvl w:ilvl="7" w:tplc="E13EC91E" w:tentative="1">
      <w:start w:val="1"/>
      <w:numFmt w:val="bullet"/>
      <w:lvlText w:val=""/>
      <w:lvlJc w:val="left"/>
      <w:pPr>
        <w:tabs>
          <w:tab w:val="num" w:pos="5760"/>
        </w:tabs>
        <w:ind w:left="5760" w:hanging="360"/>
      </w:pPr>
      <w:rPr>
        <w:rFonts w:ascii="Wingdings 2" w:hAnsi="Wingdings 2" w:hint="default"/>
      </w:rPr>
    </w:lvl>
    <w:lvl w:ilvl="8" w:tplc="FDC64346"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22C51EB5"/>
    <w:multiLevelType w:val="hybridMultilevel"/>
    <w:tmpl w:val="866417A6"/>
    <w:lvl w:ilvl="0" w:tplc="BAE21946">
      <w:start w:val="1"/>
      <w:numFmt w:val="bullet"/>
      <w:lvlText w:val="-"/>
      <w:lvlJc w:val="left"/>
      <w:pPr>
        <w:tabs>
          <w:tab w:val="num" w:pos="720"/>
        </w:tabs>
        <w:ind w:left="720" w:hanging="360"/>
      </w:pPr>
      <w:rPr>
        <w:rFonts w:ascii="Times New Roman" w:hAnsi="Times New Roman" w:hint="default"/>
      </w:rPr>
    </w:lvl>
    <w:lvl w:ilvl="1" w:tplc="1830338E" w:tentative="1">
      <w:start w:val="1"/>
      <w:numFmt w:val="bullet"/>
      <w:lvlText w:val="-"/>
      <w:lvlJc w:val="left"/>
      <w:pPr>
        <w:tabs>
          <w:tab w:val="num" w:pos="1440"/>
        </w:tabs>
        <w:ind w:left="1440" w:hanging="360"/>
      </w:pPr>
      <w:rPr>
        <w:rFonts w:ascii="Times New Roman" w:hAnsi="Times New Roman" w:hint="default"/>
      </w:rPr>
    </w:lvl>
    <w:lvl w:ilvl="2" w:tplc="37A651F4" w:tentative="1">
      <w:start w:val="1"/>
      <w:numFmt w:val="bullet"/>
      <w:lvlText w:val="-"/>
      <w:lvlJc w:val="left"/>
      <w:pPr>
        <w:tabs>
          <w:tab w:val="num" w:pos="2160"/>
        </w:tabs>
        <w:ind w:left="2160" w:hanging="360"/>
      </w:pPr>
      <w:rPr>
        <w:rFonts w:ascii="Times New Roman" w:hAnsi="Times New Roman" w:hint="default"/>
      </w:rPr>
    </w:lvl>
    <w:lvl w:ilvl="3" w:tplc="7FF2DE3E" w:tentative="1">
      <w:start w:val="1"/>
      <w:numFmt w:val="bullet"/>
      <w:lvlText w:val="-"/>
      <w:lvlJc w:val="left"/>
      <w:pPr>
        <w:tabs>
          <w:tab w:val="num" w:pos="2880"/>
        </w:tabs>
        <w:ind w:left="2880" w:hanging="360"/>
      </w:pPr>
      <w:rPr>
        <w:rFonts w:ascii="Times New Roman" w:hAnsi="Times New Roman" w:hint="default"/>
      </w:rPr>
    </w:lvl>
    <w:lvl w:ilvl="4" w:tplc="7630AE1C" w:tentative="1">
      <w:start w:val="1"/>
      <w:numFmt w:val="bullet"/>
      <w:lvlText w:val="-"/>
      <w:lvlJc w:val="left"/>
      <w:pPr>
        <w:tabs>
          <w:tab w:val="num" w:pos="3600"/>
        </w:tabs>
        <w:ind w:left="3600" w:hanging="360"/>
      </w:pPr>
      <w:rPr>
        <w:rFonts w:ascii="Times New Roman" w:hAnsi="Times New Roman" w:hint="default"/>
      </w:rPr>
    </w:lvl>
    <w:lvl w:ilvl="5" w:tplc="D5D86226" w:tentative="1">
      <w:start w:val="1"/>
      <w:numFmt w:val="bullet"/>
      <w:lvlText w:val="-"/>
      <w:lvlJc w:val="left"/>
      <w:pPr>
        <w:tabs>
          <w:tab w:val="num" w:pos="4320"/>
        </w:tabs>
        <w:ind w:left="4320" w:hanging="360"/>
      </w:pPr>
      <w:rPr>
        <w:rFonts w:ascii="Times New Roman" w:hAnsi="Times New Roman" w:hint="default"/>
      </w:rPr>
    </w:lvl>
    <w:lvl w:ilvl="6" w:tplc="E4E854E0" w:tentative="1">
      <w:start w:val="1"/>
      <w:numFmt w:val="bullet"/>
      <w:lvlText w:val="-"/>
      <w:lvlJc w:val="left"/>
      <w:pPr>
        <w:tabs>
          <w:tab w:val="num" w:pos="5040"/>
        </w:tabs>
        <w:ind w:left="5040" w:hanging="360"/>
      </w:pPr>
      <w:rPr>
        <w:rFonts w:ascii="Times New Roman" w:hAnsi="Times New Roman" w:hint="default"/>
      </w:rPr>
    </w:lvl>
    <w:lvl w:ilvl="7" w:tplc="73BA2EFC" w:tentative="1">
      <w:start w:val="1"/>
      <w:numFmt w:val="bullet"/>
      <w:lvlText w:val="-"/>
      <w:lvlJc w:val="left"/>
      <w:pPr>
        <w:tabs>
          <w:tab w:val="num" w:pos="5760"/>
        </w:tabs>
        <w:ind w:left="5760" w:hanging="360"/>
      </w:pPr>
      <w:rPr>
        <w:rFonts w:ascii="Times New Roman" w:hAnsi="Times New Roman" w:hint="default"/>
      </w:rPr>
    </w:lvl>
    <w:lvl w:ilvl="8" w:tplc="F73E8B74"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32F22FF9"/>
    <w:multiLevelType w:val="hybridMultilevel"/>
    <w:tmpl w:val="34B2F292"/>
    <w:lvl w:ilvl="0" w:tplc="5448C472">
      <w:start w:val="1"/>
      <w:numFmt w:val="bullet"/>
      <w:lvlText w:val="•"/>
      <w:lvlJc w:val="left"/>
      <w:pPr>
        <w:tabs>
          <w:tab w:val="num" w:pos="720"/>
        </w:tabs>
        <w:ind w:left="720" w:hanging="360"/>
      </w:pPr>
      <w:rPr>
        <w:rFonts w:ascii="Arial" w:hAnsi="Arial" w:hint="default"/>
      </w:rPr>
    </w:lvl>
    <w:lvl w:ilvl="1" w:tplc="F2B6EC00" w:tentative="1">
      <w:start w:val="1"/>
      <w:numFmt w:val="bullet"/>
      <w:lvlText w:val="•"/>
      <w:lvlJc w:val="left"/>
      <w:pPr>
        <w:tabs>
          <w:tab w:val="num" w:pos="1440"/>
        </w:tabs>
        <w:ind w:left="1440" w:hanging="360"/>
      </w:pPr>
      <w:rPr>
        <w:rFonts w:ascii="Arial" w:hAnsi="Arial" w:hint="default"/>
      </w:rPr>
    </w:lvl>
    <w:lvl w:ilvl="2" w:tplc="39409ACE" w:tentative="1">
      <w:start w:val="1"/>
      <w:numFmt w:val="bullet"/>
      <w:lvlText w:val="•"/>
      <w:lvlJc w:val="left"/>
      <w:pPr>
        <w:tabs>
          <w:tab w:val="num" w:pos="2160"/>
        </w:tabs>
        <w:ind w:left="2160" w:hanging="360"/>
      </w:pPr>
      <w:rPr>
        <w:rFonts w:ascii="Arial" w:hAnsi="Arial" w:hint="default"/>
      </w:rPr>
    </w:lvl>
    <w:lvl w:ilvl="3" w:tplc="60FAB120" w:tentative="1">
      <w:start w:val="1"/>
      <w:numFmt w:val="bullet"/>
      <w:lvlText w:val="•"/>
      <w:lvlJc w:val="left"/>
      <w:pPr>
        <w:tabs>
          <w:tab w:val="num" w:pos="2880"/>
        </w:tabs>
        <w:ind w:left="2880" w:hanging="360"/>
      </w:pPr>
      <w:rPr>
        <w:rFonts w:ascii="Arial" w:hAnsi="Arial" w:hint="default"/>
      </w:rPr>
    </w:lvl>
    <w:lvl w:ilvl="4" w:tplc="C7BADD9A" w:tentative="1">
      <w:start w:val="1"/>
      <w:numFmt w:val="bullet"/>
      <w:lvlText w:val="•"/>
      <w:lvlJc w:val="left"/>
      <w:pPr>
        <w:tabs>
          <w:tab w:val="num" w:pos="3600"/>
        </w:tabs>
        <w:ind w:left="3600" w:hanging="360"/>
      </w:pPr>
      <w:rPr>
        <w:rFonts w:ascii="Arial" w:hAnsi="Arial" w:hint="default"/>
      </w:rPr>
    </w:lvl>
    <w:lvl w:ilvl="5" w:tplc="F0048FCC" w:tentative="1">
      <w:start w:val="1"/>
      <w:numFmt w:val="bullet"/>
      <w:lvlText w:val="•"/>
      <w:lvlJc w:val="left"/>
      <w:pPr>
        <w:tabs>
          <w:tab w:val="num" w:pos="4320"/>
        </w:tabs>
        <w:ind w:left="4320" w:hanging="360"/>
      </w:pPr>
      <w:rPr>
        <w:rFonts w:ascii="Arial" w:hAnsi="Arial" w:hint="default"/>
      </w:rPr>
    </w:lvl>
    <w:lvl w:ilvl="6" w:tplc="2684FDBC" w:tentative="1">
      <w:start w:val="1"/>
      <w:numFmt w:val="bullet"/>
      <w:lvlText w:val="•"/>
      <w:lvlJc w:val="left"/>
      <w:pPr>
        <w:tabs>
          <w:tab w:val="num" w:pos="5040"/>
        </w:tabs>
        <w:ind w:left="5040" w:hanging="360"/>
      </w:pPr>
      <w:rPr>
        <w:rFonts w:ascii="Arial" w:hAnsi="Arial" w:hint="default"/>
      </w:rPr>
    </w:lvl>
    <w:lvl w:ilvl="7" w:tplc="E0F4881C" w:tentative="1">
      <w:start w:val="1"/>
      <w:numFmt w:val="bullet"/>
      <w:lvlText w:val="•"/>
      <w:lvlJc w:val="left"/>
      <w:pPr>
        <w:tabs>
          <w:tab w:val="num" w:pos="5760"/>
        </w:tabs>
        <w:ind w:left="5760" w:hanging="360"/>
      </w:pPr>
      <w:rPr>
        <w:rFonts w:ascii="Arial" w:hAnsi="Arial" w:hint="default"/>
      </w:rPr>
    </w:lvl>
    <w:lvl w:ilvl="8" w:tplc="3F167B6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EE63407"/>
    <w:multiLevelType w:val="hybridMultilevel"/>
    <w:tmpl w:val="70004636"/>
    <w:lvl w:ilvl="0" w:tplc="E8ACA6F2">
      <w:start w:val="1"/>
      <w:numFmt w:val="bullet"/>
      <w:lvlText w:val=""/>
      <w:lvlJc w:val="left"/>
      <w:pPr>
        <w:tabs>
          <w:tab w:val="num" w:pos="720"/>
        </w:tabs>
        <w:ind w:left="720" w:hanging="360"/>
      </w:pPr>
      <w:rPr>
        <w:rFonts w:ascii="Wingdings" w:hAnsi="Wingdings" w:hint="default"/>
      </w:rPr>
    </w:lvl>
    <w:lvl w:ilvl="1" w:tplc="1682BE06" w:tentative="1">
      <w:start w:val="1"/>
      <w:numFmt w:val="bullet"/>
      <w:lvlText w:val=""/>
      <w:lvlJc w:val="left"/>
      <w:pPr>
        <w:tabs>
          <w:tab w:val="num" w:pos="1440"/>
        </w:tabs>
        <w:ind w:left="1440" w:hanging="360"/>
      </w:pPr>
      <w:rPr>
        <w:rFonts w:ascii="Wingdings" w:hAnsi="Wingdings" w:hint="default"/>
      </w:rPr>
    </w:lvl>
    <w:lvl w:ilvl="2" w:tplc="A54019FC" w:tentative="1">
      <w:start w:val="1"/>
      <w:numFmt w:val="bullet"/>
      <w:lvlText w:val=""/>
      <w:lvlJc w:val="left"/>
      <w:pPr>
        <w:tabs>
          <w:tab w:val="num" w:pos="2160"/>
        </w:tabs>
        <w:ind w:left="2160" w:hanging="360"/>
      </w:pPr>
      <w:rPr>
        <w:rFonts w:ascii="Wingdings" w:hAnsi="Wingdings" w:hint="default"/>
      </w:rPr>
    </w:lvl>
    <w:lvl w:ilvl="3" w:tplc="1F3823B8" w:tentative="1">
      <w:start w:val="1"/>
      <w:numFmt w:val="bullet"/>
      <w:lvlText w:val=""/>
      <w:lvlJc w:val="left"/>
      <w:pPr>
        <w:tabs>
          <w:tab w:val="num" w:pos="2880"/>
        </w:tabs>
        <w:ind w:left="2880" w:hanging="360"/>
      </w:pPr>
      <w:rPr>
        <w:rFonts w:ascii="Wingdings" w:hAnsi="Wingdings" w:hint="default"/>
      </w:rPr>
    </w:lvl>
    <w:lvl w:ilvl="4" w:tplc="8EFA6ECA" w:tentative="1">
      <w:start w:val="1"/>
      <w:numFmt w:val="bullet"/>
      <w:lvlText w:val=""/>
      <w:lvlJc w:val="left"/>
      <w:pPr>
        <w:tabs>
          <w:tab w:val="num" w:pos="3600"/>
        </w:tabs>
        <w:ind w:left="3600" w:hanging="360"/>
      </w:pPr>
      <w:rPr>
        <w:rFonts w:ascii="Wingdings" w:hAnsi="Wingdings" w:hint="default"/>
      </w:rPr>
    </w:lvl>
    <w:lvl w:ilvl="5" w:tplc="9C84216E" w:tentative="1">
      <w:start w:val="1"/>
      <w:numFmt w:val="bullet"/>
      <w:lvlText w:val=""/>
      <w:lvlJc w:val="left"/>
      <w:pPr>
        <w:tabs>
          <w:tab w:val="num" w:pos="4320"/>
        </w:tabs>
        <w:ind w:left="4320" w:hanging="360"/>
      </w:pPr>
      <w:rPr>
        <w:rFonts w:ascii="Wingdings" w:hAnsi="Wingdings" w:hint="default"/>
      </w:rPr>
    </w:lvl>
    <w:lvl w:ilvl="6" w:tplc="E08E4A50" w:tentative="1">
      <w:start w:val="1"/>
      <w:numFmt w:val="bullet"/>
      <w:lvlText w:val=""/>
      <w:lvlJc w:val="left"/>
      <w:pPr>
        <w:tabs>
          <w:tab w:val="num" w:pos="5040"/>
        </w:tabs>
        <w:ind w:left="5040" w:hanging="360"/>
      </w:pPr>
      <w:rPr>
        <w:rFonts w:ascii="Wingdings" w:hAnsi="Wingdings" w:hint="default"/>
      </w:rPr>
    </w:lvl>
    <w:lvl w:ilvl="7" w:tplc="74347A38" w:tentative="1">
      <w:start w:val="1"/>
      <w:numFmt w:val="bullet"/>
      <w:lvlText w:val=""/>
      <w:lvlJc w:val="left"/>
      <w:pPr>
        <w:tabs>
          <w:tab w:val="num" w:pos="5760"/>
        </w:tabs>
        <w:ind w:left="5760" w:hanging="360"/>
      </w:pPr>
      <w:rPr>
        <w:rFonts w:ascii="Wingdings" w:hAnsi="Wingdings" w:hint="default"/>
      </w:rPr>
    </w:lvl>
    <w:lvl w:ilvl="8" w:tplc="364A203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2BF54AB"/>
    <w:multiLevelType w:val="hybridMultilevel"/>
    <w:tmpl w:val="14A0A352"/>
    <w:lvl w:ilvl="0" w:tplc="249CF9BA">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D746EAA"/>
    <w:multiLevelType w:val="hybridMultilevel"/>
    <w:tmpl w:val="59F0AB98"/>
    <w:lvl w:ilvl="0" w:tplc="678495DA">
      <w:start w:val="1"/>
      <w:numFmt w:val="bullet"/>
      <w:lvlText w:val=""/>
      <w:lvlJc w:val="left"/>
      <w:pPr>
        <w:tabs>
          <w:tab w:val="num" w:pos="720"/>
        </w:tabs>
        <w:ind w:left="720" w:hanging="360"/>
      </w:pPr>
      <w:rPr>
        <w:rFonts w:ascii="Wingdings" w:hAnsi="Wingdings" w:hint="default"/>
      </w:rPr>
    </w:lvl>
    <w:lvl w:ilvl="1" w:tplc="774C17BC" w:tentative="1">
      <w:start w:val="1"/>
      <w:numFmt w:val="bullet"/>
      <w:lvlText w:val=""/>
      <w:lvlJc w:val="left"/>
      <w:pPr>
        <w:tabs>
          <w:tab w:val="num" w:pos="1440"/>
        </w:tabs>
        <w:ind w:left="1440" w:hanging="360"/>
      </w:pPr>
      <w:rPr>
        <w:rFonts w:ascii="Wingdings" w:hAnsi="Wingdings" w:hint="default"/>
      </w:rPr>
    </w:lvl>
    <w:lvl w:ilvl="2" w:tplc="08248C34" w:tentative="1">
      <w:start w:val="1"/>
      <w:numFmt w:val="bullet"/>
      <w:lvlText w:val=""/>
      <w:lvlJc w:val="left"/>
      <w:pPr>
        <w:tabs>
          <w:tab w:val="num" w:pos="2160"/>
        </w:tabs>
        <w:ind w:left="2160" w:hanging="360"/>
      </w:pPr>
      <w:rPr>
        <w:rFonts w:ascii="Wingdings" w:hAnsi="Wingdings" w:hint="default"/>
      </w:rPr>
    </w:lvl>
    <w:lvl w:ilvl="3" w:tplc="24ECDF14" w:tentative="1">
      <w:start w:val="1"/>
      <w:numFmt w:val="bullet"/>
      <w:lvlText w:val=""/>
      <w:lvlJc w:val="left"/>
      <w:pPr>
        <w:tabs>
          <w:tab w:val="num" w:pos="2880"/>
        </w:tabs>
        <w:ind w:left="2880" w:hanging="360"/>
      </w:pPr>
      <w:rPr>
        <w:rFonts w:ascii="Wingdings" w:hAnsi="Wingdings" w:hint="default"/>
      </w:rPr>
    </w:lvl>
    <w:lvl w:ilvl="4" w:tplc="858E374A" w:tentative="1">
      <w:start w:val="1"/>
      <w:numFmt w:val="bullet"/>
      <w:lvlText w:val=""/>
      <w:lvlJc w:val="left"/>
      <w:pPr>
        <w:tabs>
          <w:tab w:val="num" w:pos="3600"/>
        </w:tabs>
        <w:ind w:left="3600" w:hanging="360"/>
      </w:pPr>
      <w:rPr>
        <w:rFonts w:ascii="Wingdings" w:hAnsi="Wingdings" w:hint="default"/>
      </w:rPr>
    </w:lvl>
    <w:lvl w:ilvl="5" w:tplc="98A8E3C2" w:tentative="1">
      <w:start w:val="1"/>
      <w:numFmt w:val="bullet"/>
      <w:lvlText w:val=""/>
      <w:lvlJc w:val="left"/>
      <w:pPr>
        <w:tabs>
          <w:tab w:val="num" w:pos="4320"/>
        </w:tabs>
        <w:ind w:left="4320" w:hanging="360"/>
      </w:pPr>
      <w:rPr>
        <w:rFonts w:ascii="Wingdings" w:hAnsi="Wingdings" w:hint="default"/>
      </w:rPr>
    </w:lvl>
    <w:lvl w:ilvl="6" w:tplc="30D8280C" w:tentative="1">
      <w:start w:val="1"/>
      <w:numFmt w:val="bullet"/>
      <w:lvlText w:val=""/>
      <w:lvlJc w:val="left"/>
      <w:pPr>
        <w:tabs>
          <w:tab w:val="num" w:pos="5040"/>
        </w:tabs>
        <w:ind w:left="5040" w:hanging="360"/>
      </w:pPr>
      <w:rPr>
        <w:rFonts w:ascii="Wingdings" w:hAnsi="Wingdings" w:hint="default"/>
      </w:rPr>
    </w:lvl>
    <w:lvl w:ilvl="7" w:tplc="9A8A49CC" w:tentative="1">
      <w:start w:val="1"/>
      <w:numFmt w:val="bullet"/>
      <w:lvlText w:val=""/>
      <w:lvlJc w:val="left"/>
      <w:pPr>
        <w:tabs>
          <w:tab w:val="num" w:pos="5760"/>
        </w:tabs>
        <w:ind w:left="5760" w:hanging="360"/>
      </w:pPr>
      <w:rPr>
        <w:rFonts w:ascii="Wingdings" w:hAnsi="Wingdings" w:hint="default"/>
      </w:rPr>
    </w:lvl>
    <w:lvl w:ilvl="8" w:tplc="76A0353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2A519F4"/>
    <w:multiLevelType w:val="hybridMultilevel"/>
    <w:tmpl w:val="9F32E62A"/>
    <w:lvl w:ilvl="0" w:tplc="768AEB84">
      <w:start w:val="1"/>
      <w:numFmt w:val="bullet"/>
      <w:lvlText w:val="-"/>
      <w:lvlJc w:val="left"/>
      <w:pPr>
        <w:tabs>
          <w:tab w:val="num" w:pos="720"/>
        </w:tabs>
        <w:ind w:left="720" w:hanging="360"/>
      </w:pPr>
      <w:rPr>
        <w:rFonts w:ascii="Times New Roman" w:hAnsi="Times New Roman" w:hint="default"/>
      </w:rPr>
    </w:lvl>
    <w:lvl w:ilvl="1" w:tplc="EA208C48" w:tentative="1">
      <w:start w:val="1"/>
      <w:numFmt w:val="bullet"/>
      <w:lvlText w:val="-"/>
      <w:lvlJc w:val="left"/>
      <w:pPr>
        <w:tabs>
          <w:tab w:val="num" w:pos="1440"/>
        </w:tabs>
        <w:ind w:left="1440" w:hanging="360"/>
      </w:pPr>
      <w:rPr>
        <w:rFonts w:ascii="Times New Roman" w:hAnsi="Times New Roman" w:hint="default"/>
      </w:rPr>
    </w:lvl>
    <w:lvl w:ilvl="2" w:tplc="454A8A58" w:tentative="1">
      <w:start w:val="1"/>
      <w:numFmt w:val="bullet"/>
      <w:lvlText w:val="-"/>
      <w:lvlJc w:val="left"/>
      <w:pPr>
        <w:tabs>
          <w:tab w:val="num" w:pos="2160"/>
        </w:tabs>
        <w:ind w:left="2160" w:hanging="360"/>
      </w:pPr>
      <w:rPr>
        <w:rFonts w:ascii="Times New Roman" w:hAnsi="Times New Roman" w:hint="default"/>
      </w:rPr>
    </w:lvl>
    <w:lvl w:ilvl="3" w:tplc="C80AB1EA" w:tentative="1">
      <w:start w:val="1"/>
      <w:numFmt w:val="bullet"/>
      <w:lvlText w:val="-"/>
      <w:lvlJc w:val="left"/>
      <w:pPr>
        <w:tabs>
          <w:tab w:val="num" w:pos="2880"/>
        </w:tabs>
        <w:ind w:left="2880" w:hanging="360"/>
      </w:pPr>
      <w:rPr>
        <w:rFonts w:ascii="Times New Roman" w:hAnsi="Times New Roman" w:hint="default"/>
      </w:rPr>
    </w:lvl>
    <w:lvl w:ilvl="4" w:tplc="08AE45B8" w:tentative="1">
      <w:start w:val="1"/>
      <w:numFmt w:val="bullet"/>
      <w:lvlText w:val="-"/>
      <w:lvlJc w:val="left"/>
      <w:pPr>
        <w:tabs>
          <w:tab w:val="num" w:pos="3600"/>
        </w:tabs>
        <w:ind w:left="3600" w:hanging="360"/>
      </w:pPr>
      <w:rPr>
        <w:rFonts w:ascii="Times New Roman" w:hAnsi="Times New Roman" w:hint="default"/>
      </w:rPr>
    </w:lvl>
    <w:lvl w:ilvl="5" w:tplc="06429048" w:tentative="1">
      <w:start w:val="1"/>
      <w:numFmt w:val="bullet"/>
      <w:lvlText w:val="-"/>
      <w:lvlJc w:val="left"/>
      <w:pPr>
        <w:tabs>
          <w:tab w:val="num" w:pos="4320"/>
        </w:tabs>
        <w:ind w:left="4320" w:hanging="360"/>
      </w:pPr>
      <w:rPr>
        <w:rFonts w:ascii="Times New Roman" w:hAnsi="Times New Roman" w:hint="default"/>
      </w:rPr>
    </w:lvl>
    <w:lvl w:ilvl="6" w:tplc="94C6E33A" w:tentative="1">
      <w:start w:val="1"/>
      <w:numFmt w:val="bullet"/>
      <w:lvlText w:val="-"/>
      <w:lvlJc w:val="left"/>
      <w:pPr>
        <w:tabs>
          <w:tab w:val="num" w:pos="5040"/>
        </w:tabs>
        <w:ind w:left="5040" w:hanging="360"/>
      </w:pPr>
      <w:rPr>
        <w:rFonts w:ascii="Times New Roman" w:hAnsi="Times New Roman" w:hint="default"/>
      </w:rPr>
    </w:lvl>
    <w:lvl w:ilvl="7" w:tplc="EBDE494A" w:tentative="1">
      <w:start w:val="1"/>
      <w:numFmt w:val="bullet"/>
      <w:lvlText w:val="-"/>
      <w:lvlJc w:val="left"/>
      <w:pPr>
        <w:tabs>
          <w:tab w:val="num" w:pos="5760"/>
        </w:tabs>
        <w:ind w:left="5760" w:hanging="360"/>
      </w:pPr>
      <w:rPr>
        <w:rFonts w:ascii="Times New Roman" w:hAnsi="Times New Roman" w:hint="default"/>
      </w:rPr>
    </w:lvl>
    <w:lvl w:ilvl="8" w:tplc="2680402A"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678D57B1"/>
    <w:multiLevelType w:val="hybridMultilevel"/>
    <w:tmpl w:val="F29E4CB8"/>
    <w:lvl w:ilvl="0" w:tplc="040C0001">
      <w:start w:val="1"/>
      <w:numFmt w:val="bullet"/>
      <w:lvlText w:val=""/>
      <w:lvlJc w:val="left"/>
      <w:pPr>
        <w:ind w:left="1490" w:hanging="360"/>
      </w:pPr>
      <w:rPr>
        <w:rFonts w:ascii="Symbol" w:hAnsi="Symbol" w:hint="default"/>
      </w:rPr>
    </w:lvl>
    <w:lvl w:ilvl="1" w:tplc="040C0003" w:tentative="1">
      <w:start w:val="1"/>
      <w:numFmt w:val="bullet"/>
      <w:lvlText w:val="o"/>
      <w:lvlJc w:val="left"/>
      <w:pPr>
        <w:ind w:left="2210" w:hanging="360"/>
      </w:pPr>
      <w:rPr>
        <w:rFonts w:ascii="Courier New" w:hAnsi="Courier New" w:cs="Courier New" w:hint="default"/>
      </w:rPr>
    </w:lvl>
    <w:lvl w:ilvl="2" w:tplc="040C0005" w:tentative="1">
      <w:start w:val="1"/>
      <w:numFmt w:val="bullet"/>
      <w:lvlText w:val=""/>
      <w:lvlJc w:val="left"/>
      <w:pPr>
        <w:ind w:left="2930" w:hanging="360"/>
      </w:pPr>
      <w:rPr>
        <w:rFonts w:ascii="Wingdings" w:hAnsi="Wingdings" w:hint="default"/>
      </w:rPr>
    </w:lvl>
    <w:lvl w:ilvl="3" w:tplc="040C0001" w:tentative="1">
      <w:start w:val="1"/>
      <w:numFmt w:val="bullet"/>
      <w:lvlText w:val=""/>
      <w:lvlJc w:val="left"/>
      <w:pPr>
        <w:ind w:left="3650" w:hanging="360"/>
      </w:pPr>
      <w:rPr>
        <w:rFonts w:ascii="Symbol" w:hAnsi="Symbol" w:hint="default"/>
      </w:rPr>
    </w:lvl>
    <w:lvl w:ilvl="4" w:tplc="040C0003" w:tentative="1">
      <w:start w:val="1"/>
      <w:numFmt w:val="bullet"/>
      <w:lvlText w:val="o"/>
      <w:lvlJc w:val="left"/>
      <w:pPr>
        <w:ind w:left="4370" w:hanging="360"/>
      </w:pPr>
      <w:rPr>
        <w:rFonts w:ascii="Courier New" w:hAnsi="Courier New" w:cs="Courier New" w:hint="default"/>
      </w:rPr>
    </w:lvl>
    <w:lvl w:ilvl="5" w:tplc="040C0005" w:tentative="1">
      <w:start w:val="1"/>
      <w:numFmt w:val="bullet"/>
      <w:lvlText w:val=""/>
      <w:lvlJc w:val="left"/>
      <w:pPr>
        <w:ind w:left="5090" w:hanging="360"/>
      </w:pPr>
      <w:rPr>
        <w:rFonts w:ascii="Wingdings" w:hAnsi="Wingdings" w:hint="default"/>
      </w:rPr>
    </w:lvl>
    <w:lvl w:ilvl="6" w:tplc="040C0001" w:tentative="1">
      <w:start w:val="1"/>
      <w:numFmt w:val="bullet"/>
      <w:lvlText w:val=""/>
      <w:lvlJc w:val="left"/>
      <w:pPr>
        <w:ind w:left="5810" w:hanging="360"/>
      </w:pPr>
      <w:rPr>
        <w:rFonts w:ascii="Symbol" w:hAnsi="Symbol" w:hint="default"/>
      </w:rPr>
    </w:lvl>
    <w:lvl w:ilvl="7" w:tplc="040C0003" w:tentative="1">
      <w:start w:val="1"/>
      <w:numFmt w:val="bullet"/>
      <w:lvlText w:val="o"/>
      <w:lvlJc w:val="left"/>
      <w:pPr>
        <w:ind w:left="6530" w:hanging="360"/>
      </w:pPr>
      <w:rPr>
        <w:rFonts w:ascii="Courier New" w:hAnsi="Courier New" w:cs="Courier New" w:hint="default"/>
      </w:rPr>
    </w:lvl>
    <w:lvl w:ilvl="8" w:tplc="040C0005" w:tentative="1">
      <w:start w:val="1"/>
      <w:numFmt w:val="bullet"/>
      <w:lvlText w:val=""/>
      <w:lvlJc w:val="left"/>
      <w:pPr>
        <w:ind w:left="7250" w:hanging="360"/>
      </w:pPr>
      <w:rPr>
        <w:rFonts w:ascii="Wingdings" w:hAnsi="Wingdings" w:hint="default"/>
      </w:rPr>
    </w:lvl>
  </w:abstractNum>
  <w:abstractNum w:abstractNumId="9" w15:restartNumberingAfterBreak="0">
    <w:nsid w:val="6C2C1AB1"/>
    <w:multiLevelType w:val="hybridMultilevel"/>
    <w:tmpl w:val="6CF2FDB6"/>
    <w:lvl w:ilvl="0" w:tplc="B7C47D62">
      <w:start w:val="1"/>
      <w:numFmt w:val="bullet"/>
      <w:lvlText w:val=""/>
      <w:lvlJc w:val="left"/>
      <w:pPr>
        <w:tabs>
          <w:tab w:val="num" w:pos="720"/>
        </w:tabs>
        <w:ind w:left="720" w:hanging="360"/>
      </w:pPr>
      <w:rPr>
        <w:rFonts w:ascii="Wingdings" w:hAnsi="Wingdings" w:hint="default"/>
      </w:rPr>
    </w:lvl>
    <w:lvl w:ilvl="1" w:tplc="785850E2" w:tentative="1">
      <w:start w:val="1"/>
      <w:numFmt w:val="bullet"/>
      <w:lvlText w:val=""/>
      <w:lvlJc w:val="left"/>
      <w:pPr>
        <w:tabs>
          <w:tab w:val="num" w:pos="1440"/>
        </w:tabs>
        <w:ind w:left="1440" w:hanging="360"/>
      </w:pPr>
      <w:rPr>
        <w:rFonts w:ascii="Wingdings" w:hAnsi="Wingdings" w:hint="default"/>
      </w:rPr>
    </w:lvl>
    <w:lvl w:ilvl="2" w:tplc="4FEC7340" w:tentative="1">
      <w:start w:val="1"/>
      <w:numFmt w:val="bullet"/>
      <w:lvlText w:val=""/>
      <w:lvlJc w:val="left"/>
      <w:pPr>
        <w:tabs>
          <w:tab w:val="num" w:pos="2160"/>
        </w:tabs>
        <w:ind w:left="2160" w:hanging="360"/>
      </w:pPr>
      <w:rPr>
        <w:rFonts w:ascii="Wingdings" w:hAnsi="Wingdings" w:hint="default"/>
      </w:rPr>
    </w:lvl>
    <w:lvl w:ilvl="3" w:tplc="E658792A" w:tentative="1">
      <w:start w:val="1"/>
      <w:numFmt w:val="bullet"/>
      <w:lvlText w:val=""/>
      <w:lvlJc w:val="left"/>
      <w:pPr>
        <w:tabs>
          <w:tab w:val="num" w:pos="2880"/>
        </w:tabs>
        <w:ind w:left="2880" w:hanging="360"/>
      </w:pPr>
      <w:rPr>
        <w:rFonts w:ascii="Wingdings" w:hAnsi="Wingdings" w:hint="default"/>
      </w:rPr>
    </w:lvl>
    <w:lvl w:ilvl="4" w:tplc="D0561EF0" w:tentative="1">
      <w:start w:val="1"/>
      <w:numFmt w:val="bullet"/>
      <w:lvlText w:val=""/>
      <w:lvlJc w:val="left"/>
      <w:pPr>
        <w:tabs>
          <w:tab w:val="num" w:pos="3600"/>
        </w:tabs>
        <w:ind w:left="3600" w:hanging="360"/>
      </w:pPr>
      <w:rPr>
        <w:rFonts w:ascii="Wingdings" w:hAnsi="Wingdings" w:hint="default"/>
      </w:rPr>
    </w:lvl>
    <w:lvl w:ilvl="5" w:tplc="210E8576" w:tentative="1">
      <w:start w:val="1"/>
      <w:numFmt w:val="bullet"/>
      <w:lvlText w:val=""/>
      <w:lvlJc w:val="left"/>
      <w:pPr>
        <w:tabs>
          <w:tab w:val="num" w:pos="4320"/>
        </w:tabs>
        <w:ind w:left="4320" w:hanging="360"/>
      </w:pPr>
      <w:rPr>
        <w:rFonts w:ascii="Wingdings" w:hAnsi="Wingdings" w:hint="default"/>
      </w:rPr>
    </w:lvl>
    <w:lvl w:ilvl="6" w:tplc="9F1EB944" w:tentative="1">
      <w:start w:val="1"/>
      <w:numFmt w:val="bullet"/>
      <w:lvlText w:val=""/>
      <w:lvlJc w:val="left"/>
      <w:pPr>
        <w:tabs>
          <w:tab w:val="num" w:pos="5040"/>
        </w:tabs>
        <w:ind w:left="5040" w:hanging="360"/>
      </w:pPr>
      <w:rPr>
        <w:rFonts w:ascii="Wingdings" w:hAnsi="Wingdings" w:hint="default"/>
      </w:rPr>
    </w:lvl>
    <w:lvl w:ilvl="7" w:tplc="E67E2010" w:tentative="1">
      <w:start w:val="1"/>
      <w:numFmt w:val="bullet"/>
      <w:lvlText w:val=""/>
      <w:lvlJc w:val="left"/>
      <w:pPr>
        <w:tabs>
          <w:tab w:val="num" w:pos="5760"/>
        </w:tabs>
        <w:ind w:left="5760" w:hanging="360"/>
      </w:pPr>
      <w:rPr>
        <w:rFonts w:ascii="Wingdings" w:hAnsi="Wingdings" w:hint="default"/>
      </w:rPr>
    </w:lvl>
    <w:lvl w:ilvl="8" w:tplc="903612B0"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3490A00"/>
    <w:multiLevelType w:val="hybridMultilevel"/>
    <w:tmpl w:val="732E0548"/>
    <w:lvl w:ilvl="0" w:tplc="3C6C721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6141E78"/>
    <w:multiLevelType w:val="hybridMultilevel"/>
    <w:tmpl w:val="3620B0A2"/>
    <w:lvl w:ilvl="0" w:tplc="060EA32C">
      <w:start w:val="2"/>
      <w:numFmt w:val="upperLetter"/>
      <w:lvlText w:val="%1)"/>
      <w:lvlJc w:val="left"/>
      <w:pPr>
        <w:ind w:left="720" w:hanging="360"/>
      </w:pPr>
      <w:rPr>
        <w:rFonts w:eastAsiaTheme="minorEastAsia" w:cstheme="minorBidi" w:hint="default"/>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07223606">
    <w:abstractNumId w:val="9"/>
  </w:num>
  <w:num w:numId="2" w16cid:durableId="868101329">
    <w:abstractNumId w:val="2"/>
  </w:num>
  <w:num w:numId="3" w16cid:durableId="23212912">
    <w:abstractNumId w:val="10"/>
  </w:num>
  <w:num w:numId="4" w16cid:durableId="666594885">
    <w:abstractNumId w:val="1"/>
  </w:num>
  <w:num w:numId="5" w16cid:durableId="608241328">
    <w:abstractNumId w:val="3"/>
  </w:num>
  <w:num w:numId="6" w16cid:durableId="313487454">
    <w:abstractNumId w:val="11"/>
  </w:num>
  <w:num w:numId="7" w16cid:durableId="1466433610">
    <w:abstractNumId w:val="5"/>
  </w:num>
  <w:num w:numId="8" w16cid:durableId="1554387520">
    <w:abstractNumId w:val="8"/>
  </w:num>
  <w:num w:numId="9" w16cid:durableId="1937589827">
    <w:abstractNumId w:val="7"/>
  </w:num>
  <w:num w:numId="10" w16cid:durableId="571434209">
    <w:abstractNumId w:val="0"/>
  </w:num>
  <w:num w:numId="11" w16cid:durableId="1372610656">
    <w:abstractNumId w:val="6"/>
  </w:num>
  <w:num w:numId="12" w16cid:durableId="20312235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8DC"/>
    <w:rsid w:val="00065D05"/>
    <w:rsid w:val="000E6D38"/>
    <w:rsid w:val="00120A1F"/>
    <w:rsid w:val="00141FF8"/>
    <w:rsid w:val="00147452"/>
    <w:rsid w:val="001D21D3"/>
    <w:rsid w:val="00211CD5"/>
    <w:rsid w:val="0022708D"/>
    <w:rsid w:val="002348B8"/>
    <w:rsid w:val="00277677"/>
    <w:rsid w:val="00280F55"/>
    <w:rsid w:val="002B6480"/>
    <w:rsid w:val="002D32E5"/>
    <w:rsid w:val="003679A9"/>
    <w:rsid w:val="00397496"/>
    <w:rsid w:val="00412651"/>
    <w:rsid w:val="00442CEA"/>
    <w:rsid w:val="004E2586"/>
    <w:rsid w:val="005339BE"/>
    <w:rsid w:val="00536C23"/>
    <w:rsid w:val="0054455D"/>
    <w:rsid w:val="00551DE0"/>
    <w:rsid w:val="00580F43"/>
    <w:rsid w:val="00597701"/>
    <w:rsid w:val="005B7724"/>
    <w:rsid w:val="005C7F20"/>
    <w:rsid w:val="005E28EE"/>
    <w:rsid w:val="00623F95"/>
    <w:rsid w:val="00653340"/>
    <w:rsid w:val="00675D0F"/>
    <w:rsid w:val="006824EB"/>
    <w:rsid w:val="006C7442"/>
    <w:rsid w:val="006F61D8"/>
    <w:rsid w:val="00707BC6"/>
    <w:rsid w:val="00742A61"/>
    <w:rsid w:val="00772AB3"/>
    <w:rsid w:val="00781839"/>
    <w:rsid w:val="007C092B"/>
    <w:rsid w:val="00897F7F"/>
    <w:rsid w:val="008D4C34"/>
    <w:rsid w:val="008E3B90"/>
    <w:rsid w:val="009518DC"/>
    <w:rsid w:val="009C2B17"/>
    <w:rsid w:val="00A11C5B"/>
    <w:rsid w:val="00A55AA0"/>
    <w:rsid w:val="00A7372D"/>
    <w:rsid w:val="00AD5BD6"/>
    <w:rsid w:val="00AD679A"/>
    <w:rsid w:val="00AE5D4A"/>
    <w:rsid w:val="00AF5FE8"/>
    <w:rsid w:val="00B21BDB"/>
    <w:rsid w:val="00B437EA"/>
    <w:rsid w:val="00B80F06"/>
    <w:rsid w:val="00BF69A7"/>
    <w:rsid w:val="00BF7197"/>
    <w:rsid w:val="00BF719A"/>
    <w:rsid w:val="00BF7B09"/>
    <w:rsid w:val="00C46FAD"/>
    <w:rsid w:val="00D405F4"/>
    <w:rsid w:val="00D61858"/>
    <w:rsid w:val="00DE06C1"/>
    <w:rsid w:val="00DF6BB5"/>
    <w:rsid w:val="00E247F5"/>
    <w:rsid w:val="00E53385"/>
    <w:rsid w:val="00ED30C0"/>
    <w:rsid w:val="00EE4104"/>
    <w:rsid w:val="00EF2CCA"/>
    <w:rsid w:val="00F107E2"/>
    <w:rsid w:val="00F429B5"/>
    <w:rsid w:val="00F4435F"/>
    <w:rsid w:val="00FF71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E76AA"/>
  <w15:chartTrackingRefBased/>
  <w15:docId w15:val="{8B1174E9-B394-428C-911F-B9303C72A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51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51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518D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518D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518D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518D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518D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518D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518D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518D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518D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518D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518D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518D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518D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518D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518D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518DC"/>
    <w:rPr>
      <w:rFonts w:eastAsiaTheme="majorEastAsia" w:cstheme="majorBidi"/>
      <w:color w:val="272727" w:themeColor="text1" w:themeTint="D8"/>
    </w:rPr>
  </w:style>
  <w:style w:type="paragraph" w:styleId="Titre">
    <w:name w:val="Title"/>
    <w:basedOn w:val="Normal"/>
    <w:next w:val="Normal"/>
    <w:link w:val="TitreCar"/>
    <w:uiPriority w:val="10"/>
    <w:qFormat/>
    <w:rsid w:val="00951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518D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518D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518D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518DC"/>
    <w:pPr>
      <w:spacing w:before="160"/>
      <w:jc w:val="center"/>
    </w:pPr>
    <w:rPr>
      <w:i/>
      <w:iCs/>
      <w:color w:val="404040" w:themeColor="text1" w:themeTint="BF"/>
    </w:rPr>
  </w:style>
  <w:style w:type="character" w:customStyle="1" w:styleId="CitationCar">
    <w:name w:val="Citation Car"/>
    <w:basedOn w:val="Policepardfaut"/>
    <w:link w:val="Citation"/>
    <w:uiPriority w:val="29"/>
    <w:rsid w:val="009518DC"/>
    <w:rPr>
      <w:i/>
      <w:iCs/>
      <w:color w:val="404040" w:themeColor="text1" w:themeTint="BF"/>
    </w:rPr>
  </w:style>
  <w:style w:type="paragraph" w:styleId="Paragraphedeliste">
    <w:name w:val="List Paragraph"/>
    <w:basedOn w:val="Normal"/>
    <w:uiPriority w:val="34"/>
    <w:qFormat/>
    <w:rsid w:val="009518DC"/>
    <w:pPr>
      <w:ind w:left="720"/>
      <w:contextualSpacing/>
    </w:pPr>
  </w:style>
  <w:style w:type="character" w:styleId="Accentuationintense">
    <w:name w:val="Intense Emphasis"/>
    <w:basedOn w:val="Policepardfaut"/>
    <w:uiPriority w:val="21"/>
    <w:qFormat/>
    <w:rsid w:val="009518DC"/>
    <w:rPr>
      <w:i/>
      <w:iCs/>
      <w:color w:val="0F4761" w:themeColor="accent1" w:themeShade="BF"/>
    </w:rPr>
  </w:style>
  <w:style w:type="paragraph" w:styleId="Citationintense">
    <w:name w:val="Intense Quote"/>
    <w:basedOn w:val="Normal"/>
    <w:next w:val="Normal"/>
    <w:link w:val="CitationintenseCar"/>
    <w:uiPriority w:val="30"/>
    <w:qFormat/>
    <w:rsid w:val="00951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518DC"/>
    <w:rPr>
      <w:i/>
      <w:iCs/>
      <w:color w:val="0F4761" w:themeColor="accent1" w:themeShade="BF"/>
    </w:rPr>
  </w:style>
  <w:style w:type="character" w:styleId="Rfrenceintense">
    <w:name w:val="Intense Reference"/>
    <w:basedOn w:val="Policepardfaut"/>
    <w:uiPriority w:val="32"/>
    <w:qFormat/>
    <w:rsid w:val="009518DC"/>
    <w:rPr>
      <w:b/>
      <w:bCs/>
      <w:smallCaps/>
      <w:color w:val="0F4761" w:themeColor="accent1" w:themeShade="BF"/>
      <w:spacing w:val="5"/>
    </w:rPr>
  </w:style>
  <w:style w:type="paragraph" w:styleId="NormalWeb">
    <w:name w:val="Normal (Web)"/>
    <w:basedOn w:val="Normal"/>
    <w:uiPriority w:val="99"/>
    <w:semiHidden/>
    <w:unhideWhenUsed/>
    <w:rsid w:val="009518D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En-tte">
    <w:name w:val="header"/>
    <w:basedOn w:val="Normal"/>
    <w:link w:val="En-tteCar"/>
    <w:uiPriority w:val="99"/>
    <w:unhideWhenUsed/>
    <w:rsid w:val="00DE06C1"/>
    <w:pPr>
      <w:tabs>
        <w:tab w:val="center" w:pos="4536"/>
        <w:tab w:val="right" w:pos="9072"/>
      </w:tabs>
      <w:spacing w:after="0" w:line="240" w:lineRule="auto"/>
    </w:pPr>
  </w:style>
  <w:style w:type="character" w:customStyle="1" w:styleId="En-tteCar">
    <w:name w:val="En-tête Car"/>
    <w:basedOn w:val="Policepardfaut"/>
    <w:link w:val="En-tte"/>
    <w:uiPriority w:val="99"/>
    <w:rsid w:val="00DE06C1"/>
  </w:style>
  <w:style w:type="paragraph" w:styleId="Pieddepage">
    <w:name w:val="footer"/>
    <w:basedOn w:val="Normal"/>
    <w:link w:val="PieddepageCar"/>
    <w:uiPriority w:val="99"/>
    <w:unhideWhenUsed/>
    <w:rsid w:val="00DE06C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E0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029577">
      <w:bodyDiv w:val="1"/>
      <w:marLeft w:val="0"/>
      <w:marRight w:val="0"/>
      <w:marTop w:val="0"/>
      <w:marBottom w:val="0"/>
      <w:divBdr>
        <w:top w:val="none" w:sz="0" w:space="0" w:color="auto"/>
        <w:left w:val="none" w:sz="0" w:space="0" w:color="auto"/>
        <w:bottom w:val="none" w:sz="0" w:space="0" w:color="auto"/>
        <w:right w:val="none" w:sz="0" w:space="0" w:color="auto"/>
      </w:divBdr>
      <w:divsChild>
        <w:div w:id="528686909">
          <w:marLeft w:val="706"/>
          <w:marRight w:val="0"/>
          <w:marTop w:val="144"/>
          <w:marBottom w:val="0"/>
          <w:divBdr>
            <w:top w:val="none" w:sz="0" w:space="0" w:color="auto"/>
            <w:left w:val="none" w:sz="0" w:space="0" w:color="auto"/>
            <w:bottom w:val="none" w:sz="0" w:space="0" w:color="auto"/>
            <w:right w:val="none" w:sz="0" w:space="0" w:color="auto"/>
          </w:divBdr>
        </w:div>
        <w:div w:id="57439280">
          <w:marLeft w:val="706"/>
          <w:marRight w:val="0"/>
          <w:marTop w:val="144"/>
          <w:marBottom w:val="0"/>
          <w:divBdr>
            <w:top w:val="none" w:sz="0" w:space="0" w:color="auto"/>
            <w:left w:val="none" w:sz="0" w:space="0" w:color="auto"/>
            <w:bottom w:val="none" w:sz="0" w:space="0" w:color="auto"/>
            <w:right w:val="none" w:sz="0" w:space="0" w:color="auto"/>
          </w:divBdr>
        </w:div>
      </w:divsChild>
    </w:div>
    <w:div w:id="316611788">
      <w:bodyDiv w:val="1"/>
      <w:marLeft w:val="0"/>
      <w:marRight w:val="0"/>
      <w:marTop w:val="0"/>
      <w:marBottom w:val="0"/>
      <w:divBdr>
        <w:top w:val="none" w:sz="0" w:space="0" w:color="auto"/>
        <w:left w:val="none" w:sz="0" w:space="0" w:color="auto"/>
        <w:bottom w:val="none" w:sz="0" w:space="0" w:color="auto"/>
        <w:right w:val="none" w:sz="0" w:space="0" w:color="auto"/>
      </w:divBdr>
      <w:divsChild>
        <w:div w:id="1469085683">
          <w:marLeft w:val="706"/>
          <w:marRight w:val="0"/>
          <w:marTop w:val="101"/>
          <w:marBottom w:val="0"/>
          <w:divBdr>
            <w:top w:val="none" w:sz="0" w:space="0" w:color="auto"/>
            <w:left w:val="none" w:sz="0" w:space="0" w:color="auto"/>
            <w:bottom w:val="none" w:sz="0" w:space="0" w:color="auto"/>
            <w:right w:val="none" w:sz="0" w:space="0" w:color="auto"/>
          </w:divBdr>
        </w:div>
        <w:div w:id="1575044271">
          <w:marLeft w:val="706"/>
          <w:marRight w:val="0"/>
          <w:marTop w:val="101"/>
          <w:marBottom w:val="0"/>
          <w:divBdr>
            <w:top w:val="none" w:sz="0" w:space="0" w:color="auto"/>
            <w:left w:val="none" w:sz="0" w:space="0" w:color="auto"/>
            <w:bottom w:val="none" w:sz="0" w:space="0" w:color="auto"/>
            <w:right w:val="none" w:sz="0" w:space="0" w:color="auto"/>
          </w:divBdr>
        </w:div>
      </w:divsChild>
    </w:div>
    <w:div w:id="360474530">
      <w:bodyDiv w:val="1"/>
      <w:marLeft w:val="0"/>
      <w:marRight w:val="0"/>
      <w:marTop w:val="0"/>
      <w:marBottom w:val="0"/>
      <w:divBdr>
        <w:top w:val="none" w:sz="0" w:space="0" w:color="auto"/>
        <w:left w:val="none" w:sz="0" w:space="0" w:color="auto"/>
        <w:bottom w:val="none" w:sz="0" w:space="0" w:color="auto"/>
        <w:right w:val="none" w:sz="0" w:space="0" w:color="auto"/>
      </w:divBdr>
    </w:div>
    <w:div w:id="547567752">
      <w:bodyDiv w:val="1"/>
      <w:marLeft w:val="0"/>
      <w:marRight w:val="0"/>
      <w:marTop w:val="0"/>
      <w:marBottom w:val="0"/>
      <w:divBdr>
        <w:top w:val="none" w:sz="0" w:space="0" w:color="auto"/>
        <w:left w:val="none" w:sz="0" w:space="0" w:color="auto"/>
        <w:bottom w:val="none" w:sz="0" w:space="0" w:color="auto"/>
        <w:right w:val="none" w:sz="0" w:space="0" w:color="auto"/>
      </w:divBdr>
      <w:divsChild>
        <w:div w:id="525024567">
          <w:marLeft w:val="706"/>
          <w:marRight w:val="0"/>
          <w:marTop w:val="125"/>
          <w:marBottom w:val="0"/>
          <w:divBdr>
            <w:top w:val="none" w:sz="0" w:space="0" w:color="auto"/>
            <w:left w:val="none" w:sz="0" w:space="0" w:color="auto"/>
            <w:bottom w:val="none" w:sz="0" w:space="0" w:color="auto"/>
            <w:right w:val="none" w:sz="0" w:space="0" w:color="auto"/>
          </w:divBdr>
        </w:div>
        <w:div w:id="1335256600">
          <w:marLeft w:val="706"/>
          <w:marRight w:val="0"/>
          <w:marTop w:val="125"/>
          <w:marBottom w:val="0"/>
          <w:divBdr>
            <w:top w:val="none" w:sz="0" w:space="0" w:color="auto"/>
            <w:left w:val="none" w:sz="0" w:space="0" w:color="auto"/>
            <w:bottom w:val="none" w:sz="0" w:space="0" w:color="auto"/>
            <w:right w:val="none" w:sz="0" w:space="0" w:color="auto"/>
          </w:divBdr>
        </w:div>
        <w:div w:id="1033192934">
          <w:marLeft w:val="706"/>
          <w:marRight w:val="0"/>
          <w:marTop w:val="125"/>
          <w:marBottom w:val="0"/>
          <w:divBdr>
            <w:top w:val="none" w:sz="0" w:space="0" w:color="auto"/>
            <w:left w:val="none" w:sz="0" w:space="0" w:color="auto"/>
            <w:bottom w:val="none" w:sz="0" w:space="0" w:color="auto"/>
            <w:right w:val="none" w:sz="0" w:space="0" w:color="auto"/>
          </w:divBdr>
        </w:div>
        <w:div w:id="1759012728">
          <w:marLeft w:val="706"/>
          <w:marRight w:val="0"/>
          <w:marTop w:val="125"/>
          <w:marBottom w:val="0"/>
          <w:divBdr>
            <w:top w:val="none" w:sz="0" w:space="0" w:color="auto"/>
            <w:left w:val="none" w:sz="0" w:space="0" w:color="auto"/>
            <w:bottom w:val="none" w:sz="0" w:space="0" w:color="auto"/>
            <w:right w:val="none" w:sz="0" w:space="0" w:color="auto"/>
          </w:divBdr>
        </w:div>
      </w:divsChild>
    </w:div>
    <w:div w:id="831943425">
      <w:bodyDiv w:val="1"/>
      <w:marLeft w:val="0"/>
      <w:marRight w:val="0"/>
      <w:marTop w:val="0"/>
      <w:marBottom w:val="0"/>
      <w:divBdr>
        <w:top w:val="none" w:sz="0" w:space="0" w:color="auto"/>
        <w:left w:val="none" w:sz="0" w:space="0" w:color="auto"/>
        <w:bottom w:val="none" w:sz="0" w:space="0" w:color="auto"/>
        <w:right w:val="none" w:sz="0" w:space="0" w:color="auto"/>
      </w:divBdr>
      <w:divsChild>
        <w:div w:id="1546067386">
          <w:marLeft w:val="706"/>
          <w:marRight w:val="0"/>
          <w:marTop w:val="144"/>
          <w:marBottom w:val="0"/>
          <w:divBdr>
            <w:top w:val="none" w:sz="0" w:space="0" w:color="auto"/>
            <w:left w:val="none" w:sz="0" w:space="0" w:color="auto"/>
            <w:bottom w:val="none" w:sz="0" w:space="0" w:color="auto"/>
            <w:right w:val="none" w:sz="0" w:space="0" w:color="auto"/>
          </w:divBdr>
        </w:div>
        <w:div w:id="1501001511">
          <w:marLeft w:val="706"/>
          <w:marRight w:val="0"/>
          <w:marTop w:val="144"/>
          <w:marBottom w:val="0"/>
          <w:divBdr>
            <w:top w:val="none" w:sz="0" w:space="0" w:color="auto"/>
            <w:left w:val="none" w:sz="0" w:space="0" w:color="auto"/>
            <w:bottom w:val="none" w:sz="0" w:space="0" w:color="auto"/>
            <w:right w:val="none" w:sz="0" w:space="0" w:color="auto"/>
          </w:divBdr>
        </w:div>
      </w:divsChild>
    </w:div>
    <w:div w:id="1010838244">
      <w:bodyDiv w:val="1"/>
      <w:marLeft w:val="0"/>
      <w:marRight w:val="0"/>
      <w:marTop w:val="0"/>
      <w:marBottom w:val="0"/>
      <w:divBdr>
        <w:top w:val="none" w:sz="0" w:space="0" w:color="auto"/>
        <w:left w:val="none" w:sz="0" w:space="0" w:color="auto"/>
        <w:bottom w:val="none" w:sz="0" w:space="0" w:color="auto"/>
        <w:right w:val="none" w:sz="0" w:space="0" w:color="auto"/>
      </w:divBdr>
    </w:div>
    <w:div w:id="1123109378">
      <w:bodyDiv w:val="1"/>
      <w:marLeft w:val="0"/>
      <w:marRight w:val="0"/>
      <w:marTop w:val="0"/>
      <w:marBottom w:val="0"/>
      <w:divBdr>
        <w:top w:val="none" w:sz="0" w:space="0" w:color="auto"/>
        <w:left w:val="none" w:sz="0" w:space="0" w:color="auto"/>
        <w:bottom w:val="none" w:sz="0" w:space="0" w:color="auto"/>
        <w:right w:val="none" w:sz="0" w:space="0" w:color="auto"/>
      </w:divBdr>
    </w:div>
    <w:div w:id="1171408324">
      <w:bodyDiv w:val="1"/>
      <w:marLeft w:val="0"/>
      <w:marRight w:val="0"/>
      <w:marTop w:val="0"/>
      <w:marBottom w:val="0"/>
      <w:divBdr>
        <w:top w:val="none" w:sz="0" w:space="0" w:color="auto"/>
        <w:left w:val="none" w:sz="0" w:space="0" w:color="auto"/>
        <w:bottom w:val="none" w:sz="0" w:space="0" w:color="auto"/>
        <w:right w:val="none" w:sz="0" w:space="0" w:color="auto"/>
      </w:divBdr>
    </w:div>
    <w:div w:id="1581020950">
      <w:bodyDiv w:val="1"/>
      <w:marLeft w:val="0"/>
      <w:marRight w:val="0"/>
      <w:marTop w:val="0"/>
      <w:marBottom w:val="0"/>
      <w:divBdr>
        <w:top w:val="none" w:sz="0" w:space="0" w:color="auto"/>
        <w:left w:val="none" w:sz="0" w:space="0" w:color="auto"/>
        <w:bottom w:val="none" w:sz="0" w:space="0" w:color="auto"/>
        <w:right w:val="none" w:sz="0" w:space="0" w:color="auto"/>
      </w:divBdr>
      <w:divsChild>
        <w:div w:id="192883007">
          <w:marLeft w:val="706"/>
          <w:marRight w:val="0"/>
          <w:marTop w:val="134"/>
          <w:marBottom w:val="0"/>
          <w:divBdr>
            <w:top w:val="none" w:sz="0" w:space="0" w:color="auto"/>
            <w:left w:val="none" w:sz="0" w:space="0" w:color="auto"/>
            <w:bottom w:val="none" w:sz="0" w:space="0" w:color="auto"/>
            <w:right w:val="none" w:sz="0" w:space="0" w:color="auto"/>
          </w:divBdr>
        </w:div>
        <w:div w:id="1534732590">
          <w:marLeft w:val="706"/>
          <w:marRight w:val="0"/>
          <w:marTop w:val="134"/>
          <w:marBottom w:val="0"/>
          <w:divBdr>
            <w:top w:val="none" w:sz="0" w:space="0" w:color="auto"/>
            <w:left w:val="none" w:sz="0" w:space="0" w:color="auto"/>
            <w:bottom w:val="none" w:sz="0" w:space="0" w:color="auto"/>
            <w:right w:val="none" w:sz="0" w:space="0" w:color="auto"/>
          </w:divBdr>
        </w:div>
      </w:divsChild>
    </w:div>
    <w:div w:id="1667830258">
      <w:bodyDiv w:val="1"/>
      <w:marLeft w:val="0"/>
      <w:marRight w:val="0"/>
      <w:marTop w:val="0"/>
      <w:marBottom w:val="0"/>
      <w:divBdr>
        <w:top w:val="none" w:sz="0" w:space="0" w:color="auto"/>
        <w:left w:val="none" w:sz="0" w:space="0" w:color="auto"/>
        <w:bottom w:val="none" w:sz="0" w:space="0" w:color="auto"/>
        <w:right w:val="none" w:sz="0" w:space="0" w:color="auto"/>
      </w:divBdr>
    </w:div>
    <w:div w:id="1831361486">
      <w:bodyDiv w:val="1"/>
      <w:marLeft w:val="0"/>
      <w:marRight w:val="0"/>
      <w:marTop w:val="0"/>
      <w:marBottom w:val="0"/>
      <w:divBdr>
        <w:top w:val="none" w:sz="0" w:space="0" w:color="auto"/>
        <w:left w:val="none" w:sz="0" w:space="0" w:color="auto"/>
        <w:bottom w:val="none" w:sz="0" w:space="0" w:color="auto"/>
        <w:right w:val="none" w:sz="0" w:space="0" w:color="auto"/>
      </w:divBdr>
    </w:div>
    <w:div w:id="1841892183">
      <w:bodyDiv w:val="1"/>
      <w:marLeft w:val="0"/>
      <w:marRight w:val="0"/>
      <w:marTop w:val="0"/>
      <w:marBottom w:val="0"/>
      <w:divBdr>
        <w:top w:val="none" w:sz="0" w:space="0" w:color="auto"/>
        <w:left w:val="none" w:sz="0" w:space="0" w:color="auto"/>
        <w:bottom w:val="none" w:sz="0" w:space="0" w:color="auto"/>
        <w:right w:val="none" w:sz="0" w:space="0" w:color="auto"/>
      </w:divBdr>
      <w:divsChild>
        <w:div w:id="246572190">
          <w:marLeft w:val="706"/>
          <w:marRight w:val="0"/>
          <w:marTop w:val="134"/>
          <w:marBottom w:val="0"/>
          <w:divBdr>
            <w:top w:val="none" w:sz="0" w:space="0" w:color="auto"/>
            <w:left w:val="none" w:sz="0" w:space="0" w:color="auto"/>
            <w:bottom w:val="none" w:sz="0" w:space="0" w:color="auto"/>
            <w:right w:val="none" w:sz="0" w:space="0" w:color="auto"/>
          </w:divBdr>
        </w:div>
        <w:div w:id="1017151431">
          <w:marLeft w:val="706"/>
          <w:marRight w:val="0"/>
          <w:marTop w:val="134"/>
          <w:marBottom w:val="0"/>
          <w:divBdr>
            <w:top w:val="none" w:sz="0" w:space="0" w:color="auto"/>
            <w:left w:val="none" w:sz="0" w:space="0" w:color="auto"/>
            <w:bottom w:val="none" w:sz="0" w:space="0" w:color="auto"/>
            <w:right w:val="none" w:sz="0" w:space="0" w:color="auto"/>
          </w:divBdr>
        </w:div>
        <w:div w:id="30809446">
          <w:marLeft w:val="706"/>
          <w:marRight w:val="0"/>
          <w:marTop w:val="134"/>
          <w:marBottom w:val="0"/>
          <w:divBdr>
            <w:top w:val="none" w:sz="0" w:space="0" w:color="auto"/>
            <w:left w:val="none" w:sz="0" w:space="0" w:color="auto"/>
            <w:bottom w:val="none" w:sz="0" w:space="0" w:color="auto"/>
            <w:right w:val="none" w:sz="0" w:space="0" w:color="auto"/>
          </w:divBdr>
        </w:div>
        <w:div w:id="693579385">
          <w:marLeft w:val="706"/>
          <w:marRight w:val="0"/>
          <w:marTop w:val="134"/>
          <w:marBottom w:val="0"/>
          <w:divBdr>
            <w:top w:val="none" w:sz="0" w:space="0" w:color="auto"/>
            <w:left w:val="none" w:sz="0" w:space="0" w:color="auto"/>
            <w:bottom w:val="none" w:sz="0" w:space="0" w:color="auto"/>
            <w:right w:val="none" w:sz="0" w:space="0" w:color="auto"/>
          </w:divBdr>
        </w:div>
      </w:divsChild>
    </w:div>
    <w:div w:id="1854609501">
      <w:bodyDiv w:val="1"/>
      <w:marLeft w:val="0"/>
      <w:marRight w:val="0"/>
      <w:marTop w:val="0"/>
      <w:marBottom w:val="0"/>
      <w:divBdr>
        <w:top w:val="none" w:sz="0" w:space="0" w:color="auto"/>
        <w:left w:val="none" w:sz="0" w:space="0" w:color="auto"/>
        <w:bottom w:val="none" w:sz="0" w:space="0" w:color="auto"/>
        <w:right w:val="none" w:sz="0" w:space="0" w:color="auto"/>
      </w:divBdr>
    </w:div>
    <w:div w:id="2139906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1530</Words>
  <Characters>8421</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marie-agnès VINOLO</dc:creator>
  <cp:keywords/>
  <dc:description/>
  <cp:lastModifiedBy>marie-agnès VINOLO</cp:lastModifiedBy>
  <cp:revision>65</cp:revision>
  <dcterms:created xsi:type="dcterms:W3CDTF">2025-02-07T17:16:00Z</dcterms:created>
  <dcterms:modified xsi:type="dcterms:W3CDTF">2025-02-08T09:57:00Z</dcterms:modified>
</cp:coreProperties>
</file>