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4A0F6" w14:textId="4979CE60" w:rsidR="00A91ADF" w:rsidRDefault="000F39C8" w:rsidP="000F39C8">
      <w:pPr>
        <w:jc w:val="center"/>
        <w:rPr>
          <w:b/>
          <w:bCs/>
        </w:rPr>
      </w:pPr>
      <w:r w:rsidRPr="000F39C8">
        <w:rPr>
          <w:b/>
          <w:bCs/>
        </w:rPr>
        <w:t>Responsabilité de l’administrateur système et réseau</w:t>
      </w:r>
    </w:p>
    <w:p w14:paraId="5379EE2E" w14:textId="264545E1" w:rsidR="000F39C8" w:rsidRDefault="000F39C8" w:rsidP="000F39C8">
      <w:pPr>
        <w:rPr>
          <w:b/>
          <w:bCs/>
        </w:rPr>
      </w:pPr>
      <w:r w:rsidRPr="000F39C8">
        <w:rPr>
          <w:b/>
          <w:bCs/>
        </w:rPr>
        <w:t>La responsabilité des administrateurs systèmes et réseaux est engagée s’ils ne respectent pas le cadre légal de leur activité. L’administrateur système et réseau dispose de prérogatives étendues au sein de l’organisation. Il peut mettre en œuvre tous les moyens utiles au soutien du système d’information.</w:t>
      </w:r>
    </w:p>
    <w:p w14:paraId="4A968BF3" w14:textId="0B340799" w:rsidR="000F6825" w:rsidRPr="000F39C8" w:rsidRDefault="00FC1692" w:rsidP="000F39C8">
      <w:pPr>
        <w:rPr>
          <w:b/>
          <w:bCs/>
        </w:rPr>
      </w:pPr>
      <w:r>
        <w:rPr>
          <w:b/>
          <w:bCs/>
        </w:rPr>
        <w:t>1.</w:t>
      </w:r>
      <w:r w:rsidR="000F6825">
        <w:rPr>
          <w:b/>
          <w:bCs/>
        </w:rPr>
        <w:t>Les obligations de l’ASR :</w:t>
      </w:r>
    </w:p>
    <w:p w14:paraId="60EF0261" w14:textId="74F102D9" w:rsidR="000F39C8" w:rsidRDefault="000F6825" w:rsidP="000F39C8">
      <w:pPr>
        <w:rPr>
          <w:b/>
          <w:bCs/>
        </w:rPr>
      </w:pPr>
      <w:r>
        <w:rPr>
          <w:noProof/>
        </w:rPr>
        <w:drawing>
          <wp:inline distT="0" distB="0" distL="0" distR="0" wp14:anchorId="10C97191" wp14:editId="6494754C">
            <wp:extent cx="5760720" cy="3200400"/>
            <wp:effectExtent l="38100" t="19050" r="11430" b="38100"/>
            <wp:docPr id="1" name="Diagramme 1">
              <a:extLst xmlns:a="http://schemas.openxmlformats.org/drawingml/2006/main">
                <a:ext uri="{FF2B5EF4-FFF2-40B4-BE49-F238E27FC236}">
                  <a16:creationId xmlns:a16="http://schemas.microsoft.com/office/drawing/2014/main" id="{9C692C37-FD68-43D8-962D-A499FA6296F5}"/>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14DBFC6E" w14:textId="3077BB46" w:rsidR="000F6825" w:rsidRPr="000F6825" w:rsidRDefault="00FC1692" w:rsidP="000F6825">
      <w:pPr>
        <w:rPr>
          <w:b/>
          <w:bCs/>
        </w:rPr>
      </w:pPr>
      <w:r>
        <w:rPr>
          <w:b/>
          <w:bCs/>
        </w:rPr>
        <w:t>2.</w:t>
      </w:r>
      <w:r w:rsidR="000F6825" w:rsidRPr="000F6825">
        <w:rPr>
          <w:b/>
          <w:bCs/>
        </w:rPr>
        <w:t>Les obligations classiques de l’ASR</w:t>
      </w:r>
    </w:p>
    <w:p w14:paraId="566FBDAF" w14:textId="77777777" w:rsidR="000F6825" w:rsidRPr="000F6825" w:rsidRDefault="000F6825" w:rsidP="000F6825">
      <w:r w:rsidRPr="000F6825">
        <w:t>L’ASR dispose certes de moyens d’investigation (contrôle du débit, durée des connexions, sites web, accès en sa qualité d’administrateur aux serveurs de fichiers, aux serveurs web et aux serveurs de messagerie) mais il doit néanmoins agir en respectant des principes </w:t>
      </w:r>
    </w:p>
    <w:p w14:paraId="4F3ED809" w14:textId="77777777" w:rsidR="000F6825" w:rsidRPr="000F6825" w:rsidRDefault="000F6825" w:rsidP="000F6825">
      <w:pPr>
        <w:numPr>
          <w:ilvl w:val="0"/>
          <w:numId w:val="1"/>
        </w:numPr>
      </w:pPr>
      <w:r w:rsidRPr="000F6825">
        <w:t xml:space="preserve">de loyauté : sa démarche doit être impartiale, sincère et être uniquement justifiée par un impératif de sécurité. Elle doit être conforme à la finalité pour laquelle le contrôle a été décidé. </w:t>
      </w:r>
    </w:p>
    <w:p w14:paraId="5D07360B" w14:textId="0C6EB7E6" w:rsidR="000F6825" w:rsidRPr="00FC1692" w:rsidRDefault="000F6825" w:rsidP="000F6825">
      <w:r w:rsidRPr="00FC1692">
        <w:tab/>
        <w:t>Son action ne doit pas découler d’une initiative personnelle. Il ne doit pas porter atteinte à la vie privée</w:t>
      </w:r>
    </w:p>
    <w:p w14:paraId="7C0BE8C7" w14:textId="77777777" w:rsidR="000F6825" w:rsidRPr="000F6825" w:rsidRDefault="000F6825" w:rsidP="000F6825">
      <w:pPr>
        <w:numPr>
          <w:ilvl w:val="0"/>
          <w:numId w:val="2"/>
        </w:numPr>
      </w:pPr>
      <w:r w:rsidRPr="000F6825">
        <w:t>de transparence : les acteurs internes à l’organisation ainsi que les tiers doivent être informés de l’éventualité d’un contrôle. Le règlement intérieur et la charte informatique informent les acteurs de l’entreprise des dispositifs de contrôle mis en œuvre. Les conditions d’intervention, de contrôle et les moyens utilisés par l’ASR pour investiguer doivent également et spécifiquement être portés à la connaissance des institutions représentatives du personnel (IRP : CE, délégué du personnel…)</w:t>
      </w:r>
    </w:p>
    <w:p w14:paraId="422FE54E" w14:textId="77777777" w:rsidR="000F6825" w:rsidRPr="000F6825" w:rsidRDefault="000F6825" w:rsidP="000F6825">
      <w:pPr>
        <w:numPr>
          <w:ilvl w:val="0"/>
          <w:numId w:val="2"/>
        </w:numPr>
      </w:pPr>
      <w:r w:rsidRPr="000F6825">
        <w:t>de confidentialité : l’ASR est tenu au secret professionnel : il a l’interdiction de divulguer à quiconque les informations qu’il aurait eu à connaitre dans le cadre de ses fonctions. L’article 432-9 aliéna 2 du Code pénal prévoit en effet que, si l’ASR peut accéder aux données à caractère personnel des salariés, il n’est cependant pas autorisé à les divulguer.</w:t>
      </w:r>
      <w:r w:rsidRPr="000F6825">
        <w:rPr>
          <w:b/>
          <w:bCs/>
        </w:rPr>
        <w:t xml:space="preserve"> A défaut, il </w:t>
      </w:r>
      <w:r w:rsidRPr="000F6825">
        <w:lastRenderedPageBreak/>
        <w:t>mettrait  en œuvre sa responsabilité pénale en vertu de l’article 226-15 du Code pénal. Cette obligation de confidentialité de l’ASR fait également l’objet d’une clause dans son contrat de travail.</w:t>
      </w:r>
    </w:p>
    <w:p w14:paraId="427CAF69" w14:textId="77777777" w:rsidR="000F6825" w:rsidRPr="000F6825" w:rsidRDefault="000F6825" w:rsidP="000F6825">
      <w:r w:rsidRPr="000F6825">
        <w:tab/>
        <w:t>Cour d’appel de Paris 17/12/2001 l’administrateur a la possibilité de lire les messages , il n’est en revanche pas autorisé à les divulguer  même à ses supérieurs hiérarchiques</w:t>
      </w:r>
    </w:p>
    <w:p w14:paraId="7B8E3E07" w14:textId="77777777" w:rsidR="000F6825" w:rsidRPr="000F6825" w:rsidRDefault="000F6825" w:rsidP="000F6825">
      <w:r w:rsidRPr="000F6825">
        <w:t>L’ASR doit à la fois concilier les impératifs de l’organisation (impératifs de sécurité notamment) et les droits des collaborateurs et des tiers (respect de la vie privée, protection des données à caractère personnel…). Son rôle est complexe.</w:t>
      </w:r>
    </w:p>
    <w:p w14:paraId="296C5DEC" w14:textId="77C3490B" w:rsidR="000F6825" w:rsidRPr="000F6825" w:rsidRDefault="00FC1692" w:rsidP="000F6825">
      <w:pPr>
        <w:rPr>
          <w:b/>
          <w:bCs/>
        </w:rPr>
      </w:pPr>
      <w:r>
        <w:rPr>
          <w:b/>
          <w:bCs/>
        </w:rPr>
        <w:t xml:space="preserve">3. </w:t>
      </w:r>
      <w:r w:rsidR="000F6825" w:rsidRPr="000F6825">
        <w:rPr>
          <w:b/>
          <w:bCs/>
        </w:rPr>
        <w:t>Les obligations spécifiques de l’ASR </w:t>
      </w:r>
    </w:p>
    <w:p w14:paraId="3D5BFC87" w14:textId="77777777" w:rsidR="000F6825" w:rsidRPr="000F6825" w:rsidRDefault="000F6825" w:rsidP="000F6825">
      <w:r w:rsidRPr="000F6825">
        <w:t>Des circonstances particulières ou certains événements peuvent contraindre l’ASR à agir :</w:t>
      </w:r>
    </w:p>
    <w:p w14:paraId="0CF3A010" w14:textId="054468A6" w:rsidR="000F6825" w:rsidRDefault="000F6825" w:rsidP="000F6825">
      <w:pPr>
        <w:numPr>
          <w:ilvl w:val="0"/>
          <w:numId w:val="4"/>
        </w:numPr>
      </w:pPr>
      <w:r w:rsidRPr="000F6825">
        <w:t>En cas d’atteinte à la sécurité du réseau et aux intérêts de l’organisation : l’ASR a l’obligation d’avertir le salarié à l’origine de l’atteinte afin de lui proposer des solutions. Il a également le droit de supprimer des fichiers, même personnels, illicites. Dans le second temps, l’employeur sera informé et pourra prendre des sanctions à l’encontre du salarié négligent.</w:t>
      </w:r>
    </w:p>
    <w:p w14:paraId="76B1B7CA" w14:textId="77777777" w:rsidR="000F6825" w:rsidRPr="000F6825" w:rsidRDefault="000F6825" w:rsidP="000F6825">
      <w:pPr>
        <w:numPr>
          <w:ilvl w:val="0"/>
          <w:numId w:val="4"/>
        </w:numPr>
      </w:pPr>
      <w:r w:rsidRPr="000F6825">
        <w:t>En cas de contenus illicites (atteinte à l’ordre public, à la sécurité intérieure du pays, menace d’actes terroristes, contenus à caractère pédophile, incitation à la haine raciale…) : l’ASR a une obligation de dénonciation :</w:t>
      </w:r>
    </w:p>
    <w:p w14:paraId="1AE4C5AF" w14:textId="77777777" w:rsidR="000F6825" w:rsidRPr="000F6825" w:rsidRDefault="000F6825" w:rsidP="00FC1692">
      <w:pPr>
        <w:ind w:left="720"/>
      </w:pPr>
      <w:r w:rsidRPr="000F6825">
        <w:t>-auprès de son employeur</w:t>
      </w:r>
    </w:p>
    <w:p w14:paraId="55808372" w14:textId="16EB6983" w:rsidR="000F6825" w:rsidRPr="000F6825" w:rsidRDefault="000F6825" w:rsidP="00FC1692">
      <w:pPr>
        <w:ind w:left="720"/>
      </w:pPr>
      <w:r w:rsidRPr="000F6825">
        <w:t>- auprès des autorités : services de police, de justice, CNIL</w:t>
      </w:r>
    </w:p>
    <w:p w14:paraId="0EE22643" w14:textId="77777777" w:rsidR="00FC1692" w:rsidRPr="00FC1692" w:rsidRDefault="00FC1692" w:rsidP="00FC1692">
      <w:pPr>
        <w:ind w:left="720"/>
      </w:pPr>
      <w:r w:rsidRPr="00FC1692">
        <w:t>Un arrêt de la Cour d’appel d’Aix en Provence du 17 décembre 2002 renforce le rôle des administrateurs systèmes quant  à la nécessité de surveiller le trafic sur les réseaux de leurs entreprises. La découverte de la consultation par un salarié de sites pédophiles s’est faite à l’occasion d’une opération ordinaire de maintenance par l’administrateur système. Celui-ci a immédiatement informé son supérieur hiérarchique ce qui a permis de mettre en œuvre une procédure disciplinaire de licenciement à l’encontre du salarié fautif lequel encourt également des poursuites pénales.</w:t>
      </w:r>
    </w:p>
    <w:p w14:paraId="2C6F629A" w14:textId="1F7204CD" w:rsidR="000F6825" w:rsidRDefault="00FC1692" w:rsidP="00FC1692">
      <w:pPr>
        <w:ind w:left="720"/>
      </w:pPr>
      <w:r>
        <w:rPr>
          <w:noProof/>
        </w:rPr>
        <w:drawing>
          <wp:inline distT="0" distB="0" distL="0" distR="0" wp14:anchorId="37BD8DA9" wp14:editId="011BB817">
            <wp:extent cx="5365750" cy="3036342"/>
            <wp:effectExtent l="0" t="0" r="6350" b="0"/>
            <wp:docPr id="2" name="Image 2"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able&#10;&#10;Description générée automatiquement"/>
                    <pic:cNvPicPr/>
                  </pic:nvPicPr>
                  <pic:blipFill rotWithShape="1">
                    <a:blip r:embed="rId12"/>
                    <a:srcRect l="27447" t="38801" r="21517" b="9856"/>
                    <a:stretch/>
                  </pic:blipFill>
                  <pic:spPr bwMode="auto">
                    <a:xfrm>
                      <a:off x="0" y="0"/>
                      <a:ext cx="5386485" cy="3048076"/>
                    </a:xfrm>
                    <a:prstGeom prst="rect">
                      <a:avLst/>
                    </a:prstGeom>
                    <a:ln>
                      <a:noFill/>
                    </a:ln>
                    <a:extLst>
                      <a:ext uri="{53640926-AAD7-44D8-BBD7-CCE9431645EC}">
                        <a14:shadowObscured xmlns:a14="http://schemas.microsoft.com/office/drawing/2010/main"/>
                      </a:ext>
                    </a:extLst>
                  </pic:spPr>
                </pic:pic>
              </a:graphicData>
            </a:graphic>
          </wp:inline>
        </w:drawing>
      </w:r>
    </w:p>
    <w:p w14:paraId="2EB08C33" w14:textId="13B05DD9" w:rsidR="00FC1692" w:rsidRPr="00FC1692" w:rsidRDefault="00FC1692" w:rsidP="00FC1692">
      <w:pPr>
        <w:ind w:left="720"/>
      </w:pPr>
      <w:r>
        <w:rPr>
          <w:b/>
          <w:bCs/>
        </w:rPr>
        <w:lastRenderedPageBreak/>
        <w:t>4</w:t>
      </w:r>
      <w:r w:rsidRPr="00FC1692">
        <w:rPr>
          <w:b/>
          <w:bCs/>
        </w:rPr>
        <w:t xml:space="preserve">. </w:t>
      </w:r>
      <w:r>
        <w:rPr>
          <w:b/>
          <w:bCs/>
        </w:rPr>
        <w:t>La r</w:t>
      </w:r>
      <w:r w:rsidRPr="00FC1692">
        <w:rPr>
          <w:b/>
          <w:bCs/>
        </w:rPr>
        <w:t>esponsabilité de l’ASR</w:t>
      </w:r>
    </w:p>
    <w:p w14:paraId="45FF5AAB" w14:textId="77777777" w:rsidR="00FC1692" w:rsidRPr="00FC1692" w:rsidRDefault="00FC1692" w:rsidP="00FC1692">
      <w:pPr>
        <w:ind w:left="720"/>
      </w:pPr>
      <w:r w:rsidRPr="00FC1692">
        <w:rPr>
          <w:b/>
          <w:bCs/>
        </w:rPr>
        <w:t>A)Responsabilité civile</w:t>
      </w:r>
    </w:p>
    <w:p w14:paraId="7046194D" w14:textId="77777777" w:rsidR="00FC1692" w:rsidRPr="00FC1692" w:rsidRDefault="00FC1692" w:rsidP="00FC1692">
      <w:pPr>
        <w:ind w:left="720"/>
      </w:pPr>
      <w:r w:rsidRPr="00FC1692">
        <w:t>Article 1240 du code civil : tout fait quelconque de l’homme , qui cause un dommage à autrui , oblige celui par la faute duquel il est arrivé à le réparer.</w:t>
      </w:r>
    </w:p>
    <w:p w14:paraId="71888461" w14:textId="77777777" w:rsidR="00FC1692" w:rsidRPr="00FC1692" w:rsidRDefault="00FC1692" w:rsidP="00FC1692">
      <w:pPr>
        <w:ind w:left="720"/>
      </w:pPr>
      <w:r w:rsidRPr="00FC1692">
        <w:t>Art 1241 Code Civil</w:t>
      </w:r>
    </w:p>
    <w:p w14:paraId="1D4B6B29" w14:textId="77777777" w:rsidR="00FC1692" w:rsidRPr="00FC1692" w:rsidRDefault="00FC1692" w:rsidP="00FC1692">
      <w:pPr>
        <w:ind w:left="720"/>
      </w:pPr>
      <w:r w:rsidRPr="00FC1692">
        <w:t>« Chacun est responsable du dommage qu’il a causé non seulement par son fait, mais encore par sa négligence ou par son imprudence ».</w:t>
      </w:r>
    </w:p>
    <w:p w14:paraId="715AC95A" w14:textId="77777777" w:rsidR="00FC1692" w:rsidRPr="00FC1692" w:rsidRDefault="00FC1692" w:rsidP="00FC1692">
      <w:pPr>
        <w:ind w:left="720"/>
      </w:pPr>
      <w:r w:rsidRPr="00FC1692">
        <w:t>Article 1231-1du code civil « le débiteur est condamné , s’il y a lieu au paiement des dommages et intérêts , soit à raison de l’inexécution de l’obligation, soit à raison du retard dans l’exécution, toutes les fois qu’il ne justifie pas que l’exécution provient d’une cause étrangère qui ne peut lui être imputée, encore qu’il n’y ait aucune mauvaise foi de sa part. »</w:t>
      </w:r>
    </w:p>
    <w:p w14:paraId="1181B012" w14:textId="77777777" w:rsidR="00FC1692" w:rsidRPr="00FC1692" w:rsidRDefault="00FC1692" w:rsidP="00FC1692">
      <w:pPr>
        <w:ind w:left="720"/>
        <w:rPr>
          <w:b/>
          <w:bCs/>
        </w:rPr>
      </w:pPr>
      <w:r w:rsidRPr="00FC1692">
        <w:rPr>
          <w:b/>
          <w:bCs/>
        </w:rPr>
        <w:t>b)Responsabilité pénale :</w:t>
      </w:r>
    </w:p>
    <w:p w14:paraId="374C5C3C" w14:textId="77777777" w:rsidR="00FC1692" w:rsidRPr="00FC1692" w:rsidRDefault="00FC1692" w:rsidP="00FC1692">
      <w:pPr>
        <w:ind w:left="720"/>
      </w:pPr>
      <w:r w:rsidRPr="00FC1692">
        <w:t>Si l’administrateur réseau divulgue des informations et ne respecte pas son obligation de confidentialité, il risque de voir sa responsabilité pénale engagée au titre de l’article 216-15 du code pénal qui condamne le fait d’ouvrir ou de prendre connaissance de mauvaise foi des correspondances destinées à autrui.</w:t>
      </w:r>
    </w:p>
    <w:p w14:paraId="077B3E65" w14:textId="121237F2" w:rsidR="00FC1692" w:rsidRDefault="00FC1692" w:rsidP="00FC1692">
      <w:pPr>
        <w:ind w:left="720"/>
      </w:pPr>
      <w:r w:rsidRPr="00FC1692">
        <w:t>Punition un an d’emprisonnement et 45000€ d’amende</w:t>
      </w:r>
    </w:p>
    <w:p w14:paraId="216F671C" w14:textId="77777777" w:rsidR="00FC1692" w:rsidRPr="00FC1692" w:rsidRDefault="00FC1692" w:rsidP="00FC1692">
      <w:pPr>
        <w:ind w:left="720"/>
      </w:pPr>
      <w:r w:rsidRPr="00FC1692">
        <w:t>Article 323-3-1 du code pénal : « le fait sans motif légitime notamment de recherche ou de sécurité informatique, d’importer , de détenir , d’offrir ,de céder ou de mettre à disposition un équipement, un instrument, un programme informatique est puni de peines prévues respectivement pour l’infraction elle-même ou pour l’infraction la plus sévèrement réprimée » cas de l’ASR qui a maintenu une faille de sécurité au niveau du réseau de nature à rendre possible les accès frauduleux.</w:t>
      </w:r>
    </w:p>
    <w:p w14:paraId="0289E11C" w14:textId="77777777" w:rsidR="00FC1692" w:rsidRPr="00FC1692" w:rsidRDefault="00FC1692" w:rsidP="00FC1692">
      <w:pPr>
        <w:ind w:left="720"/>
      </w:pPr>
      <w:r w:rsidRPr="00FC1692">
        <w:rPr>
          <w:b/>
          <w:bCs/>
        </w:rPr>
        <w:t>Article 323-1</w:t>
      </w:r>
    </w:p>
    <w:p w14:paraId="1CDEB260" w14:textId="20A22F2E" w:rsidR="00FC1692" w:rsidRPr="00FC1692" w:rsidRDefault="00FC1692" w:rsidP="00FC1692">
      <w:pPr>
        <w:ind w:left="720"/>
      </w:pPr>
      <w:r w:rsidRPr="00FC1692">
        <w:t>Le fait d'accéder ou de se maintenir,</w:t>
      </w:r>
      <w:r>
        <w:t xml:space="preserve"> </w:t>
      </w:r>
      <w:r w:rsidRPr="00FC1692">
        <w:t>frauduleusement, dans tout ou partie d'un système</w:t>
      </w:r>
    </w:p>
    <w:p w14:paraId="5D507928" w14:textId="4B1070F7" w:rsidR="00FC1692" w:rsidRPr="00FC1692" w:rsidRDefault="00FC1692" w:rsidP="00FC1692">
      <w:pPr>
        <w:ind w:left="720"/>
      </w:pPr>
      <w:r w:rsidRPr="00FC1692">
        <w:t>de traitement automatisé de données est puni de</w:t>
      </w:r>
      <w:r>
        <w:t xml:space="preserve"> </w:t>
      </w:r>
      <w:r w:rsidRPr="00FC1692">
        <w:t>deux ans d'emprisonnement et de 60 000 d'amende.</w:t>
      </w:r>
    </w:p>
    <w:p w14:paraId="18E10A5E" w14:textId="5E81EFC5" w:rsidR="00FC1692" w:rsidRPr="00FC1692" w:rsidRDefault="00FC1692" w:rsidP="00FC1692">
      <w:pPr>
        <w:ind w:left="720"/>
      </w:pPr>
      <w:r w:rsidRPr="00FC1692">
        <w:t>Lorsqu'il en est résulté soit la suppression ou la</w:t>
      </w:r>
      <w:r>
        <w:t xml:space="preserve"> </w:t>
      </w:r>
      <w:r w:rsidRPr="00FC1692">
        <w:t>modification de données contenues dans le système,</w:t>
      </w:r>
      <w:r>
        <w:t xml:space="preserve"> </w:t>
      </w:r>
      <w:r w:rsidRPr="00FC1692">
        <w:t>soit une altération du fonctionnement de ce système,</w:t>
      </w:r>
      <w:r>
        <w:t xml:space="preserve"> </w:t>
      </w:r>
      <w:r w:rsidRPr="00FC1692">
        <w:t>la peine est de trois ans d'emprisonnement et de 100</w:t>
      </w:r>
      <w:r>
        <w:t xml:space="preserve"> </w:t>
      </w:r>
      <w:r w:rsidRPr="00FC1692">
        <w:t>000 € d'amende.</w:t>
      </w:r>
    </w:p>
    <w:p w14:paraId="57330940" w14:textId="27E3894B" w:rsidR="00FC1692" w:rsidRPr="00FC1692" w:rsidRDefault="00FC1692" w:rsidP="00FC1692">
      <w:pPr>
        <w:ind w:left="720"/>
      </w:pPr>
      <w:r w:rsidRPr="00FC1692">
        <w:t>Lorsque les infractions prévues aux deux premiers</w:t>
      </w:r>
      <w:r>
        <w:t xml:space="preserve"> </w:t>
      </w:r>
      <w:r w:rsidRPr="00FC1692">
        <w:t>alinéas ont été commises à l'encontre d'un système</w:t>
      </w:r>
      <w:r>
        <w:t xml:space="preserve"> </w:t>
      </w:r>
      <w:r w:rsidRPr="00FC1692">
        <w:t>de traitement automatisé de données à caractère</w:t>
      </w:r>
      <w:r>
        <w:t xml:space="preserve"> </w:t>
      </w:r>
      <w:r w:rsidRPr="00FC1692">
        <w:t>personnel mis en œuvre par l'Etat, la peine est portée</w:t>
      </w:r>
      <w:r>
        <w:t xml:space="preserve"> </w:t>
      </w:r>
      <w:r w:rsidRPr="00FC1692">
        <w:t>à cinq ans d'emprisonnement et à 150 000 €</w:t>
      </w:r>
      <w:r>
        <w:t xml:space="preserve"> </w:t>
      </w:r>
      <w:r w:rsidRPr="00FC1692">
        <w:t>d'amende.</w:t>
      </w:r>
    </w:p>
    <w:p w14:paraId="5FF8FB74" w14:textId="77777777" w:rsidR="00FC1692" w:rsidRPr="00FC1692" w:rsidRDefault="00FC1692" w:rsidP="00FC1692">
      <w:pPr>
        <w:ind w:left="720"/>
      </w:pPr>
    </w:p>
    <w:p w14:paraId="742EFA06" w14:textId="77777777" w:rsidR="000F6825" w:rsidRPr="000F6825" w:rsidRDefault="000F6825" w:rsidP="00FC1692">
      <w:pPr>
        <w:ind w:left="720"/>
      </w:pPr>
    </w:p>
    <w:p w14:paraId="0E91A0CA" w14:textId="77777777" w:rsidR="000F6825" w:rsidRPr="000F39C8" w:rsidRDefault="000F6825" w:rsidP="000F6825">
      <w:pPr>
        <w:rPr>
          <w:b/>
          <w:bCs/>
        </w:rPr>
      </w:pPr>
    </w:p>
    <w:sectPr w:rsidR="000F6825" w:rsidRPr="000F39C8">
      <w:headerReference w:type="even" r:id="rId13"/>
      <w:headerReference w:type="default" r:id="rId14"/>
      <w:footerReference w:type="even" r:id="rId15"/>
      <w:footerReference w:type="default" r:id="rId16"/>
      <w:headerReference w:type="first" r:id="rId17"/>
      <w:footerReference w:type="firs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2F6D1E" w14:textId="77777777" w:rsidR="00FC1692" w:rsidRDefault="00FC1692" w:rsidP="00FC1692">
      <w:pPr>
        <w:spacing w:after="0" w:line="240" w:lineRule="auto"/>
      </w:pPr>
      <w:r>
        <w:separator/>
      </w:r>
    </w:p>
  </w:endnote>
  <w:endnote w:type="continuationSeparator" w:id="0">
    <w:p w14:paraId="594B6902" w14:textId="77777777" w:rsidR="00FC1692" w:rsidRDefault="00FC1692" w:rsidP="00FC16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3C5B1" w14:textId="77777777" w:rsidR="00FC1692" w:rsidRDefault="00FC169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8778688"/>
      <w:docPartObj>
        <w:docPartGallery w:val="Page Numbers (Bottom of Page)"/>
        <w:docPartUnique/>
      </w:docPartObj>
    </w:sdtPr>
    <w:sdtContent>
      <w:p w14:paraId="11487DDA" w14:textId="11E82AB7" w:rsidR="00FC1692" w:rsidRDefault="00FC1692">
        <w:pPr>
          <w:pStyle w:val="Pieddepage"/>
          <w:jc w:val="right"/>
        </w:pPr>
        <w:r>
          <w:fldChar w:fldCharType="begin"/>
        </w:r>
        <w:r>
          <w:instrText>PAGE   \* MERGEFORMAT</w:instrText>
        </w:r>
        <w:r>
          <w:fldChar w:fldCharType="separate"/>
        </w:r>
        <w:r>
          <w:t>2</w:t>
        </w:r>
        <w:r>
          <w:fldChar w:fldCharType="end"/>
        </w:r>
      </w:p>
    </w:sdtContent>
  </w:sdt>
  <w:p w14:paraId="7EDCBF8D" w14:textId="77777777" w:rsidR="00FC1692" w:rsidRDefault="00FC1692">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3E2619" w14:textId="77777777" w:rsidR="00FC1692" w:rsidRDefault="00FC169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6257D8" w14:textId="77777777" w:rsidR="00FC1692" w:rsidRDefault="00FC1692" w:rsidP="00FC1692">
      <w:pPr>
        <w:spacing w:after="0" w:line="240" w:lineRule="auto"/>
      </w:pPr>
      <w:r>
        <w:separator/>
      </w:r>
    </w:p>
  </w:footnote>
  <w:footnote w:type="continuationSeparator" w:id="0">
    <w:p w14:paraId="504F48CE" w14:textId="77777777" w:rsidR="00FC1692" w:rsidRDefault="00FC1692" w:rsidP="00FC16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6F2DD" w14:textId="77777777" w:rsidR="00FC1692" w:rsidRDefault="00FC169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75F13" w14:textId="77777777" w:rsidR="00FC1692" w:rsidRDefault="00FC1692">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9B5DC" w14:textId="77777777" w:rsidR="00FC1692" w:rsidRDefault="00FC169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63074"/>
    <w:multiLevelType w:val="hybridMultilevel"/>
    <w:tmpl w:val="340AE020"/>
    <w:lvl w:ilvl="0" w:tplc="E884A504">
      <w:start w:val="1"/>
      <w:numFmt w:val="bullet"/>
      <w:lvlText w:val=""/>
      <w:lvlJc w:val="left"/>
      <w:pPr>
        <w:tabs>
          <w:tab w:val="num" w:pos="720"/>
        </w:tabs>
        <w:ind w:left="720" w:hanging="360"/>
      </w:pPr>
      <w:rPr>
        <w:rFonts w:ascii="Wingdings" w:hAnsi="Wingdings" w:hint="default"/>
      </w:rPr>
    </w:lvl>
    <w:lvl w:ilvl="1" w:tplc="040C7FCE" w:tentative="1">
      <w:start w:val="1"/>
      <w:numFmt w:val="bullet"/>
      <w:lvlText w:val=""/>
      <w:lvlJc w:val="left"/>
      <w:pPr>
        <w:tabs>
          <w:tab w:val="num" w:pos="1440"/>
        </w:tabs>
        <w:ind w:left="1440" w:hanging="360"/>
      </w:pPr>
      <w:rPr>
        <w:rFonts w:ascii="Wingdings" w:hAnsi="Wingdings" w:hint="default"/>
      </w:rPr>
    </w:lvl>
    <w:lvl w:ilvl="2" w:tplc="60867A22" w:tentative="1">
      <w:start w:val="1"/>
      <w:numFmt w:val="bullet"/>
      <w:lvlText w:val=""/>
      <w:lvlJc w:val="left"/>
      <w:pPr>
        <w:tabs>
          <w:tab w:val="num" w:pos="2160"/>
        </w:tabs>
        <w:ind w:left="2160" w:hanging="360"/>
      </w:pPr>
      <w:rPr>
        <w:rFonts w:ascii="Wingdings" w:hAnsi="Wingdings" w:hint="default"/>
      </w:rPr>
    </w:lvl>
    <w:lvl w:ilvl="3" w:tplc="F684E1B6" w:tentative="1">
      <w:start w:val="1"/>
      <w:numFmt w:val="bullet"/>
      <w:lvlText w:val=""/>
      <w:lvlJc w:val="left"/>
      <w:pPr>
        <w:tabs>
          <w:tab w:val="num" w:pos="2880"/>
        </w:tabs>
        <w:ind w:left="2880" w:hanging="360"/>
      </w:pPr>
      <w:rPr>
        <w:rFonts w:ascii="Wingdings" w:hAnsi="Wingdings" w:hint="default"/>
      </w:rPr>
    </w:lvl>
    <w:lvl w:ilvl="4" w:tplc="B914C346" w:tentative="1">
      <w:start w:val="1"/>
      <w:numFmt w:val="bullet"/>
      <w:lvlText w:val=""/>
      <w:lvlJc w:val="left"/>
      <w:pPr>
        <w:tabs>
          <w:tab w:val="num" w:pos="3600"/>
        </w:tabs>
        <w:ind w:left="3600" w:hanging="360"/>
      </w:pPr>
      <w:rPr>
        <w:rFonts w:ascii="Wingdings" w:hAnsi="Wingdings" w:hint="default"/>
      </w:rPr>
    </w:lvl>
    <w:lvl w:ilvl="5" w:tplc="E8688126" w:tentative="1">
      <w:start w:val="1"/>
      <w:numFmt w:val="bullet"/>
      <w:lvlText w:val=""/>
      <w:lvlJc w:val="left"/>
      <w:pPr>
        <w:tabs>
          <w:tab w:val="num" w:pos="4320"/>
        </w:tabs>
        <w:ind w:left="4320" w:hanging="360"/>
      </w:pPr>
      <w:rPr>
        <w:rFonts w:ascii="Wingdings" w:hAnsi="Wingdings" w:hint="default"/>
      </w:rPr>
    </w:lvl>
    <w:lvl w:ilvl="6" w:tplc="0F5472E6" w:tentative="1">
      <w:start w:val="1"/>
      <w:numFmt w:val="bullet"/>
      <w:lvlText w:val=""/>
      <w:lvlJc w:val="left"/>
      <w:pPr>
        <w:tabs>
          <w:tab w:val="num" w:pos="5040"/>
        </w:tabs>
        <w:ind w:left="5040" w:hanging="360"/>
      </w:pPr>
      <w:rPr>
        <w:rFonts w:ascii="Wingdings" w:hAnsi="Wingdings" w:hint="default"/>
      </w:rPr>
    </w:lvl>
    <w:lvl w:ilvl="7" w:tplc="47D2B0B4" w:tentative="1">
      <w:start w:val="1"/>
      <w:numFmt w:val="bullet"/>
      <w:lvlText w:val=""/>
      <w:lvlJc w:val="left"/>
      <w:pPr>
        <w:tabs>
          <w:tab w:val="num" w:pos="5760"/>
        </w:tabs>
        <w:ind w:left="5760" w:hanging="360"/>
      </w:pPr>
      <w:rPr>
        <w:rFonts w:ascii="Wingdings" w:hAnsi="Wingdings" w:hint="default"/>
      </w:rPr>
    </w:lvl>
    <w:lvl w:ilvl="8" w:tplc="87A06922"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26D0CBA"/>
    <w:multiLevelType w:val="hybridMultilevel"/>
    <w:tmpl w:val="D828EF12"/>
    <w:lvl w:ilvl="0" w:tplc="2CDEC956">
      <w:start w:val="1"/>
      <w:numFmt w:val="bullet"/>
      <w:lvlText w:val=""/>
      <w:lvlJc w:val="left"/>
      <w:pPr>
        <w:tabs>
          <w:tab w:val="num" w:pos="720"/>
        </w:tabs>
        <w:ind w:left="720" w:hanging="360"/>
      </w:pPr>
      <w:rPr>
        <w:rFonts w:ascii="Wingdings" w:hAnsi="Wingdings" w:hint="default"/>
      </w:rPr>
    </w:lvl>
    <w:lvl w:ilvl="1" w:tplc="63C876A2" w:tentative="1">
      <w:start w:val="1"/>
      <w:numFmt w:val="bullet"/>
      <w:lvlText w:val=""/>
      <w:lvlJc w:val="left"/>
      <w:pPr>
        <w:tabs>
          <w:tab w:val="num" w:pos="1440"/>
        </w:tabs>
        <w:ind w:left="1440" w:hanging="360"/>
      </w:pPr>
      <w:rPr>
        <w:rFonts w:ascii="Wingdings" w:hAnsi="Wingdings" w:hint="default"/>
      </w:rPr>
    </w:lvl>
    <w:lvl w:ilvl="2" w:tplc="BC8A8988" w:tentative="1">
      <w:start w:val="1"/>
      <w:numFmt w:val="bullet"/>
      <w:lvlText w:val=""/>
      <w:lvlJc w:val="left"/>
      <w:pPr>
        <w:tabs>
          <w:tab w:val="num" w:pos="2160"/>
        </w:tabs>
        <w:ind w:left="2160" w:hanging="360"/>
      </w:pPr>
      <w:rPr>
        <w:rFonts w:ascii="Wingdings" w:hAnsi="Wingdings" w:hint="default"/>
      </w:rPr>
    </w:lvl>
    <w:lvl w:ilvl="3" w:tplc="AEB4E318" w:tentative="1">
      <w:start w:val="1"/>
      <w:numFmt w:val="bullet"/>
      <w:lvlText w:val=""/>
      <w:lvlJc w:val="left"/>
      <w:pPr>
        <w:tabs>
          <w:tab w:val="num" w:pos="2880"/>
        </w:tabs>
        <w:ind w:left="2880" w:hanging="360"/>
      </w:pPr>
      <w:rPr>
        <w:rFonts w:ascii="Wingdings" w:hAnsi="Wingdings" w:hint="default"/>
      </w:rPr>
    </w:lvl>
    <w:lvl w:ilvl="4" w:tplc="A3128DFC" w:tentative="1">
      <w:start w:val="1"/>
      <w:numFmt w:val="bullet"/>
      <w:lvlText w:val=""/>
      <w:lvlJc w:val="left"/>
      <w:pPr>
        <w:tabs>
          <w:tab w:val="num" w:pos="3600"/>
        </w:tabs>
        <w:ind w:left="3600" w:hanging="360"/>
      </w:pPr>
      <w:rPr>
        <w:rFonts w:ascii="Wingdings" w:hAnsi="Wingdings" w:hint="default"/>
      </w:rPr>
    </w:lvl>
    <w:lvl w:ilvl="5" w:tplc="81507A70" w:tentative="1">
      <w:start w:val="1"/>
      <w:numFmt w:val="bullet"/>
      <w:lvlText w:val=""/>
      <w:lvlJc w:val="left"/>
      <w:pPr>
        <w:tabs>
          <w:tab w:val="num" w:pos="4320"/>
        </w:tabs>
        <w:ind w:left="4320" w:hanging="360"/>
      </w:pPr>
      <w:rPr>
        <w:rFonts w:ascii="Wingdings" w:hAnsi="Wingdings" w:hint="default"/>
      </w:rPr>
    </w:lvl>
    <w:lvl w:ilvl="6" w:tplc="B48A8DA0" w:tentative="1">
      <w:start w:val="1"/>
      <w:numFmt w:val="bullet"/>
      <w:lvlText w:val=""/>
      <w:lvlJc w:val="left"/>
      <w:pPr>
        <w:tabs>
          <w:tab w:val="num" w:pos="5040"/>
        </w:tabs>
        <w:ind w:left="5040" w:hanging="360"/>
      </w:pPr>
      <w:rPr>
        <w:rFonts w:ascii="Wingdings" w:hAnsi="Wingdings" w:hint="default"/>
      </w:rPr>
    </w:lvl>
    <w:lvl w:ilvl="7" w:tplc="D60E5042" w:tentative="1">
      <w:start w:val="1"/>
      <w:numFmt w:val="bullet"/>
      <w:lvlText w:val=""/>
      <w:lvlJc w:val="left"/>
      <w:pPr>
        <w:tabs>
          <w:tab w:val="num" w:pos="5760"/>
        </w:tabs>
        <w:ind w:left="5760" w:hanging="360"/>
      </w:pPr>
      <w:rPr>
        <w:rFonts w:ascii="Wingdings" w:hAnsi="Wingdings" w:hint="default"/>
      </w:rPr>
    </w:lvl>
    <w:lvl w:ilvl="8" w:tplc="59348692"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A75540E"/>
    <w:multiLevelType w:val="hybridMultilevel"/>
    <w:tmpl w:val="CB32D2DA"/>
    <w:lvl w:ilvl="0" w:tplc="87AA0638">
      <w:start w:val="1"/>
      <w:numFmt w:val="bullet"/>
      <w:lvlText w:val=""/>
      <w:lvlJc w:val="left"/>
      <w:pPr>
        <w:tabs>
          <w:tab w:val="num" w:pos="720"/>
        </w:tabs>
        <w:ind w:left="720" w:hanging="360"/>
      </w:pPr>
      <w:rPr>
        <w:rFonts w:ascii="Wingdings" w:hAnsi="Wingdings" w:hint="default"/>
      </w:rPr>
    </w:lvl>
    <w:lvl w:ilvl="1" w:tplc="D01C575E" w:tentative="1">
      <w:start w:val="1"/>
      <w:numFmt w:val="bullet"/>
      <w:lvlText w:val=""/>
      <w:lvlJc w:val="left"/>
      <w:pPr>
        <w:tabs>
          <w:tab w:val="num" w:pos="1440"/>
        </w:tabs>
        <w:ind w:left="1440" w:hanging="360"/>
      </w:pPr>
      <w:rPr>
        <w:rFonts w:ascii="Wingdings" w:hAnsi="Wingdings" w:hint="default"/>
      </w:rPr>
    </w:lvl>
    <w:lvl w:ilvl="2" w:tplc="18E8C724" w:tentative="1">
      <w:start w:val="1"/>
      <w:numFmt w:val="bullet"/>
      <w:lvlText w:val=""/>
      <w:lvlJc w:val="left"/>
      <w:pPr>
        <w:tabs>
          <w:tab w:val="num" w:pos="2160"/>
        </w:tabs>
        <w:ind w:left="2160" w:hanging="360"/>
      </w:pPr>
      <w:rPr>
        <w:rFonts w:ascii="Wingdings" w:hAnsi="Wingdings" w:hint="default"/>
      </w:rPr>
    </w:lvl>
    <w:lvl w:ilvl="3" w:tplc="56ECF6D0" w:tentative="1">
      <w:start w:val="1"/>
      <w:numFmt w:val="bullet"/>
      <w:lvlText w:val=""/>
      <w:lvlJc w:val="left"/>
      <w:pPr>
        <w:tabs>
          <w:tab w:val="num" w:pos="2880"/>
        </w:tabs>
        <w:ind w:left="2880" w:hanging="360"/>
      </w:pPr>
      <w:rPr>
        <w:rFonts w:ascii="Wingdings" w:hAnsi="Wingdings" w:hint="default"/>
      </w:rPr>
    </w:lvl>
    <w:lvl w:ilvl="4" w:tplc="2E54D7F6" w:tentative="1">
      <w:start w:val="1"/>
      <w:numFmt w:val="bullet"/>
      <w:lvlText w:val=""/>
      <w:lvlJc w:val="left"/>
      <w:pPr>
        <w:tabs>
          <w:tab w:val="num" w:pos="3600"/>
        </w:tabs>
        <w:ind w:left="3600" w:hanging="360"/>
      </w:pPr>
      <w:rPr>
        <w:rFonts w:ascii="Wingdings" w:hAnsi="Wingdings" w:hint="default"/>
      </w:rPr>
    </w:lvl>
    <w:lvl w:ilvl="5" w:tplc="8C066A3C" w:tentative="1">
      <w:start w:val="1"/>
      <w:numFmt w:val="bullet"/>
      <w:lvlText w:val=""/>
      <w:lvlJc w:val="left"/>
      <w:pPr>
        <w:tabs>
          <w:tab w:val="num" w:pos="4320"/>
        </w:tabs>
        <w:ind w:left="4320" w:hanging="360"/>
      </w:pPr>
      <w:rPr>
        <w:rFonts w:ascii="Wingdings" w:hAnsi="Wingdings" w:hint="default"/>
      </w:rPr>
    </w:lvl>
    <w:lvl w:ilvl="6" w:tplc="E6422736" w:tentative="1">
      <w:start w:val="1"/>
      <w:numFmt w:val="bullet"/>
      <w:lvlText w:val=""/>
      <w:lvlJc w:val="left"/>
      <w:pPr>
        <w:tabs>
          <w:tab w:val="num" w:pos="5040"/>
        </w:tabs>
        <w:ind w:left="5040" w:hanging="360"/>
      </w:pPr>
      <w:rPr>
        <w:rFonts w:ascii="Wingdings" w:hAnsi="Wingdings" w:hint="default"/>
      </w:rPr>
    </w:lvl>
    <w:lvl w:ilvl="7" w:tplc="C2E42D3A" w:tentative="1">
      <w:start w:val="1"/>
      <w:numFmt w:val="bullet"/>
      <w:lvlText w:val=""/>
      <w:lvlJc w:val="left"/>
      <w:pPr>
        <w:tabs>
          <w:tab w:val="num" w:pos="5760"/>
        </w:tabs>
        <w:ind w:left="5760" w:hanging="360"/>
      </w:pPr>
      <w:rPr>
        <w:rFonts w:ascii="Wingdings" w:hAnsi="Wingdings" w:hint="default"/>
      </w:rPr>
    </w:lvl>
    <w:lvl w:ilvl="8" w:tplc="8622383E"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28E72A7"/>
    <w:multiLevelType w:val="hybridMultilevel"/>
    <w:tmpl w:val="9C1C512A"/>
    <w:lvl w:ilvl="0" w:tplc="0C581126">
      <w:start w:val="1"/>
      <w:numFmt w:val="bullet"/>
      <w:lvlText w:val=""/>
      <w:lvlJc w:val="left"/>
      <w:pPr>
        <w:tabs>
          <w:tab w:val="num" w:pos="720"/>
        </w:tabs>
        <w:ind w:left="720" w:hanging="360"/>
      </w:pPr>
      <w:rPr>
        <w:rFonts w:ascii="Wingdings" w:hAnsi="Wingdings" w:hint="default"/>
      </w:rPr>
    </w:lvl>
    <w:lvl w:ilvl="1" w:tplc="421694C8" w:tentative="1">
      <w:start w:val="1"/>
      <w:numFmt w:val="bullet"/>
      <w:lvlText w:val=""/>
      <w:lvlJc w:val="left"/>
      <w:pPr>
        <w:tabs>
          <w:tab w:val="num" w:pos="1440"/>
        </w:tabs>
        <w:ind w:left="1440" w:hanging="360"/>
      </w:pPr>
      <w:rPr>
        <w:rFonts w:ascii="Wingdings" w:hAnsi="Wingdings" w:hint="default"/>
      </w:rPr>
    </w:lvl>
    <w:lvl w:ilvl="2" w:tplc="65F26E40" w:tentative="1">
      <w:start w:val="1"/>
      <w:numFmt w:val="bullet"/>
      <w:lvlText w:val=""/>
      <w:lvlJc w:val="left"/>
      <w:pPr>
        <w:tabs>
          <w:tab w:val="num" w:pos="2160"/>
        </w:tabs>
        <w:ind w:left="2160" w:hanging="360"/>
      </w:pPr>
      <w:rPr>
        <w:rFonts w:ascii="Wingdings" w:hAnsi="Wingdings" w:hint="default"/>
      </w:rPr>
    </w:lvl>
    <w:lvl w:ilvl="3" w:tplc="F53EE740" w:tentative="1">
      <w:start w:val="1"/>
      <w:numFmt w:val="bullet"/>
      <w:lvlText w:val=""/>
      <w:lvlJc w:val="left"/>
      <w:pPr>
        <w:tabs>
          <w:tab w:val="num" w:pos="2880"/>
        </w:tabs>
        <w:ind w:left="2880" w:hanging="360"/>
      </w:pPr>
      <w:rPr>
        <w:rFonts w:ascii="Wingdings" w:hAnsi="Wingdings" w:hint="default"/>
      </w:rPr>
    </w:lvl>
    <w:lvl w:ilvl="4" w:tplc="2B165D50" w:tentative="1">
      <w:start w:val="1"/>
      <w:numFmt w:val="bullet"/>
      <w:lvlText w:val=""/>
      <w:lvlJc w:val="left"/>
      <w:pPr>
        <w:tabs>
          <w:tab w:val="num" w:pos="3600"/>
        </w:tabs>
        <w:ind w:left="3600" w:hanging="360"/>
      </w:pPr>
      <w:rPr>
        <w:rFonts w:ascii="Wingdings" w:hAnsi="Wingdings" w:hint="default"/>
      </w:rPr>
    </w:lvl>
    <w:lvl w:ilvl="5" w:tplc="5F386374" w:tentative="1">
      <w:start w:val="1"/>
      <w:numFmt w:val="bullet"/>
      <w:lvlText w:val=""/>
      <w:lvlJc w:val="left"/>
      <w:pPr>
        <w:tabs>
          <w:tab w:val="num" w:pos="4320"/>
        </w:tabs>
        <w:ind w:left="4320" w:hanging="360"/>
      </w:pPr>
      <w:rPr>
        <w:rFonts w:ascii="Wingdings" w:hAnsi="Wingdings" w:hint="default"/>
      </w:rPr>
    </w:lvl>
    <w:lvl w:ilvl="6" w:tplc="F08A6340" w:tentative="1">
      <w:start w:val="1"/>
      <w:numFmt w:val="bullet"/>
      <w:lvlText w:val=""/>
      <w:lvlJc w:val="left"/>
      <w:pPr>
        <w:tabs>
          <w:tab w:val="num" w:pos="5040"/>
        </w:tabs>
        <w:ind w:left="5040" w:hanging="360"/>
      </w:pPr>
      <w:rPr>
        <w:rFonts w:ascii="Wingdings" w:hAnsi="Wingdings" w:hint="default"/>
      </w:rPr>
    </w:lvl>
    <w:lvl w:ilvl="7" w:tplc="1DB2AFC8" w:tentative="1">
      <w:start w:val="1"/>
      <w:numFmt w:val="bullet"/>
      <w:lvlText w:val=""/>
      <w:lvlJc w:val="left"/>
      <w:pPr>
        <w:tabs>
          <w:tab w:val="num" w:pos="5760"/>
        </w:tabs>
        <w:ind w:left="5760" w:hanging="360"/>
      </w:pPr>
      <w:rPr>
        <w:rFonts w:ascii="Wingdings" w:hAnsi="Wingdings" w:hint="default"/>
      </w:rPr>
    </w:lvl>
    <w:lvl w:ilvl="8" w:tplc="162CE4EA"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35A199C"/>
    <w:multiLevelType w:val="hybridMultilevel"/>
    <w:tmpl w:val="7210323C"/>
    <w:lvl w:ilvl="0" w:tplc="7674DEE0">
      <w:start w:val="1"/>
      <w:numFmt w:val="bullet"/>
      <w:lvlText w:val=""/>
      <w:lvlJc w:val="left"/>
      <w:pPr>
        <w:tabs>
          <w:tab w:val="num" w:pos="720"/>
        </w:tabs>
        <w:ind w:left="720" w:hanging="360"/>
      </w:pPr>
      <w:rPr>
        <w:rFonts w:ascii="Wingdings" w:hAnsi="Wingdings" w:hint="default"/>
      </w:rPr>
    </w:lvl>
    <w:lvl w:ilvl="1" w:tplc="DD26A1B4" w:tentative="1">
      <w:start w:val="1"/>
      <w:numFmt w:val="bullet"/>
      <w:lvlText w:val=""/>
      <w:lvlJc w:val="left"/>
      <w:pPr>
        <w:tabs>
          <w:tab w:val="num" w:pos="1440"/>
        </w:tabs>
        <w:ind w:left="1440" w:hanging="360"/>
      </w:pPr>
      <w:rPr>
        <w:rFonts w:ascii="Wingdings" w:hAnsi="Wingdings" w:hint="default"/>
      </w:rPr>
    </w:lvl>
    <w:lvl w:ilvl="2" w:tplc="1BA02132" w:tentative="1">
      <w:start w:val="1"/>
      <w:numFmt w:val="bullet"/>
      <w:lvlText w:val=""/>
      <w:lvlJc w:val="left"/>
      <w:pPr>
        <w:tabs>
          <w:tab w:val="num" w:pos="2160"/>
        </w:tabs>
        <w:ind w:left="2160" w:hanging="360"/>
      </w:pPr>
      <w:rPr>
        <w:rFonts w:ascii="Wingdings" w:hAnsi="Wingdings" w:hint="default"/>
      </w:rPr>
    </w:lvl>
    <w:lvl w:ilvl="3" w:tplc="C974DBD8" w:tentative="1">
      <w:start w:val="1"/>
      <w:numFmt w:val="bullet"/>
      <w:lvlText w:val=""/>
      <w:lvlJc w:val="left"/>
      <w:pPr>
        <w:tabs>
          <w:tab w:val="num" w:pos="2880"/>
        </w:tabs>
        <w:ind w:left="2880" w:hanging="360"/>
      </w:pPr>
      <w:rPr>
        <w:rFonts w:ascii="Wingdings" w:hAnsi="Wingdings" w:hint="default"/>
      </w:rPr>
    </w:lvl>
    <w:lvl w:ilvl="4" w:tplc="720EE50C" w:tentative="1">
      <w:start w:val="1"/>
      <w:numFmt w:val="bullet"/>
      <w:lvlText w:val=""/>
      <w:lvlJc w:val="left"/>
      <w:pPr>
        <w:tabs>
          <w:tab w:val="num" w:pos="3600"/>
        </w:tabs>
        <w:ind w:left="3600" w:hanging="360"/>
      </w:pPr>
      <w:rPr>
        <w:rFonts w:ascii="Wingdings" w:hAnsi="Wingdings" w:hint="default"/>
      </w:rPr>
    </w:lvl>
    <w:lvl w:ilvl="5" w:tplc="A8A41D8E" w:tentative="1">
      <w:start w:val="1"/>
      <w:numFmt w:val="bullet"/>
      <w:lvlText w:val=""/>
      <w:lvlJc w:val="left"/>
      <w:pPr>
        <w:tabs>
          <w:tab w:val="num" w:pos="4320"/>
        </w:tabs>
        <w:ind w:left="4320" w:hanging="360"/>
      </w:pPr>
      <w:rPr>
        <w:rFonts w:ascii="Wingdings" w:hAnsi="Wingdings" w:hint="default"/>
      </w:rPr>
    </w:lvl>
    <w:lvl w:ilvl="6" w:tplc="59543F54" w:tentative="1">
      <w:start w:val="1"/>
      <w:numFmt w:val="bullet"/>
      <w:lvlText w:val=""/>
      <w:lvlJc w:val="left"/>
      <w:pPr>
        <w:tabs>
          <w:tab w:val="num" w:pos="5040"/>
        </w:tabs>
        <w:ind w:left="5040" w:hanging="360"/>
      </w:pPr>
      <w:rPr>
        <w:rFonts w:ascii="Wingdings" w:hAnsi="Wingdings" w:hint="default"/>
      </w:rPr>
    </w:lvl>
    <w:lvl w:ilvl="7" w:tplc="D548B236" w:tentative="1">
      <w:start w:val="1"/>
      <w:numFmt w:val="bullet"/>
      <w:lvlText w:val=""/>
      <w:lvlJc w:val="left"/>
      <w:pPr>
        <w:tabs>
          <w:tab w:val="num" w:pos="5760"/>
        </w:tabs>
        <w:ind w:left="5760" w:hanging="360"/>
      </w:pPr>
      <w:rPr>
        <w:rFonts w:ascii="Wingdings" w:hAnsi="Wingdings" w:hint="default"/>
      </w:rPr>
    </w:lvl>
    <w:lvl w:ilvl="8" w:tplc="75C8FD80"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9C8"/>
    <w:rsid w:val="000F39C8"/>
    <w:rsid w:val="000F6825"/>
    <w:rsid w:val="00A91ADF"/>
    <w:rsid w:val="00FC169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67738"/>
  <w15:chartTrackingRefBased/>
  <w15:docId w15:val="{1660ABAB-D854-41C9-806C-34EA8F396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FC1692"/>
    <w:pPr>
      <w:tabs>
        <w:tab w:val="center" w:pos="4536"/>
        <w:tab w:val="right" w:pos="9072"/>
      </w:tabs>
      <w:spacing w:after="0" w:line="240" w:lineRule="auto"/>
    </w:pPr>
  </w:style>
  <w:style w:type="character" w:customStyle="1" w:styleId="En-tteCar">
    <w:name w:val="En-tête Car"/>
    <w:basedOn w:val="Policepardfaut"/>
    <w:link w:val="En-tte"/>
    <w:uiPriority w:val="99"/>
    <w:rsid w:val="00FC1692"/>
  </w:style>
  <w:style w:type="paragraph" w:styleId="Pieddepage">
    <w:name w:val="footer"/>
    <w:basedOn w:val="Normal"/>
    <w:link w:val="PieddepageCar"/>
    <w:uiPriority w:val="99"/>
    <w:unhideWhenUsed/>
    <w:rsid w:val="00FC169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C16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238985">
      <w:bodyDiv w:val="1"/>
      <w:marLeft w:val="0"/>
      <w:marRight w:val="0"/>
      <w:marTop w:val="0"/>
      <w:marBottom w:val="0"/>
      <w:divBdr>
        <w:top w:val="none" w:sz="0" w:space="0" w:color="auto"/>
        <w:left w:val="none" w:sz="0" w:space="0" w:color="auto"/>
        <w:bottom w:val="none" w:sz="0" w:space="0" w:color="auto"/>
        <w:right w:val="none" w:sz="0" w:space="0" w:color="auto"/>
      </w:divBdr>
    </w:div>
    <w:div w:id="249966198">
      <w:bodyDiv w:val="1"/>
      <w:marLeft w:val="0"/>
      <w:marRight w:val="0"/>
      <w:marTop w:val="0"/>
      <w:marBottom w:val="0"/>
      <w:divBdr>
        <w:top w:val="none" w:sz="0" w:space="0" w:color="auto"/>
        <w:left w:val="none" w:sz="0" w:space="0" w:color="auto"/>
        <w:bottom w:val="none" w:sz="0" w:space="0" w:color="auto"/>
        <w:right w:val="none" w:sz="0" w:space="0" w:color="auto"/>
      </w:divBdr>
      <w:divsChild>
        <w:div w:id="1424910183">
          <w:marLeft w:val="706"/>
          <w:marRight w:val="0"/>
          <w:marTop w:val="125"/>
          <w:marBottom w:val="0"/>
          <w:divBdr>
            <w:top w:val="none" w:sz="0" w:space="0" w:color="auto"/>
            <w:left w:val="none" w:sz="0" w:space="0" w:color="auto"/>
            <w:bottom w:val="none" w:sz="0" w:space="0" w:color="auto"/>
            <w:right w:val="none" w:sz="0" w:space="0" w:color="auto"/>
          </w:divBdr>
        </w:div>
      </w:divsChild>
    </w:div>
    <w:div w:id="860825971">
      <w:bodyDiv w:val="1"/>
      <w:marLeft w:val="0"/>
      <w:marRight w:val="0"/>
      <w:marTop w:val="0"/>
      <w:marBottom w:val="0"/>
      <w:divBdr>
        <w:top w:val="none" w:sz="0" w:space="0" w:color="auto"/>
        <w:left w:val="none" w:sz="0" w:space="0" w:color="auto"/>
        <w:bottom w:val="none" w:sz="0" w:space="0" w:color="auto"/>
        <w:right w:val="none" w:sz="0" w:space="0" w:color="auto"/>
      </w:divBdr>
    </w:div>
    <w:div w:id="988095652">
      <w:bodyDiv w:val="1"/>
      <w:marLeft w:val="0"/>
      <w:marRight w:val="0"/>
      <w:marTop w:val="0"/>
      <w:marBottom w:val="0"/>
      <w:divBdr>
        <w:top w:val="none" w:sz="0" w:space="0" w:color="auto"/>
        <w:left w:val="none" w:sz="0" w:space="0" w:color="auto"/>
        <w:bottom w:val="none" w:sz="0" w:space="0" w:color="auto"/>
        <w:right w:val="none" w:sz="0" w:space="0" w:color="auto"/>
      </w:divBdr>
    </w:div>
    <w:div w:id="1288271435">
      <w:bodyDiv w:val="1"/>
      <w:marLeft w:val="0"/>
      <w:marRight w:val="0"/>
      <w:marTop w:val="0"/>
      <w:marBottom w:val="0"/>
      <w:divBdr>
        <w:top w:val="none" w:sz="0" w:space="0" w:color="auto"/>
        <w:left w:val="none" w:sz="0" w:space="0" w:color="auto"/>
        <w:bottom w:val="none" w:sz="0" w:space="0" w:color="auto"/>
        <w:right w:val="none" w:sz="0" w:space="0" w:color="auto"/>
      </w:divBdr>
      <w:divsChild>
        <w:div w:id="334114361">
          <w:marLeft w:val="706"/>
          <w:marRight w:val="0"/>
          <w:marTop w:val="134"/>
          <w:marBottom w:val="0"/>
          <w:divBdr>
            <w:top w:val="none" w:sz="0" w:space="0" w:color="auto"/>
            <w:left w:val="none" w:sz="0" w:space="0" w:color="auto"/>
            <w:bottom w:val="none" w:sz="0" w:space="0" w:color="auto"/>
            <w:right w:val="none" w:sz="0" w:space="0" w:color="auto"/>
          </w:divBdr>
        </w:div>
      </w:divsChild>
    </w:div>
    <w:div w:id="1313606302">
      <w:bodyDiv w:val="1"/>
      <w:marLeft w:val="0"/>
      <w:marRight w:val="0"/>
      <w:marTop w:val="0"/>
      <w:marBottom w:val="0"/>
      <w:divBdr>
        <w:top w:val="none" w:sz="0" w:space="0" w:color="auto"/>
        <w:left w:val="none" w:sz="0" w:space="0" w:color="auto"/>
        <w:bottom w:val="none" w:sz="0" w:space="0" w:color="auto"/>
        <w:right w:val="none" w:sz="0" w:space="0" w:color="auto"/>
      </w:divBdr>
    </w:div>
    <w:div w:id="1420058218">
      <w:bodyDiv w:val="1"/>
      <w:marLeft w:val="0"/>
      <w:marRight w:val="0"/>
      <w:marTop w:val="0"/>
      <w:marBottom w:val="0"/>
      <w:divBdr>
        <w:top w:val="none" w:sz="0" w:space="0" w:color="auto"/>
        <w:left w:val="none" w:sz="0" w:space="0" w:color="auto"/>
        <w:bottom w:val="none" w:sz="0" w:space="0" w:color="auto"/>
        <w:right w:val="none" w:sz="0" w:space="0" w:color="auto"/>
      </w:divBdr>
    </w:div>
    <w:div w:id="1539078902">
      <w:bodyDiv w:val="1"/>
      <w:marLeft w:val="0"/>
      <w:marRight w:val="0"/>
      <w:marTop w:val="0"/>
      <w:marBottom w:val="0"/>
      <w:divBdr>
        <w:top w:val="none" w:sz="0" w:space="0" w:color="auto"/>
        <w:left w:val="none" w:sz="0" w:space="0" w:color="auto"/>
        <w:bottom w:val="none" w:sz="0" w:space="0" w:color="auto"/>
        <w:right w:val="none" w:sz="0" w:space="0" w:color="auto"/>
      </w:divBdr>
    </w:div>
    <w:div w:id="1775705867">
      <w:bodyDiv w:val="1"/>
      <w:marLeft w:val="0"/>
      <w:marRight w:val="0"/>
      <w:marTop w:val="0"/>
      <w:marBottom w:val="0"/>
      <w:divBdr>
        <w:top w:val="none" w:sz="0" w:space="0" w:color="auto"/>
        <w:left w:val="none" w:sz="0" w:space="0" w:color="auto"/>
        <w:bottom w:val="none" w:sz="0" w:space="0" w:color="auto"/>
        <w:right w:val="none" w:sz="0" w:space="0" w:color="auto"/>
      </w:divBdr>
    </w:div>
    <w:div w:id="1885167058">
      <w:bodyDiv w:val="1"/>
      <w:marLeft w:val="0"/>
      <w:marRight w:val="0"/>
      <w:marTop w:val="0"/>
      <w:marBottom w:val="0"/>
      <w:divBdr>
        <w:top w:val="none" w:sz="0" w:space="0" w:color="auto"/>
        <w:left w:val="none" w:sz="0" w:space="0" w:color="auto"/>
        <w:bottom w:val="none" w:sz="0" w:space="0" w:color="auto"/>
        <w:right w:val="none" w:sz="0" w:space="0" w:color="auto"/>
      </w:divBdr>
      <w:divsChild>
        <w:div w:id="1912497639">
          <w:marLeft w:val="706"/>
          <w:marRight w:val="0"/>
          <w:marTop w:val="101"/>
          <w:marBottom w:val="0"/>
          <w:divBdr>
            <w:top w:val="none" w:sz="0" w:space="0" w:color="auto"/>
            <w:left w:val="none" w:sz="0" w:space="0" w:color="auto"/>
            <w:bottom w:val="none" w:sz="0" w:space="0" w:color="auto"/>
            <w:right w:val="none" w:sz="0" w:space="0" w:color="auto"/>
          </w:divBdr>
        </w:div>
      </w:divsChild>
    </w:div>
    <w:div w:id="1910379648">
      <w:bodyDiv w:val="1"/>
      <w:marLeft w:val="0"/>
      <w:marRight w:val="0"/>
      <w:marTop w:val="0"/>
      <w:marBottom w:val="0"/>
      <w:divBdr>
        <w:top w:val="none" w:sz="0" w:space="0" w:color="auto"/>
        <w:left w:val="none" w:sz="0" w:space="0" w:color="auto"/>
        <w:bottom w:val="none" w:sz="0" w:space="0" w:color="auto"/>
        <w:right w:val="none" w:sz="0" w:space="0" w:color="auto"/>
      </w:divBdr>
    </w:div>
    <w:div w:id="1913271262">
      <w:bodyDiv w:val="1"/>
      <w:marLeft w:val="0"/>
      <w:marRight w:val="0"/>
      <w:marTop w:val="0"/>
      <w:marBottom w:val="0"/>
      <w:divBdr>
        <w:top w:val="none" w:sz="0" w:space="0" w:color="auto"/>
        <w:left w:val="none" w:sz="0" w:space="0" w:color="auto"/>
        <w:bottom w:val="none" w:sz="0" w:space="0" w:color="auto"/>
        <w:right w:val="none" w:sz="0" w:space="0" w:color="auto"/>
      </w:divBdr>
    </w:div>
    <w:div w:id="2037080766">
      <w:bodyDiv w:val="1"/>
      <w:marLeft w:val="0"/>
      <w:marRight w:val="0"/>
      <w:marTop w:val="0"/>
      <w:marBottom w:val="0"/>
      <w:divBdr>
        <w:top w:val="none" w:sz="0" w:space="0" w:color="auto"/>
        <w:left w:val="none" w:sz="0" w:space="0" w:color="auto"/>
        <w:bottom w:val="none" w:sz="0" w:space="0" w:color="auto"/>
        <w:right w:val="none" w:sz="0" w:space="0" w:color="auto"/>
      </w:divBdr>
      <w:divsChild>
        <w:div w:id="1901481799">
          <w:marLeft w:val="706"/>
          <w:marRight w:val="0"/>
          <w:marTop w:val="144"/>
          <w:marBottom w:val="0"/>
          <w:divBdr>
            <w:top w:val="none" w:sz="0" w:space="0" w:color="auto"/>
            <w:left w:val="none" w:sz="0" w:space="0" w:color="auto"/>
            <w:bottom w:val="none" w:sz="0" w:space="0" w:color="auto"/>
            <w:right w:val="none" w:sz="0" w:space="0" w:color="auto"/>
          </w:divBdr>
        </w:div>
      </w:divsChild>
    </w:div>
    <w:div w:id="2106991722">
      <w:bodyDiv w:val="1"/>
      <w:marLeft w:val="0"/>
      <w:marRight w:val="0"/>
      <w:marTop w:val="0"/>
      <w:marBottom w:val="0"/>
      <w:divBdr>
        <w:top w:val="none" w:sz="0" w:space="0" w:color="auto"/>
        <w:left w:val="none" w:sz="0" w:space="0" w:color="auto"/>
        <w:bottom w:val="none" w:sz="0" w:space="0" w:color="auto"/>
        <w:right w:val="none" w:sz="0" w:space="0" w:color="auto"/>
      </w:divBdr>
      <w:divsChild>
        <w:div w:id="249852189">
          <w:marLeft w:val="706"/>
          <w:marRight w:val="0"/>
          <w:marTop w:val="14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diagramColors" Target="diagrams/colors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header" Target="header2.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D854115-89E8-4A15-9C88-A0674B39BB53}" type="doc">
      <dgm:prSet loTypeId="urn:microsoft.com/office/officeart/2005/8/layout/chevron2" loCatId="list" qsTypeId="urn:microsoft.com/office/officeart/2005/8/quickstyle/simple1" qsCatId="simple" csTypeId="urn:microsoft.com/office/officeart/2005/8/colors/accent1_2" csCatId="accent1" phldr="1"/>
      <dgm:spPr/>
      <dgm:t>
        <a:bodyPr/>
        <a:lstStyle/>
        <a:p>
          <a:endParaRPr lang="fr-FR"/>
        </a:p>
      </dgm:t>
    </dgm:pt>
    <dgm:pt modelId="{FE3AAB7C-8817-4F0F-9D2D-6E121C332833}">
      <dgm:prSet phldrT="[Texte]"/>
      <dgm:spPr>
        <a:xfrm rot="5400000">
          <a:off x="-247798" y="249366"/>
          <a:ext cx="1651992" cy="1156394"/>
        </a:xfrm>
        <a:prstGeom prst="chevron">
          <a:avLst/>
        </a:prstGeom>
        <a:solidFill>
          <a:srgbClr val="F07F09">
            <a:hueOff val="0"/>
            <a:satOff val="0"/>
            <a:lumOff val="0"/>
            <a:alphaOff val="0"/>
          </a:srgbClr>
        </a:solidFill>
        <a:ln w="25400" cap="flat" cmpd="sng" algn="ctr">
          <a:solidFill>
            <a:srgbClr val="F07F09">
              <a:hueOff val="0"/>
              <a:satOff val="0"/>
              <a:lumOff val="0"/>
              <a:alphaOff val="0"/>
            </a:srgbClr>
          </a:solidFill>
          <a:prstDash val="solid"/>
        </a:ln>
        <a:effectLst/>
      </dgm:spPr>
      <dgm:t>
        <a:bodyPr/>
        <a:lstStyle/>
        <a:p>
          <a:pPr>
            <a:buNone/>
          </a:pPr>
          <a:r>
            <a:rPr lang="fr-FR" dirty="0">
              <a:solidFill>
                <a:sysClr val="window" lastClr="FFFFFF"/>
              </a:solidFill>
              <a:latin typeface="Century Gothic"/>
              <a:ea typeface="+mn-ea"/>
              <a:cs typeface="+mn-cs"/>
            </a:rPr>
            <a:t>informer</a:t>
          </a:r>
        </a:p>
      </dgm:t>
    </dgm:pt>
    <dgm:pt modelId="{0C5EB288-86B9-4A54-A66A-62D469B3F01C}" type="parTrans" cxnId="{79A76E1A-D7C9-4E69-99B7-24489C22CBB3}">
      <dgm:prSet/>
      <dgm:spPr/>
      <dgm:t>
        <a:bodyPr/>
        <a:lstStyle/>
        <a:p>
          <a:endParaRPr lang="fr-FR"/>
        </a:p>
      </dgm:t>
    </dgm:pt>
    <dgm:pt modelId="{FEE284AF-BE05-4341-8F75-FB486C3BCDCE}" type="sibTrans" cxnId="{79A76E1A-D7C9-4E69-99B7-24489C22CBB3}">
      <dgm:prSet/>
      <dgm:spPr/>
      <dgm:t>
        <a:bodyPr/>
        <a:lstStyle/>
        <a:p>
          <a:endParaRPr lang="fr-FR"/>
        </a:p>
      </dgm:t>
    </dgm:pt>
    <dgm:pt modelId="{D3B02DEA-6168-43F2-8A72-C9C50F899ABC}">
      <dgm:prSet phldrT="[Texte]"/>
      <dgm:spPr>
        <a:xfrm rot="5400000">
          <a:off x="4156099" y="-2998137"/>
          <a:ext cx="1073794" cy="7073205"/>
        </a:xfrm>
        <a:prstGeom prst="round2SameRect">
          <a:avLst/>
        </a:prstGeom>
        <a:solidFill>
          <a:sysClr val="window" lastClr="FFFFFF">
            <a:alpha val="90000"/>
            <a:hueOff val="0"/>
            <a:satOff val="0"/>
            <a:lumOff val="0"/>
            <a:alphaOff val="0"/>
          </a:sysClr>
        </a:solidFill>
        <a:ln w="25400" cap="flat" cmpd="sng" algn="ctr">
          <a:solidFill>
            <a:srgbClr val="F07F09">
              <a:hueOff val="0"/>
              <a:satOff val="0"/>
              <a:lumOff val="0"/>
              <a:alphaOff val="0"/>
            </a:srgbClr>
          </a:solidFill>
          <a:prstDash val="solid"/>
        </a:ln>
        <a:effectLst/>
      </dgm:spPr>
      <dgm:t>
        <a:bodyPr/>
        <a:lstStyle/>
        <a:p>
          <a:pPr>
            <a:buChar char="•"/>
          </a:pPr>
          <a:r>
            <a:rPr lang="fr-FR" dirty="0">
              <a:solidFill>
                <a:sysClr val="windowText" lastClr="000000">
                  <a:hueOff val="0"/>
                  <a:satOff val="0"/>
                  <a:lumOff val="0"/>
                  <a:alphaOff val="0"/>
                </a:sysClr>
              </a:solidFill>
              <a:latin typeface="Century Gothic"/>
              <a:ea typeface="+mn-ea"/>
              <a:cs typeface="+mn-cs"/>
            </a:rPr>
            <a:t>Formation, conseil, alerte des acteurs de l’organisation sur le SI y compris les risques encourus</a:t>
          </a:r>
        </a:p>
      </dgm:t>
    </dgm:pt>
    <dgm:pt modelId="{881FFA09-5447-4E9E-805F-E9B1435BF3A2}" type="parTrans" cxnId="{517058FC-3838-4DBE-96D9-DC8A645975BE}">
      <dgm:prSet/>
      <dgm:spPr/>
      <dgm:t>
        <a:bodyPr/>
        <a:lstStyle/>
        <a:p>
          <a:endParaRPr lang="fr-FR"/>
        </a:p>
      </dgm:t>
    </dgm:pt>
    <dgm:pt modelId="{37E4E7A2-BF71-420A-A519-B60312F492D0}" type="sibTrans" cxnId="{517058FC-3838-4DBE-96D9-DC8A645975BE}">
      <dgm:prSet/>
      <dgm:spPr/>
      <dgm:t>
        <a:bodyPr/>
        <a:lstStyle/>
        <a:p>
          <a:endParaRPr lang="fr-FR"/>
        </a:p>
      </dgm:t>
    </dgm:pt>
    <dgm:pt modelId="{424DE15C-5879-4A96-A027-A5E3FAEDE125}">
      <dgm:prSet phldrT="[Texte]"/>
      <dgm:spPr>
        <a:xfrm rot="5400000">
          <a:off x="-247798" y="1707802"/>
          <a:ext cx="1651992" cy="1156394"/>
        </a:xfrm>
        <a:prstGeom prst="chevron">
          <a:avLst/>
        </a:prstGeom>
        <a:solidFill>
          <a:srgbClr val="F07F09">
            <a:hueOff val="0"/>
            <a:satOff val="0"/>
            <a:lumOff val="0"/>
            <a:alphaOff val="0"/>
          </a:srgbClr>
        </a:solidFill>
        <a:ln w="25400" cap="flat" cmpd="sng" algn="ctr">
          <a:solidFill>
            <a:srgbClr val="F07F09">
              <a:hueOff val="0"/>
              <a:satOff val="0"/>
              <a:lumOff val="0"/>
              <a:alphaOff val="0"/>
            </a:srgbClr>
          </a:solidFill>
          <a:prstDash val="solid"/>
        </a:ln>
        <a:effectLst/>
      </dgm:spPr>
      <dgm:t>
        <a:bodyPr/>
        <a:lstStyle/>
        <a:p>
          <a:pPr>
            <a:buNone/>
          </a:pPr>
          <a:r>
            <a:rPr lang="fr-FR" dirty="0">
              <a:solidFill>
                <a:sysClr val="window" lastClr="FFFFFF"/>
              </a:solidFill>
              <a:latin typeface="Century Gothic"/>
              <a:ea typeface="+mn-ea"/>
              <a:cs typeface="+mn-cs"/>
            </a:rPr>
            <a:t>contrôler</a:t>
          </a:r>
        </a:p>
      </dgm:t>
    </dgm:pt>
    <dgm:pt modelId="{0E490B54-E4BB-4EA5-9008-9B71F3D7539E}" type="parTrans" cxnId="{CE172E98-78EF-4DE0-B820-3FF1330BEFC9}">
      <dgm:prSet/>
      <dgm:spPr/>
      <dgm:t>
        <a:bodyPr/>
        <a:lstStyle/>
        <a:p>
          <a:endParaRPr lang="fr-FR"/>
        </a:p>
      </dgm:t>
    </dgm:pt>
    <dgm:pt modelId="{0E90EAB1-8086-4072-8352-1C12F4EE0D7A}" type="sibTrans" cxnId="{CE172E98-78EF-4DE0-B820-3FF1330BEFC9}">
      <dgm:prSet/>
      <dgm:spPr/>
      <dgm:t>
        <a:bodyPr/>
        <a:lstStyle/>
        <a:p>
          <a:endParaRPr lang="fr-FR"/>
        </a:p>
      </dgm:t>
    </dgm:pt>
    <dgm:pt modelId="{8B163ECA-A54E-4B90-8D9C-705034911FBA}">
      <dgm:prSet phldrT="[Texte]"/>
      <dgm:spPr>
        <a:xfrm rot="5400000">
          <a:off x="4156099" y="-1539701"/>
          <a:ext cx="1073794" cy="7073205"/>
        </a:xfrm>
        <a:prstGeom prst="round2SameRect">
          <a:avLst/>
        </a:prstGeom>
        <a:solidFill>
          <a:sysClr val="window" lastClr="FFFFFF">
            <a:alpha val="90000"/>
            <a:hueOff val="0"/>
            <a:satOff val="0"/>
            <a:lumOff val="0"/>
            <a:alphaOff val="0"/>
          </a:sysClr>
        </a:solidFill>
        <a:ln w="25400" cap="flat" cmpd="sng" algn="ctr">
          <a:solidFill>
            <a:srgbClr val="F07F09">
              <a:hueOff val="0"/>
              <a:satOff val="0"/>
              <a:lumOff val="0"/>
              <a:alphaOff val="0"/>
            </a:srgbClr>
          </a:solidFill>
          <a:prstDash val="solid"/>
        </a:ln>
        <a:effectLst/>
      </dgm:spPr>
      <dgm:t>
        <a:bodyPr/>
        <a:lstStyle/>
        <a:p>
          <a:pPr>
            <a:buChar char="•"/>
          </a:pPr>
          <a:r>
            <a:rPr lang="fr-FR" dirty="0">
              <a:solidFill>
                <a:sysClr val="windowText" lastClr="000000">
                  <a:hueOff val="0"/>
                  <a:satOff val="0"/>
                  <a:lumOff val="0"/>
                  <a:alphaOff val="0"/>
                </a:sysClr>
              </a:solidFill>
              <a:latin typeface="Century Gothic"/>
              <a:ea typeface="+mn-ea"/>
              <a:cs typeface="+mn-cs"/>
            </a:rPr>
            <a:t>Paramétrage des logs ; procédure de mise à jour des applicatifs, vérification du bon déroulement de l’activité sur le réseau informatique pour détecter les dysfonctionnements et anticiper les risques.</a:t>
          </a:r>
        </a:p>
      </dgm:t>
    </dgm:pt>
    <dgm:pt modelId="{5B42C053-87C8-4A5E-90F2-A84D13139448}" type="parTrans" cxnId="{2D1899F5-297E-4128-8869-980F051D806D}">
      <dgm:prSet/>
      <dgm:spPr/>
      <dgm:t>
        <a:bodyPr/>
        <a:lstStyle/>
        <a:p>
          <a:endParaRPr lang="fr-FR"/>
        </a:p>
      </dgm:t>
    </dgm:pt>
    <dgm:pt modelId="{97DB67D0-B406-49EC-82A1-A16E069A1DBA}" type="sibTrans" cxnId="{2D1899F5-297E-4128-8869-980F051D806D}">
      <dgm:prSet/>
      <dgm:spPr/>
      <dgm:t>
        <a:bodyPr/>
        <a:lstStyle/>
        <a:p>
          <a:endParaRPr lang="fr-FR"/>
        </a:p>
      </dgm:t>
    </dgm:pt>
    <dgm:pt modelId="{D867FA27-0672-4E11-8021-8473F3AC913A}">
      <dgm:prSet phldrT="[Texte]"/>
      <dgm:spPr>
        <a:xfrm rot="5400000">
          <a:off x="-247798" y="3166238"/>
          <a:ext cx="1651992" cy="1156394"/>
        </a:xfrm>
        <a:prstGeom prst="chevron">
          <a:avLst/>
        </a:prstGeom>
        <a:solidFill>
          <a:srgbClr val="F07F09">
            <a:hueOff val="0"/>
            <a:satOff val="0"/>
            <a:lumOff val="0"/>
            <a:alphaOff val="0"/>
          </a:srgbClr>
        </a:solidFill>
        <a:ln w="25400" cap="flat" cmpd="sng" algn="ctr">
          <a:solidFill>
            <a:srgbClr val="F07F09">
              <a:hueOff val="0"/>
              <a:satOff val="0"/>
              <a:lumOff val="0"/>
              <a:alphaOff val="0"/>
            </a:srgbClr>
          </a:solidFill>
          <a:prstDash val="solid"/>
        </a:ln>
        <a:effectLst/>
      </dgm:spPr>
      <dgm:t>
        <a:bodyPr/>
        <a:lstStyle/>
        <a:p>
          <a:pPr>
            <a:buNone/>
          </a:pPr>
          <a:r>
            <a:rPr lang="fr-FR" dirty="0">
              <a:solidFill>
                <a:sysClr val="window" lastClr="FFFFFF"/>
              </a:solidFill>
              <a:latin typeface="Century Gothic"/>
              <a:ea typeface="+mn-ea"/>
              <a:cs typeface="+mn-cs"/>
            </a:rPr>
            <a:t>Agir</a:t>
          </a:r>
        </a:p>
      </dgm:t>
    </dgm:pt>
    <dgm:pt modelId="{1F4D4D46-520B-4FA2-BCDB-C0A3ABDC56A0}" type="parTrans" cxnId="{40578A4B-C21C-45DA-AA3C-E991C073A4B9}">
      <dgm:prSet/>
      <dgm:spPr/>
      <dgm:t>
        <a:bodyPr/>
        <a:lstStyle/>
        <a:p>
          <a:endParaRPr lang="fr-FR"/>
        </a:p>
      </dgm:t>
    </dgm:pt>
    <dgm:pt modelId="{FBFD5AC2-9C06-44CE-BAC7-7BD1B745C730}" type="sibTrans" cxnId="{40578A4B-C21C-45DA-AA3C-E991C073A4B9}">
      <dgm:prSet/>
      <dgm:spPr/>
      <dgm:t>
        <a:bodyPr/>
        <a:lstStyle/>
        <a:p>
          <a:endParaRPr lang="fr-FR"/>
        </a:p>
      </dgm:t>
    </dgm:pt>
    <dgm:pt modelId="{D2602934-259E-4E49-834D-BBD194267D47}">
      <dgm:prSet phldrT="[Texte]"/>
      <dgm:spPr>
        <a:xfrm rot="5400000">
          <a:off x="4156099" y="-157333"/>
          <a:ext cx="1073794" cy="7073205"/>
        </a:xfrm>
        <a:prstGeom prst="round2SameRect">
          <a:avLst/>
        </a:prstGeom>
        <a:solidFill>
          <a:sysClr val="window" lastClr="FFFFFF">
            <a:alpha val="90000"/>
            <a:hueOff val="0"/>
            <a:satOff val="0"/>
            <a:lumOff val="0"/>
            <a:alphaOff val="0"/>
          </a:sysClr>
        </a:solidFill>
        <a:ln w="25400" cap="flat" cmpd="sng" algn="ctr">
          <a:solidFill>
            <a:srgbClr val="F07F09">
              <a:hueOff val="0"/>
              <a:satOff val="0"/>
              <a:lumOff val="0"/>
              <a:alphaOff val="0"/>
            </a:srgbClr>
          </a:solidFill>
          <a:prstDash val="solid"/>
        </a:ln>
        <a:effectLst/>
      </dgm:spPr>
      <dgm:t>
        <a:bodyPr/>
        <a:lstStyle/>
        <a:p>
          <a:pPr>
            <a:buChar char="•"/>
          </a:pPr>
          <a:r>
            <a:rPr lang="fr-FR" dirty="0">
              <a:solidFill>
                <a:sysClr val="windowText" lastClr="000000">
                  <a:hueOff val="0"/>
                  <a:satOff val="0"/>
                  <a:lumOff val="0"/>
                  <a:alphaOff val="0"/>
                </a:sysClr>
              </a:solidFill>
              <a:latin typeface="Century Gothic"/>
              <a:ea typeface="+mn-ea"/>
              <a:cs typeface="+mn-cs"/>
            </a:rPr>
            <a:t>Sécurisation du système d’information </a:t>
          </a:r>
        </a:p>
      </dgm:t>
    </dgm:pt>
    <dgm:pt modelId="{AA108B31-B14B-4C8C-B42B-42F14D61A353}" type="parTrans" cxnId="{514B0F81-C1D1-437C-9B46-77E468215ECC}">
      <dgm:prSet/>
      <dgm:spPr/>
      <dgm:t>
        <a:bodyPr/>
        <a:lstStyle/>
        <a:p>
          <a:endParaRPr lang="fr-FR"/>
        </a:p>
      </dgm:t>
    </dgm:pt>
    <dgm:pt modelId="{3A09442D-78EE-4117-8AAA-92AAA9C06E8D}" type="sibTrans" cxnId="{514B0F81-C1D1-437C-9B46-77E468215ECC}">
      <dgm:prSet/>
      <dgm:spPr/>
      <dgm:t>
        <a:bodyPr/>
        <a:lstStyle/>
        <a:p>
          <a:endParaRPr lang="fr-FR"/>
        </a:p>
      </dgm:t>
    </dgm:pt>
    <dgm:pt modelId="{96DA6256-AD23-480D-85F5-9FD0DE3602A2}">
      <dgm:prSet phldrT="[Texte]"/>
      <dgm:spPr>
        <a:xfrm rot="5400000">
          <a:off x="4156099" y="-157333"/>
          <a:ext cx="1073794" cy="7073205"/>
        </a:xfrm>
        <a:prstGeom prst="round2SameRect">
          <a:avLst/>
        </a:prstGeom>
        <a:solidFill>
          <a:sysClr val="window" lastClr="FFFFFF">
            <a:alpha val="90000"/>
            <a:hueOff val="0"/>
            <a:satOff val="0"/>
            <a:lumOff val="0"/>
            <a:alphaOff val="0"/>
          </a:sysClr>
        </a:solidFill>
        <a:ln w="25400" cap="flat" cmpd="sng" algn="ctr">
          <a:solidFill>
            <a:srgbClr val="F07F09">
              <a:hueOff val="0"/>
              <a:satOff val="0"/>
              <a:lumOff val="0"/>
              <a:alphaOff val="0"/>
            </a:srgbClr>
          </a:solidFill>
          <a:prstDash val="solid"/>
        </a:ln>
        <a:effectLst/>
      </dgm:spPr>
      <dgm:t>
        <a:bodyPr/>
        <a:lstStyle/>
        <a:p>
          <a:pPr>
            <a:buChar char="•"/>
          </a:pPr>
          <a:r>
            <a:rPr lang="fr-FR" dirty="0">
              <a:solidFill>
                <a:sysClr val="windowText" lastClr="000000">
                  <a:hueOff val="0"/>
                  <a:satOff val="0"/>
                  <a:lumOff val="0"/>
                  <a:alphaOff val="0"/>
                </a:sysClr>
              </a:solidFill>
              <a:latin typeface="Century Gothic"/>
              <a:ea typeface="+mn-ea"/>
              <a:cs typeface="+mn-cs"/>
            </a:rPr>
            <a:t>Mise en œuvre de mesures pour prévenir les intrusions, dans le système et empêcher l’introduction de programmes malveillants..</a:t>
          </a:r>
        </a:p>
      </dgm:t>
    </dgm:pt>
    <dgm:pt modelId="{1F0BB7F8-C5D8-4A71-A9CC-07D4916FD402}" type="parTrans" cxnId="{9A24AE5E-78E6-49B1-9B80-E0CBB9630B4C}">
      <dgm:prSet/>
      <dgm:spPr/>
      <dgm:t>
        <a:bodyPr/>
        <a:lstStyle/>
        <a:p>
          <a:endParaRPr lang="fr-FR"/>
        </a:p>
      </dgm:t>
    </dgm:pt>
    <dgm:pt modelId="{AB0D5987-18E9-4489-ACEA-BE17BB3A6B45}" type="sibTrans" cxnId="{9A24AE5E-78E6-49B1-9B80-E0CBB9630B4C}">
      <dgm:prSet/>
      <dgm:spPr/>
      <dgm:t>
        <a:bodyPr/>
        <a:lstStyle/>
        <a:p>
          <a:endParaRPr lang="fr-FR"/>
        </a:p>
      </dgm:t>
    </dgm:pt>
    <dgm:pt modelId="{8C9ED486-1141-49D2-A85B-358433EFFD68}">
      <dgm:prSet phldrT="[Texte]"/>
      <dgm:spPr>
        <a:xfrm rot="5400000">
          <a:off x="4156099" y="-157333"/>
          <a:ext cx="1073794" cy="7073205"/>
        </a:xfrm>
        <a:prstGeom prst="round2SameRect">
          <a:avLst/>
        </a:prstGeom>
        <a:solidFill>
          <a:sysClr val="window" lastClr="FFFFFF">
            <a:alpha val="90000"/>
            <a:hueOff val="0"/>
            <a:satOff val="0"/>
            <a:lumOff val="0"/>
            <a:alphaOff val="0"/>
          </a:sysClr>
        </a:solidFill>
        <a:ln w="25400" cap="flat" cmpd="sng" algn="ctr">
          <a:solidFill>
            <a:srgbClr val="F07F09">
              <a:hueOff val="0"/>
              <a:satOff val="0"/>
              <a:lumOff val="0"/>
              <a:alphaOff val="0"/>
            </a:srgbClr>
          </a:solidFill>
          <a:prstDash val="solid"/>
        </a:ln>
        <a:effectLst/>
      </dgm:spPr>
      <dgm:t>
        <a:bodyPr/>
        <a:lstStyle/>
        <a:p>
          <a:pPr>
            <a:buChar char="•"/>
          </a:pPr>
          <a:r>
            <a:rPr lang="fr-FR" dirty="0">
              <a:solidFill>
                <a:sysClr val="windowText" lastClr="000000">
                  <a:hueOff val="0"/>
                  <a:satOff val="0"/>
                  <a:lumOff val="0"/>
                  <a:alphaOff val="0"/>
                </a:sysClr>
              </a:solidFill>
              <a:latin typeface="Century Gothic"/>
              <a:ea typeface="+mn-ea"/>
              <a:cs typeface="+mn-cs"/>
            </a:rPr>
            <a:t> Pratiquer une veille technique</a:t>
          </a:r>
        </a:p>
      </dgm:t>
    </dgm:pt>
    <dgm:pt modelId="{62B50BDD-333F-4F94-8CA6-F269B47E1197}" type="parTrans" cxnId="{4086DC49-E4CE-4A1D-998F-00886C542BBA}">
      <dgm:prSet/>
      <dgm:spPr/>
      <dgm:t>
        <a:bodyPr/>
        <a:lstStyle/>
        <a:p>
          <a:endParaRPr lang="fr-FR"/>
        </a:p>
      </dgm:t>
    </dgm:pt>
    <dgm:pt modelId="{77EE1E17-38E2-493F-A8DF-F724932457E7}" type="sibTrans" cxnId="{4086DC49-E4CE-4A1D-998F-00886C542BBA}">
      <dgm:prSet/>
      <dgm:spPr/>
      <dgm:t>
        <a:bodyPr/>
        <a:lstStyle/>
        <a:p>
          <a:endParaRPr lang="fr-FR"/>
        </a:p>
      </dgm:t>
    </dgm:pt>
    <dgm:pt modelId="{1805E8F3-3955-455C-8235-CBA6DB5D626A}" type="pres">
      <dgm:prSet presAssocID="{2D854115-89E8-4A15-9C88-A0674B39BB53}" presName="linearFlow" presStyleCnt="0">
        <dgm:presLayoutVars>
          <dgm:dir/>
          <dgm:animLvl val="lvl"/>
          <dgm:resizeHandles val="exact"/>
        </dgm:presLayoutVars>
      </dgm:prSet>
      <dgm:spPr/>
    </dgm:pt>
    <dgm:pt modelId="{6DB5D188-855F-4907-997F-BCB026869478}" type="pres">
      <dgm:prSet presAssocID="{FE3AAB7C-8817-4F0F-9D2D-6E121C332833}" presName="composite" presStyleCnt="0"/>
      <dgm:spPr/>
    </dgm:pt>
    <dgm:pt modelId="{B6D31E3D-DBAA-4089-9EFC-7C3FD0C449C1}" type="pres">
      <dgm:prSet presAssocID="{FE3AAB7C-8817-4F0F-9D2D-6E121C332833}" presName="parentText" presStyleLbl="alignNode1" presStyleIdx="0" presStyleCnt="3">
        <dgm:presLayoutVars>
          <dgm:chMax val="1"/>
          <dgm:bulletEnabled val="1"/>
        </dgm:presLayoutVars>
      </dgm:prSet>
      <dgm:spPr/>
    </dgm:pt>
    <dgm:pt modelId="{156EDE3E-E182-434E-8D6F-99EC7DF8AABC}" type="pres">
      <dgm:prSet presAssocID="{FE3AAB7C-8817-4F0F-9D2D-6E121C332833}" presName="descendantText" presStyleLbl="alignAcc1" presStyleIdx="0" presStyleCnt="3">
        <dgm:presLayoutVars>
          <dgm:bulletEnabled val="1"/>
        </dgm:presLayoutVars>
      </dgm:prSet>
      <dgm:spPr/>
    </dgm:pt>
    <dgm:pt modelId="{8FB24CF6-43C7-4789-9F8C-6B9D77465948}" type="pres">
      <dgm:prSet presAssocID="{FEE284AF-BE05-4341-8F75-FB486C3BCDCE}" presName="sp" presStyleCnt="0"/>
      <dgm:spPr/>
    </dgm:pt>
    <dgm:pt modelId="{B5FC221D-5511-471F-8284-3D2E63F2B548}" type="pres">
      <dgm:prSet presAssocID="{424DE15C-5879-4A96-A027-A5E3FAEDE125}" presName="composite" presStyleCnt="0"/>
      <dgm:spPr/>
    </dgm:pt>
    <dgm:pt modelId="{4B053BE0-C3A7-458A-87B8-B53EE03CF5E5}" type="pres">
      <dgm:prSet presAssocID="{424DE15C-5879-4A96-A027-A5E3FAEDE125}" presName="parentText" presStyleLbl="alignNode1" presStyleIdx="1" presStyleCnt="3">
        <dgm:presLayoutVars>
          <dgm:chMax val="1"/>
          <dgm:bulletEnabled val="1"/>
        </dgm:presLayoutVars>
      </dgm:prSet>
      <dgm:spPr/>
    </dgm:pt>
    <dgm:pt modelId="{3266535D-596F-4FB8-96C8-F25629D0051F}" type="pres">
      <dgm:prSet presAssocID="{424DE15C-5879-4A96-A027-A5E3FAEDE125}" presName="descendantText" presStyleLbl="alignAcc1" presStyleIdx="1" presStyleCnt="3">
        <dgm:presLayoutVars>
          <dgm:bulletEnabled val="1"/>
        </dgm:presLayoutVars>
      </dgm:prSet>
      <dgm:spPr/>
    </dgm:pt>
    <dgm:pt modelId="{34AB729A-A573-4970-AC82-01DDFB94A01F}" type="pres">
      <dgm:prSet presAssocID="{0E90EAB1-8086-4072-8352-1C12F4EE0D7A}" presName="sp" presStyleCnt="0"/>
      <dgm:spPr/>
    </dgm:pt>
    <dgm:pt modelId="{55451A51-0082-4901-8084-1F268412583B}" type="pres">
      <dgm:prSet presAssocID="{D867FA27-0672-4E11-8021-8473F3AC913A}" presName="composite" presStyleCnt="0"/>
      <dgm:spPr/>
    </dgm:pt>
    <dgm:pt modelId="{D6F1D081-D8CF-4BEC-8C0A-AD965CD515DE}" type="pres">
      <dgm:prSet presAssocID="{D867FA27-0672-4E11-8021-8473F3AC913A}" presName="parentText" presStyleLbl="alignNode1" presStyleIdx="2" presStyleCnt="3">
        <dgm:presLayoutVars>
          <dgm:chMax val="1"/>
          <dgm:bulletEnabled val="1"/>
        </dgm:presLayoutVars>
      </dgm:prSet>
      <dgm:spPr/>
    </dgm:pt>
    <dgm:pt modelId="{871BD6A8-197F-4EB6-806A-5F3806CC8FDF}" type="pres">
      <dgm:prSet presAssocID="{D867FA27-0672-4E11-8021-8473F3AC913A}" presName="descendantText" presStyleLbl="alignAcc1" presStyleIdx="2" presStyleCnt="3" custLinFactNeighborX="86" custLinFactNeighborY="-7084">
        <dgm:presLayoutVars>
          <dgm:bulletEnabled val="1"/>
        </dgm:presLayoutVars>
      </dgm:prSet>
      <dgm:spPr/>
    </dgm:pt>
  </dgm:ptLst>
  <dgm:cxnLst>
    <dgm:cxn modelId="{4EFF6C08-C417-4945-91E2-29EAECFFE2F2}" type="presOf" srcId="{FE3AAB7C-8817-4F0F-9D2D-6E121C332833}" destId="{B6D31E3D-DBAA-4089-9EFC-7C3FD0C449C1}" srcOrd="0" destOrd="0" presId="urn:microsoft.com/office/officeart/2005/8/layout/chevron2"/>
    <dgm:cxn modelId="{4A73DD0B-59B0-4B5B-986C-B6822437A7B6}" type="presOf" srcId="{8C9ED486-1141-49D2-A85B-358433EFFD68}" destId="{871BD6A8-197F-4EB6-806A-5F3806CC8FDF}" srcOrd="0" destOrd="2" presId="urn:microsoft.com/office/officeart/2005/8/layout/chevron2"/>
    <dgm:cxn modelId="{A57F8714-8012-4405-9C55-194251F3937F}" type="presOf" srcId="{96DA6256-AD23-480D-85F5-9FD0DE3602A2}" destId="{871BD6A8-197F-4EB6-806A-5F3806CC8FDF}" srcOrd="0" destOrd="1" presId="urn:microsoft.com/office/officeart/2005/8/layout/chevron2"/>
    <dgm:cxn modelId="{79A76E1A-D7C9-4E69-99B7-24489C22CBB3}" srcId="{2D854115-89E8-4A15-9C88-A0674B39BB53}" destId="{FE3AAB7C-8817-4F0F-9D2D-6E121C332833}" srcOrd="0" destOrd="0" parTransId="{0C5EB288-86B9-4A54-A66A-62D469B3F01C}" sibTransId="{FEE284AF-BE05-4341-8F75-FB486C3BCDCE}"/>
    <dgm:cxn modelId="{9A24AE5E-78E6-49B1-9B80-E0CBB9630B4C}" srcId="{D867FA27-0672-4E11-8021-8473F3AC913A}" destId="{96DA6256-AD23-480D-85F5-9FD0DE3602A2}" srcOrd="1" destOrd="0" parTransId="{1F0BB7F8-C5D8-4A71-A9CC-07D4916FD402}" sibTransId="{AB0D5987-18E9-4489-ACEA-BE17BB3A6B45}"/>
    <dgm:cxn modelId="{4086DC49-E4CE-4A1D-998F-00886C542BBA}" srcId="{D867FA27-0672-4E11-8021-8473F3AC913A}" destId="{8C9ED486-1141-49D2-A85B-358433EFFD68}" srcOrd="2" destOrd="0" parTransId="{62B50BDD-333F-4F94-8CA6-F269B47E1197}" sibTransId="{77EE1E17-38E2-493F-A8DF-F724932457E7}"/>
    <dgm:cxn modelId="{40578A4B-C21C-45DA-AA3C-E991C073A4B9}" srcId="{2D854115-89E8-4A15-9C88-A0674B39BB53}" destId="{D867FA27-0672-4E11-8021-8473F3AC913A}" srcOrd="2" destOrd="0" parTransId="{1F4D4D46-520B-4FA2-BCDB-C0A3ABDC56A0}" sibTransId="{FBFD5AC2-9C06-44CE-BAC7-7BD1B745C730}"/>
    <dgm:cxn modelId="{9157A87E-4697-498B-8921-9E1CC694DEDE}" type="presOf" srcId="{8B163ECA-A54E-4B90-8D9C-705034911FBA}" destId="{3266535D-596F-4FB8-96C8-F25629D0051F}" srcOrd="0" destOrd="0" presId="urn:microsoft.com/office/officeart/2005/8/layout/chevron2"/>
    <dgm:cxn modelId="{514B0F81-C1D1-437C-9B46-77E468215ECC}" srcId="{D867FA27-0672-4E11-8021-8473F3AC913A}" destId="{D2602934-259E-4E49-834D-BBD194267D47}" srcOrd="0" destOrd="0" parTransId="{AA108B31-B14B-4C8C-B42B-42F14D61A353}" sibTransId="{3A09442D-78EE-4117-8AAA-92AAA9C06E8D}"/>
    <dgm:cxn modelId="{04B27E8A-0445-49DA-B204-B403AAD1CC2F}" type="presOf" srcId="{D867FA27-0672-4E11-8021-8473F3AC913A}" destId="{D6F1D081-D8CF-4BEC-8C0A-AD965CD515DE}" srcOrd="0" destOrd="0" presId="urn:microsoft.com/office/officeart/2005/8/layout/chevron2"/>
    <dgm:cxn modelId="{CE172E98-78EF-4DE0-B820-3FF1330BEFC9}" srcId="{2D854115-89E8-4A15-9C88-A0674B39BB53}" destId="{424DE15C-5879-4A96-A027-A5E3FAEDE125}" srcOrd="1" destOrd="0" parTransId="{0E490B54-E4BB-4EA5-9008-9B71F3D7539E}" sibTransId="{0E90EAB1-8086-4072-8352-1C12F4EE0D7A}"/>
    <dgm:cxn modelId="{0F3F9E9B-3091-4BF7-9799-C476FD15EB08}" type="presOf" srcId="{D3B02DEA-6168-43F2-8A72-C9C50F899ABC}" destId="{156EDE3E-E182-434E-8D6F-99EC7DF8AABC}" srcOrd="0" destOrd="0" presId="urn:microsoft.com/office/officeart/2005/8/layout/chevron2"/>
    <dgm:cxn modelId="{926B9CAB-0389-43CB-8F62-644BC816C2EE}" type="presOf" srcId="{424DE15C-5879-4A96-A027-A5E3FAEDE125}" destId="{4B053BE0-C3A7-458A-87B8-B53EE03CF5E5}" srcOrd="0" destOrd="0" presId="urn:microsoft.com/office/officeart/2005/8/layout/chevron2"/>
    <dgm:cxn modelId="{1639A1E3-3A53-4215-A5C5-CDC2C68E170E}" type="presOf" srcId="{D2602934-259E-4E49-834D-BBD194267D47}" destId="{871BD6A8-197F-4EB6-806A-5F3806CC8FDF}" srcOrd="0" destOrd="0" presId="urn:microsoft.com/office/officeart/2005/8/layout/chevron2"/>
    <dgm:cxn modelId="{780EFEE4-B935-4D55-8C34-0208006FFF32}" type="presOf" srcId="{2D854115-89E8-4A15-9C88-A0674B39BB53}" destId="{1805E8F3-3955-455C-8235-CBA6DB5D626A}" srcOrd="0" destOrd="0" presId="urn:microsoft.com/office/officeart/2005/8/layout/chevron2"/>
    <dgm:cxn modelId="{2D1899F5-297E-4128-8869-980F051D806D}" srcId="{424DE15C-5879-4A96-A027-A5E3FAEDE125}" destId="{8B163ECA-A54E-4B90-8D9C-705034911FBA}" srcOrd="0" destOrd="0" parTransId="{5B42C053-87C8-4A5E-90F2-A84D13139448}" sibTransId="{97DB67D0-B406-49EC-82A1-A16E069A1DBA}"/>
    <dgm:cxn modelId="{517058FC-3838-4DBE-96D9-DC8A645975BE}" srcId="{FE3AAB7C-8817-4F0F-9D2D-6E121C332833}" destId="{D3B02DEA-6168-43F2-8A72-C9C50F899ABC}" srcOrd="0" destOrd="0" parTransId="{881FFA09-5447-4E9E-805F-E9B1435BF3A2}" sibTransId="{37E4E7A2-BF71-420A-A519-B60312F492D0}"/>
    <dgm:cxn modelId="{60EC911B-92AC-446B-A286-9BDDC3855DA5}" type="presParOf" srcId="{1805E8F3-3955-455C-8235-CBA6DB5D626A}" destId="{6DB5D188-855F-4907-997F-BCB026869478}" srcOrd="0" destOrd="0" presId="urn:microsoft.com/office/officeart/2005/8/layout/chevron2"/>
    <dgm:cxn modelId="{E58795AC-DF11-488C-BE74-69AD3FAD2AEF}" type="presParOf" srcId="{6DB5D188-855F-4907-997F-BCB026869478}" destId="{B6D31E3D-DBAA-4089-9EFC-7C3FD0C449C1}" srcOrd="0" destOrd="0" presId="urn:microsoft.com/office/officeart/2005/8/layout/chevron2"/>
    <dgm:cxn modelId="{B9859778-C465-4F66-9EE0-C4DF54BC4AFC}" type="presParOf" srcId="{6DB5D188-855F-4907-997F-BCB026869478}" destId="{156EDE3E-E182-434E-8D6F-99EC7DF8AABC}" srcOrd="1" destOrd="0" presId="urn:microsoft.com/office/officeart/2005/8/layout/chevron2"/>
    <dgm:cxn modelId="{DD43E224-E8B4-4C99-B1E8-908B20A10BBA}" type="presParOf" srcId="{1805E8F3-3955-455C-8235-CBA6DB5D626A}" destId="{8FB24CF6-43C7-4789-9F8C-6B9D77465948}" srcOrd="1" destOrd="0" presId="urn:microsoft.com/office/officeart/2005/8/layout/chevron2"/>
    <dgm:cxn modelId="{FD88F3C3-D429-4108-BD55-F17AAE220474}" type="presParOf" srcId="{1805E8F3-3955-455C-8235-CBA6DB5D626A}" destId="{B5FC221D-5511-471F-8284-3D2E63F2B548}" srcOrd="2" destOrd="0" presId="urn:microsoft.com/office/officeart/2005/8/layout/chevron2"/>
    <dgm:cxn modelId="{8232BC32-113D-4413-8E91-59E68622FF2A}" type="presParOf" srcId="{B5FC221D-5511-471F-8284-3D2E63F2B548}" destId="{4B053BE0-C3A7-458A-87B8-B53EE03CF5E5}" srcOrd="0" destOrd="0" presId="urn:microsoft.com/office/officeart/2005/8/layout/chevron2"/>
    <dgm:cxn modelId="{0A1267A2-7A33-4F71-9433-25C7FDFC95FD}" type="presParOf" srcId="{B5FC221D-5511-471F-8284-3D2E63F2B548}" destId="{3266535D-596F-4FB8-96C8-F25629D0051F}" srcOrd="1" destOrd="0" presId="urn:microsoft.com/office/officeart/2005/8/layout/chevron2"/>
    <dgm:cxn modelId="{0323653D-4109-4547-AA35-221FC6B18493}" type="presParOf" srcId="{1805E8F3-3955-455C-8235-CBA6DB5D626A}" destId="{34AB729A-A573-4970-AC82-01DDFB94A01F}" srcOrd="3" destOrd="0" presId="urn:microsoft.com/office/officeart/2005/8/layout/chevron2"/>
    <dgm:cxn modelId="{095B66EC-11D1-421D-91F8-EB52C317E212}" type="presParOf" srcId="{1805E8F3-3955-455C-8235-CBA6DB5D626A}" destId="{55451A51-0082-4901-8084-1F268412583B}" srcOrd="4" destOrd="0" presId="urn:microsoft.com/office/officeart/2005/8/layout/chevron2"/>
    <dgm:cxn modelId="{950FB087-4E9B-4CA9-82BB-0E8F1645B0AD}" type="presParOf" srcId="{55451A51-0082-4901-8084-1F268412583B}" destId="{D6F1D081-D8CF-4BEC-8C0A-AD965CD515DE}" srcOrd="0" destOrd="0" presId="urn:microsoft.com/office/officeart/2005/8/layout/chevron2"/>
    <dgm:cxn modelId="{B33A9430-1BD3-457F-A900-1684726F5AC6}" type="presParOf" srcId="{55451A51-0082-4901-8084-1F268412583B}" destId="{871BD6A8-197F-4EB6-806A-5F3806CC8FDF}" srcOrd="1" destOrd="0" presId="urn:microsoft.com/office/officeart/2005/8/layout/chevron2"/>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6D31E3D-DBAA-4089-9EFC-7C3FD0C449C1}">
      <dsp:nvSpPr>
        <dsp:cNvPr id="0" name=""/>
        <dsp:cNvSpPr/>
      </dsp:nvSpPr>
      <dsp:spPr>
        <a:xfrm rot="5400000">
          <a:off x="-180022" y="180877"/>
          <a:ext cx="1200150" cy="840105"/>
        </a:xfrm>
        <a:prstGeom prst="chevron">
          <a:avLst/>
        </a:prstGeom>
        <a:solidFill>
          <a:srgbClr val="F07F09">
            <a:hueOff val="0"/>
            <a:satOff val="0"/>
            <a:lumOff val="0"/>
            <a:alphaOff val="0"/>
          </a:srgbClr>
        </a:solidFill>
        <a:ln w="25400" cap="flat" cmpd="sng" algn="ctr">
          <a:solidFill>
            <a:srgbClr val="F07F09">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fr-FR" sz="1400" kern="1200" dirty="0">
              <a:solidFill>
                <a:sysClr val="window" lastClr="FFFFFF"/>
              </a:solidFill>
              <a:latin typeface="Century Gothic"/>
              <a:ea typeface="+mn-ea"/>
              <a:cs typeface="+mn-cs"/>
            </a:rPr>
            <a:t>informer</a:t>
          </a:r>
        </a:p>
      </dsp:txBody>
      <dsp:txXfrm rot="-5400000">
        <a:off x="1" y="420908"/>
        <a:ext cx="840105" cy="360045"/>
      </dsp:txXfrm>
    </dsp:sp>
    <dsp:sp modelId="{156EDE3E-E182-434E-8D6F-99EC7DF8AABC}">
      <dsp:nvSpPr>
        <dsp:cNvPr id="0" name=""/>
        <dsp:cNvSpPr/>
      </dsp:nvSpPr>
      <dsp:spPr>
        <a:xfrm rot="5400000">
          <a:off x="2910363" y="-2069403"/>
          <a:ext cx="780097" cy="4920615"/>
        </a:xfrm>
        <a:prstGeom prst="round2SameRect">
          <a:avLst/>
        </a:prstGeom>
        <a:solidFill>
          <a:sysClr val="window" lastClr="FFFFFF">
            <a:alpha val="90000"/>
            <a:hueOff val="0"/>
            <a:satOff val="0"/>
            <a:lumOff val="0"/>
            <a:alphaOff val="0"/>
          </a:sysClr>
        </a:solidFill>
        <a:ln w="25400" cap="flat" cmpd="sng" algn="ctr">
          <a:solidFill>
            <a:srgbClr val="F07F09">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fr-FR" sz="1100" kern="1200" dirty="0">
              <a:solidFill>
                <a:sysClr val="windowText" lastClr="000000">
                  <a:hueOff val="0"/>
                  <a:satOff val="0"/>
                  <a:lumOff val="0"/>
                  <a:alphaOff val="0"/>
                </a:sysClr>
              </a:solidFill>
              <a:latin typeface="Century Gothic"/>
              <a:ea typeface="+mn-ea"/>
              <a:cs typeface="+mn-cs"/>
            </a:rPr>
            <a:t>Formation, conseil, alerte des acteurs de l’organisation sur le SI y compris les risques encourus</a:t>
          </a:r>
        </a:p>
      </dsp:txBody>
      <dsp:txXfrm rot="-5400000">
        <a:off x="840105" y="38936"/>
        <a:ext cx="4882534" cy="703935"/>
      </dsp:txXfrm>
    </dsp:sp>
    <dsp:sp modelId="{4B053BE0-C3A7-458A-87B8-B53EE03CF5E5}">
      <dsp:nvSpPr>
        <dsp:cNvPr id="0" name=""/>
        <dsp:cNvSpPr/>
      </dsp:nvSpPr>
      <dsp:spPr>
        <a:xfrm rot="5400000">
          <a:off x="-180022" y="1180147"/>
          <a:ext cx="1200150" cy="840105"/>
        </a:xfrm>
        <a:prstGeom prst="chevron">
          <a:avLst/>
        </a:prstGeom>
        <a:solidFill>
          <a:srgbClr val="F07F09">
            <a:hueOff val="0"/>
            <a:satOff val="0"/>
            <a:lumOff val="0"/>
            <a:alphaOff val="0"/>
          </a:srgbClr>
        </a:solidFill>
        <a:ln w="25400" cap="flat" cmpd="sng" algn="ctr">
          <a:solidFill>
            <a:srgbClr val="F07F09">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fr-FR" sz="1400" kern="1200" dirty="0">
              <a:solidFill>
                <a:sysClr val="window" lastClr="FFFFFF"/>
              </a:solidFill>
              <a:latin typeface="Century Gothic"/>
              <a:ea typeface="+mn-ea"/>
              <a:cs typeface="+mn-cs"/>
            </a:rPr>
            <a:t>contrôler</a:t>
          </a:r>
        </a:p>
      </dsp:txBody>
      <dsp:txXfrm rot="-5400000">
        <a:off x="1" y="1420178"/>
        <a:ext cx="840105" cy="360045"/>
      </dsp:txXfrm>
    </dsp:sp>
    <dsp:sp modelId="{3266535D-596F-4FB8-96C8-F25629D0051F}">
      <dsp:nvSpPr>
        <dsp:cNvPr id="0" name=""/>
        <dsp:cNvSpPr/>
      </dsp:nvSpPr>
      <dsp:spPr>
        <a:xfrm rot="5400000">
          <a:off x="2910363" y="-1070133"/>
          <a:ext cx="780097" cy="4920615"/>
        </a:xfrm>
        <a:prstGeom prst="round2SameRect">
          <a:avLst/>
        </a:prstGeom>
        <a:solidFill>
          <a:sysClr val="window" lastClr="FFFFFF">
            <a:alpha val="90000"/>
            <a:hueOff val="0"/>
            <a:satOff val="0"/>
            <a:lumOff val="0"/>
            <a:alphaOff val="0"/>
          </a:sysClr>
        </a:solidFill>
        <a:ln w="25400" cap="flat" cmpd="sng" algn="ctr">
          <a:solidFill>
            <a:srgbClr val="F07F09">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fr-FR" sz="1100" kern="1200" dirty="0">
              <a:solidFill>
                <a:sysClr val="windowText" lastClr="000000">
                  <a:hueOff val="0"/>
                  <a:satOff val="0"/>
                  <a:lumOff val="0"/>
                  <a:alphaOff val="0"/>
                </a:sysClr>
              </a:solidFill>
              <a:latin typeface="Century Gothic"/>
              <a:ea typeface="+mn-ea"/>
              <a:cs typeface="+mn-cs"/>
            </a:rPr>
            <a:t>Paramétrage des logs ; procédure de mise à jour des applicatifs, vérification du bon déroulement de l’activité sur le réseau informatique pour détecter les dysfonctionnements et anticiper les risques.</a:t>
          </a:r>
        </a:p>
      </dsp:txBody>
      <dsp:txXfrm rot="-5400000">
        <a:off x="840105" y="1038206"/>
        <a:ext cx="4882534" cy="703935"/>
      </dsp:txXfrm>
    </dsp:sp>
    <dsp:sp modelId="{D6F1D081-D8CF-4BEC-8C0A-AD965CD515DE}">
      <dsp:nvSpPr>
        <dsp:cNvPr id="0" name=""/>
        <dsp:cNvSpPr/>
      </dsp:nvSpPr>
      <dsp:spPr>
        <a:xfrm rot="5400000">
          <a:off x="-180022" y="2179417"/>
          <a:ext cx="1200150" cy="840105"/>
        </a:xfrm>
        <a:prstGeom prst="chevron">
          <a:avLst/>
        </a:prstGeom>
        <a:solidFill>
          <a:srgbClr val="F07F09">
            <a:hueOff val="0"/>
            <a:satOff val="0"/>
            <a:lumOff val="0"/>
            <a:alphaOff val="0"/>
          </a:srgbClr>
        </a:solidFill>
        <a:ln w="25400" cap="flat" cmpd="sng" algn="ctr">
          <a:solidFill>
            <a:srgbClr val="F07F09">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fr-FR" sz="1400" kern="1200" dirty="0">
              <a:solidFill>
                <a:sysClr val="window" lastClr="FFFFFF"/>
              </a:solidFill>
              <a:latin typeface="Century Gothic"/>
              <a:ea typeface="+mn-ea"/>
              <a:cs typeface="+mn-cs"/>
            </a:rPr>
            <a:t>Agir</a:t>
          </a:r>
        </a:p>
      </dsp:txBody>
      <dsp:txXfrm rot="-5400000">
        <a:off x="1" y="2419448"/>
        <a:ext cx="840105" cy="360045"/>
      </dsp:txXfrm>
    </dsp:sp>
    <dsp:sp modelId="{871BD6A8-197F-4EB6-806A-5F3806CC8FDF}">
      <dsp:nvSpPr>
        <dsp:cNvPr id="0" name=""/>
        <dsp:cNvSpPr/>
      </dsp:nvSpPr>
      <dsp:spPr>
        <a:xfrm rot="5400000">
          <a:off x="2910363" y="-126125"/>
          <a:ext cx="780097" cy="4920615"/>
        </a:xfrm>
        <a:prstGeom prst="round2SameRect">
          <a:avLst/>
        </a:prstGeom>
        <a:solidFill>
          <a:sysClr val="window" lastClr="FFFFFF">
            <a:alpha val="90000"/>
            <a:hueOff val="0"/>
            <a:satOff val="0"/>
            <a:lumOff val="0"/>
            <a:alphaOff val="0"/>
          </a:sysClr>
        </a:solidFill>
        <a:ln w="25400" cap="flat" cmpd="sng" algn="ctr">
          <a:solidFill>
            <a:srgbClr val="F07F09">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fr-FR" sz="1100" kern="1200" dirty="0">
              <a:solidFill>
                <a:sysClr val="windowText" lastClr="000000">
                  <a:hueOff val="0"/>
                  <a:satOff val="0"/>
                  <a:lumOff val="0"/>
                  <a:alphaOff val="0"/>
                </a:sysClr>
              </a:solidFill>
              <a:latin typeface="Century Gothic"/>
              <a:ea typeface="+mn-ea"/>
              <a:cs typeface="+mn-cs"/>
            </a:rPr>
            <a:t>Sécurisation du système d’information </a:t>
          </a:r>
        </a:p>
        <a:p>
          <a:pPr marL="57150" lvl="1" indent="-57150" algn="l" defTabSz="488950">
            <a:lnSpc>
              <a:spcPct val="90000"/>
            </a:lnSpc>
            <a:spcBef>
              <a:spcPct val="0"/>
            </a:spcBef>
            <a:spcAft>
              <a:spcPct val="15000"/>
            </a:spcAft>
            <a:buChar char="•"/>
          </a:pPr>
          <a:r>
            <a:rPr lang="fr-FR" sz="1100" kern="1200" dirty="0">
              <a:solidFill>
                <a:sysClr val="windowText" lastClr="000000">
                  <a:hueOff val="0"/>
                  <a:satOff val="0"/>
                  <a:lumOff val="0"/>
                  <a:alphaOff val="0"/>
                </a:sysClr>
              </a:solidFill>
              <a:latin typeface="Century Gothic"/>
              <a:ea typeface="+mn-ea"/>
              <a:cs typeface="+mn-cs"/>
            </a:rPr>
            <a:t>Mise en œuvre de mesures pour prévenir les intrusions, dans le système et empêcher l’introduction de programmes malveillants..</a:t>
          </a:r>
        </a:p>
        <a:p>
          <a:pPr marL="57150" lvl="1" indent="-57150" algn="l" defTabSz="488950">
            <a:lnSpc>
              <a:spcPct val="90000"/>
            </a:lnSpc>
            <a:spcBef>
              <a:spcPct val="0"/>
            </a:spcBef>
            <a:spcAft>
              <a:spcPct val="15000"/>
            </a:spcAft>
            <a:buChar char="•"/>
          </a:pPr>
          <a:r>
            <a:rPr lang="fr-FR" sz="1100" kern="1200" dirty="0">
              <a:solidFill>
                <a:sysClr val="windowText" lastClr="000000">
                  <a:hueOff val="0"/>
                  <a:satOff val="0"/>
                  <a:lumOff val="0"/>
                  <a:alphaOff val="0"/>
                </a:sysClr>
              </a:solidFill>
              <a:latin typeface="Century Gothic"/>
              <a:ea typeface="+mn-ea"/>
              <a:cs typeface="+mn-cs"/>
            </a:rPr>
            <a:t> Pratiquer une veille technique</a:t>
          </a:r>
        </a:p>
      </dsp:txBody>
      <dsp:txXfrm rot="-5400000">
        <a:off x="840105" y="1982214"/>
        <a:ext cx="4882534" cy="703935"/>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951</Words>
  <Characters>5233</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marie-agnès VINOLO</dc:creator>
  <cp:keywords/>
  <dc:description/>
  <cp:lastModifiedBy>marie-agnès VINOLO</cp:lastModifiedBy>
  <cp:revision>1</cp:revision>
  <dcterms:created xsi:type="dcterms:W3CDTF">2021-06-30T07:26:00Z</dcterms:created>
  <dcterms:modified xsi:type="dcterms:W3CDTF">2021-06-30T08:00:00Z</dcterms:modified>
</cp:coreProperties>
</file>