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80"/>
        <w:jc w:val="center"/>
      </w:pPr>
      <w:r>
        <w:rPr>
          <w:rFonts w:ascii="Calibri" w:hAnsi="Calibri" w:eastAsia="微软雅黑"/>
          <w:b/>
          <w:color w:val="286DA8"/>
          <w:sz w:val="32"/>
        </w:rPr>
        <w:t>东软教育科技集团</w:t>
      </w:r>
    </w:p>
    <w:p>
      <w:pPr>
        <w:spacing w:before="960" w:after="240"/>
        <w:jc w:val="center"/>
      </w:pPr>
      <w:r>
        <w:rPr>
          <w:rFonts w:ascii="Calibri" w:hAnsi="Calibri" w:eastAsia="黑体"/>
          <w:b/>
          <w:color w:val="17365D"/>
          <w:sz w:val="50"/>
        </w:rPr>
        <w:t>概要设计说明书</w:t>
      </w:r>
    </w:p>
    <w:p>
      <w:pPr>
        <w:jc w:val="center"/>
      </w:pPr>
      <w:r>
        <w:rPr>
          <w:rFonts w:ascii="Calibri" w:hAnsi="Calibri" w:eastAsia="微软雅黑"/>
          <w:b w:val="0"/>
          <w:color w:val="5E6B78"/>
          <w:sz w:val="26"/>
        </w:rPr>
        <w:t>第一、二阶段统一设计 · V1.0</w:t>
      </w:r>
    </w:p>
    <w:p>
      <w:pPr>
        <w:spacing w:after="1040"/>
      </w:pPr>
    </w:p>
    <w:tbl>
      <w:tblPr>
        <w:tblStyle w:val="TableGrid"/>
        <w:tblW w:type="dxa" w:w="8731"/>
        <w:tblLayout w:type="fixed"/>
        <w:tblLook w:firstColumn="1" w:firstRow="1" w:lastColumn="0" w:lastRow="0" w:noHBand="0" w:noVBand="1" w:val="04A0"/>
        <w:tblInd w:w="120" w:type="dxa"/>
      </w:tblPr>
      <w:tblGrid>
        <w:gridCol w:w="2268"/>
        <w:gridCol w:w="6463"/>
      </w:tblGrid>
      <w:tr>
        <w:tc>
          <w:tcPr>
            <w:tcW w:type="dxa" w:w="226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7365D"/>
                <w:sz w:val="22"/>
              </w:rPr>
              <w:t>项目名称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22"/>
              </w:rPr>
              <w:t>东软电动汽车充电桩应用管理平台</w:t>
            </w:r>
          </w:p>
        </w:tc>
      </w:tr>
      <w:tr>
        <w:tc>
          <w:tcPr>
            <w:tcW w:type="dxa" w:w="226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7365D"/>
                <w:sz w:val="22"/>
              </w:rPr>
              <w:t>学校名称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22"/>
              </w:rPr>
              <w:t>北京理工大学</w:t>
            </w:r>
          </w:p>
        </w:tc>
      </w:tr>
      <w:tr>
        <w:tc>
          <w:tcPr>
            <w:tcW w:type="dxa" w:w="226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7365D"/>
                <w:sz w:val="22"/>
              </w:rPr>
              <w:t>项目讲师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22"/>
              </w:rPr>
              <w:t>【待填写】</w:t>
            </w:r>
          </w:p>
        </w:tc>
      </w:tr>
      <w:tr>
        <w:tc>
          <w:tcPr>
            <w:tcW w:type="dxa" w:w="226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7365D"/>
                <w:sz w:val="22"/>
              </w:rPr>
              <w:t>组别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22"/>
              </w:rPr>
              <w:t>第X组</w:t>
            </w:r>
          </w:p>
        </w:tc>
      </w:tr>
      <w:tr>
        <w:tc>
          <w:tcPr>
            <w:tcW w:type="dxa" w:w="226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7365D"/>
                <w:sz w:val="22"/>
              </w:rPr>
              <w:t>姓名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22"/>
              </w:rPr>
              <w:t>【待填写姓名】</w:t>
            </w:r>
          </w:p>
        </w:tc>
      </w:tr>
      <w:tr>
        <w:tc>
          <w:tcPr>
            <w:tcW w:type="dxa" w:w="226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7365D"/>
                <w:sz w:val="22"/>
              </w:rPr>
              <w:t>学号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22"/>
              </w:rPr>
              <w:t>【待填写学号】</w:t>
            </w:r>
          </w:p>
        </w:tc>
      </w:tr>
      <w:tr>
        <w:tc>
          <w:tcPr>
            <w:tcW w:type="dxa" w:w="226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黑体"/>
                <w:b/>
                <w:color w:val="17365D"/>
                <w:sz w:val="22"/>
              </w:rPr>
              <w:t>实训日期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22"/>
              </w:rPr>
              <w:t>2026年8月25日-9月3日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1 文档概述</w:t>
      </w:r>
    </w:p>
    <w:p>
      <w:pPr>
        <w:pStyle w:val="Heading2"/>
      </w:pPr>
      <w:r>
        <w:t>1.1 文档目的和范围</w:t>
      </w:r>
    </w:p>
    <w:p>
      <w:pPr>
        <w:jc w:val="both"/>
      </w:pPr>
      <w:r>
        <w:rPr>
          <w:rFonts w:ascii="Calibri" w:hAnsi="Calibri" w:eastAsia="宋体"/>
          <w:b w:val="0"/>
          <w:color w:val="1C2733"/>
          <w:sz w:val="24"/>
        </w:rPr>
        <w:t>本文档给出东软电动汽车充电桩应用管理平台的总体技术方案、模块边界、数据库结构、通信接口、异常处理和部署方式。设计覆盖第一阶段的 Qt 用户端、Qt 管理服务器、SQLite 数据库、TCP 通信与多线程结构，也覆盖第二阶段的数据聚合、充电负荷预测和 ECharts 可视化大屏。本文档作为编码、联调、测试、答辩和后续维护的共同依据。</w:t>
      </w:r>
    </w:p>
    <w:p>
      <w:pPr>
        <w:pStyle w:val="Heading2"/>
      </w:pPr>
      <w:r>
        <w:t>1.2 设计目标</w:t>
      </w:r>
    </w:p>
    <w:p>
      <w:pPr>
        <w:pStyle w:val="ListBullet"/>
        <w:spacing w:after="80"/>
        <w:ind w:left="420" w:hanging="210"/>
      </w:pPr>
      <w:r>
        <w:rPr>
          <w:rFonts w:ascii="Calibri" w:hAnsi="Calibri" w:eastAsia="宋体"/>
          <w:b w:val="0"/>
          <w:color w:val="1C2733"/>
          <w:sz w:val="24"/>
        </w:rPr>
        <w:t>形成用户查询、选桩、充电、结算到运营管理的业务闭环。</w:t>
      </w:r>
    </w:p>
    <w:p>
      <w:pPr>
        <w:pStyle w:val="ListBullet"/>
        <w:spacing w:after="80"/>
        <w:ind w:left="420" w:hanging="210"/>
      </w:pPr>
      <w:r>
        <w:rPr>
          <w:rFonts w:ascii="Calibri" w:hAnsi="Calibri" w:eastAsia="宋体"/>
          <w:b w:val="0"/>
          <w:color w:val="1C2733"/>
          <w:sz w:val="24"/>
        </w:rPr>
        <w:t>采用分层和模块化结构，使 UI、业务逻辑、数据访问和网络通信职责清晰。</w:t>
      </w:r>
    </w:p>
    <w:p>
      <w:pPr>
        <w:pStyle w:val="ListBullet"/>
        <w:spacing w:after="80"/>
        <w:ind w:left="420" w:hanging="210"/>
      </w:pPr>
      <w:r>
        <w:rPr>
          <w:rFonts w:ascii="Calibri" w:hAnsi="Calibri" w:eastAsia="宋体"/>
          <w:b w:val="0"/>
          <w:color w:val="1C2733"/>
          <w:sz w:val="24"/>
        </w:rPr>
        <w:t>通过数据库事务、参数绑定、输入校验和统一错误响应保证数据一致性与安全性。</w:t>
      </w:r>
    </w:p>
    <w:p>
      <w:pPr>
        <w:pStyle w:val="ListBullet"/>
        <w:spacing w:after="80"/>
        <w:ind w:left="420" w:hanging="210"/>
      </w:pPr>
      <w:r>
        <w:rPr>
          <w:rFonts w:ascii="Calibri" w:hAnsi="Calibri" w:eastAsia="宋体"/>
          <w:b w:val="0"/>
          <w:color w:val="1C2733"/>
          <w:sz w:val="24"/>
        </w:rPr>
        <w:t>通过独立网络工作线程避免阻塞管理端界面，并支持多个客户端连接。</w:t>
      </w:r>
    </w:p>
    <w:p>
      <w:pPr>
        <w:pStyle w:val="ListBullet"/>
        <w:spacing w:after="80"/>
        <w:ind w:left="420" w:hanging="210"/>
      </w:pPr>
      <w:r>
        <w:rPr>
          <w:rFonts w:ascii="Calibri" w:hAnsi="Calibri" w:eastAsia="宋体"/>
          <w:b w:val="0"/>
          <w:color w:val="1C2733"/>
          <w:sz w:val="24"/>
        </w:rPr>
        <w:t>以同一 SQLite 数据库为数据源完成 24 小时负荷预测和运营大屏展示。</w:t>
      </w:r>
    </w:p>
    <w:p>
      <w:pPr>
        <w:pStyle w:val="Heading2"/>
      </w:pPr>
      <w:r>
        <w:t>1.3 术语和缩略语</w:t>
      </w:r>
    </w:p>
    <w:p>
      <w:pPr>
        <w:pStyle w:val="CaptionText"/>
      </w:pPr>
      <w:r>
        <w:t>表 1-1 术语说明</w:t>
      </w:r>
    </w:p>
    <w:tbl>
      <w:tblPr>
        <w:tblStyle w:val="TableGrid"/>
        <w:tblW w:type="dxa" w:w="873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14"/>
        <w:gridCol w:w="6917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6917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Qt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跨平台 C++ 应用开发框架，本项目使用 Widgets、Network、Sql、Charts 模块。</w:t>
            </w:r>
          </w:p>
        </w:tc>
      </w:tr>
      <w:tr>
        <w:tc>
          <w:tcPr>
            <w:tcW w:type="dxa" w:w="1814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SQLite</w:t>
            </w:r>
          </w:p>
        </w:tc>
        <w:tc>
          <w:tcPr>
            <w:tcW w:type="dxa" w:w="6917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嵌入式关系数据库，数据保存在单个 .db 文件中。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TCP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可靠的面向连接传输协议，用于用户端与管理服务器通信。</w:t>
            </w:r>
          </w:p>
        </w:tc>
      </w:tr>
      <w:tr>
        <w:tc>
          <w:tcPr>
            <w:tcW w:type="dxa" w:w="1814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JSON</w:t>
            </w:r>
          </w:p>
        </w:tc>
        <w:tc>
          <w:tcPr>
            <w:tcW w:type="dxa" w:w="6917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轻量级数据交换格式，本项目采用一行一个 JSON 对象的帧格式。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ECharts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Web 数据可视化库，用于第二阶段运营大屏。</w:t>
            </w:r>
          </w:p>
        </w:tc>
      </w:tr>
      <w:tr>
        <w:tc>
          <w:tcPr>
            <w:tcW w:type="dxa" w:w="1814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Ridge</w:t>
            </w:r>
          </w:p>
        </w:tc>
        <w:tc>
          <w:tcPr>
            <w:tcW w:type="dxa" w:w="6917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带 L2 正则项的线性回归，用于充电负荷预测。</w:t>
            </w:r>
          </w:p>
        </w:tc>
      </w:tr>
    </w:tbl>
    <w:p>
      <w:pPr>
        <w:spacing w:after="20"/>
      </w:pPr>
    </w:p>
    <w:p>
      <w:pPr>
        <w:pStyle w:val="Heading2"/>
      </w:pPr>
      <w:r>
        <w:t>1.4 参考资料</w:t>
      </w:r>
    </w:p>
    <w:p>
      <w:pPr>
        <w:pStyle w:val="CaptionText"/>
      </w:pPr>
      <w:r>
        <w:t>表 1-2 参考资料</w:t>
      </w:r>
    </w:p>
    <w:tbl>
      <w:tblPr>
        <w:tblStyle w:val="TableGrid"/>
        <w:tblW w:type="dxa" w:w="873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94"/>
        <w:gridCol w:w="4082"/>
        <w:gridCol w:w="3855"/>
      </w:tblGrid>
      <w:tr>
        <w:trPr>
          <w:tblHeader w:val="true"/>
        </w:trPr>
        <w:tc>
          <w:tcPr>
            <w:tcW w:type="dxa" w:w="79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4082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资料</w:t>
            </w:r>
          </w:p>
        </w:tc>
        <w:tc>
          <w:tcPr>
            <w:tcW w:type="dxa" w:w="3855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7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1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项目说明书-东软电动汽车充电桩应用管理平台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项目目标、功能和技术要求</w:t>
            </w:r>
          </w:p>
        </w:tc>
      </w:tr>
      <w:tr>
        <w:tc>
          <w:tcPr>
            <w:tcW w:type="dxa" w:w="794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2</w:t>
            </w:r>
          </w:p>
        </w:tc>
        <w:tc>
          <w:tcPr>
            <w:tcW w:type="dxa" w:w="4082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Linux 基础教学纲要（Qt 开发）</w:t>
            </w:r>
          </w:p>
        </w:tc>
        <w:tc>
          <w:tcPr>
            <w:tcW w:type="dxa" w:w="3855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环境搭建和编译运行要求</w:t>
            </w:r>
          </w:p>
        </w:tc>
      </w:tr>
      <w:tr>
        <w:tc>
          <w:tcPr>
            <w:tcW w:type="dxa" w:w="7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3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Qt SQLite 教学资料与 myqtsqlite 示例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数据库连接、建表和 CRUD</w:t>
            </w:r>
          </w:p>
        </w:tc>
      </w:tr>
      <w:tr>
        <w:tc>
          <w:tcPr>
            <w:tcW w:type="dxa" w:w="794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4</w:t>
            </w:r>
          </w:p>
        </w:tc>
        <w:tc>
          <w:tcPr>
            <w:tcW w:type="dxa" w:w="4082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myQtTcp 客户端/服务端示例</w:t>
            </w:r>
          </w:p>
        </w:tc>
        <w:tc>
          <w:tcPr>
            <w:tcW w:type="dxa" w:w="3855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QTcpServer、QTcpSocket 通信结构</w:t>
            </w:r>
          </w:p>
        </w:tc>
      </w:tr>
      <w:tr>
        <w:tc>
          <w:tcPr>
            <w:tcW w:type="dxa" w:w="7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5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编码规范及范例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目录、命名、注释、排版和函数约束</w:t>
            </w:r>
          </w:p>
        </w:tc>
      </w:tr>
    </w:tbl>
    <w:p>
      <w:pPr>
        <w:spacing w:after="20"/>
      </w:pPr>
    </w:p>
    <w:p>
      <w:pPr>
        <w:pStyle w:val="Heading1"/>
        <w:jc w:val="center"/>
      </w:pPr>
      <w:r>
        <w:t>2 系统总体结构</w:t>
      </w:r>
    </w:p>
    <w:p>
      <w:pPr>
        <w:jc w:val="both"/>
      </w:pPr>
      <w:r>
        <w:rPr>
          <w:rFonts w:ascii="Calibri" w:hAnsi="Calibri" w:eastAsia="宋体"/>
          <w:b w:val="0"/>
          <w:color w:val="1C2733"/>
          <w:sz w:val="24"/>
        </w:rPr>
        <w:t>系统采用“客户端—服务端—数据库—分析端”四层结构。Qt 用户端不直接访问数据库，所有业务操作均通过 TCP 请求交由服务端处理；服务端主线程负责 UI 与数据库事务，网络对象位于独立 QThread 事件循环；分析脚本只读业务数据库并输出大屏所需 JSON，Web 端用 ECharts 渲染图表。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44000" cy="2882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8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</w:pPr>
      <w:r>
        <w:t>图 2-1 系统分层结构</w:t>
      </w:r>
    </w:p>
    <w:p>
      <w:pPr>
        <w:pStyle w:val="CaptionText"/>
      </w:pPr>
      <w:r>
        <w:t>表 2-1 分层职责</w:t>
      </w:r>
    </w:p>
    <w:tbl>
      <w:tblPr>
        <w:tblStyle w:val="TableGrid"/>
        <w:tblW w:type="dxa" w:w="873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1"/>
        <w:gridCol w:w="3061"/>
        <w:gridCol w:w="3969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306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主要组件</w:t>
            </w:r>
          </w:p>
        </w:tc>
        <w:tc>
          <w:tcPr>
            <w:tcW w:type="dxa" w:w="3969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表现层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charging_client、charging_server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用户交互、表格/图表展示、表单校验</w:t>
            </w:r>
          </w:p>
        </w:tc>
      </w:tr>
      <w:tr>
        <w:tc>
          <w:tcPr>
            <w:tcW w:type="dxa" w:w="1701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通信层</w:t>
            </w:r>
          </w:p>
        </w:tc>
        <w:tc>
          <w:tcPr>
            <w:tcW w:type="dxa" w:w="3061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NetworkClient、TcpServerWorker</w:t>
            </w:r>
          </w:p>
        </w:tc>
        <w:tc>
          <w:tcPr>
            <w:tcW w:type="dxa" w:w="3969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连接维护、JSON 编解码、消息分帧、请求关联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业务与数据层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DatabaseManager、SQLite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认证、查询、订单事务、设备和用户状态管理</w:t>
            </w:r>
          </w:p>
        </w:tc>
      </w:tr>
      <w:tr>
        <w:tc>
          <w:tcPr>
            <w:tcW w:type="dxa" w:w="1701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分析层</w:t>
            </w:r>
          </w:p>
        </w:tc>
        <w:tc>
          <w:tcPr>
            <w:tcW w:type="dxa" w:w="3061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generate_dashboard.py、ECharts</w:t>
            </w:r>
          </w:p>
        </w:tc>
        <w:tc>
          <w:tcPr>
            <w:tcW w:type="dxa" w:w="3969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聚合指标、训练回归模型、预测负荷、可视化</w:t>
            </w:r>
          </w:p>
        </w:tc>
      </w:tr>
    </w:tbl>
    <w:p>
      <w:pPr>
        <w:spacing w:after="20"/>
      </w:pPr>
    </w:p>
    <w:p>
      <w:pPr>
        <w:pStyle w:val="Heading1"/>
        <w:jc w:val="center"/>
      </w:pPr>
      <w:r>
        <w:t>3 模块详细设计</w:t>
      </w:r>
    </w:p>
    <w:p>
      <w:pPr>
        <w:pStyle w:val="Heading2"/>
      </w:pPr>
      <w:r>
        <w:t>3.1 Qt 用户端</w:t>
      </w:r>
    </w:p>
    <w:p>
      <w:pPr>
        <w:jc w:val="both"/>
      </w:pPr>
      <w:r>
        <w:rPr>
          <w:rFonts w:ascii="Calibri" w:hAnsi="Calibri" w:eastAsia="宋体"/>
          <w:b w:val="0"/>
          <w:color w:val="1C2733"/>
          <w:sz w:val="24"/>
        </w:rPr>
        <w:t>用户端采用 MainWindow.ui 描述主要界面，包含登录页、附近电站、充电中心、订单和个人中心五个功能区。MainWindow 只负责界面状态和请求调度，NetworkClient 封装 QTcpSocket、缓冲区和 requestId。</w:t>
      </w:r>
    </w:p>
    <w:p>
      <w:pPr>
        <w:pStyle w:val="CaptionText"/>
      </w:pPr>
      <w:r>
        <w:t>表 3-1 用户端功能</w:t>
      </w:r>
    </w:p>
    <w:tbl>
      <w:tblPr>
        <w:tblStyle w:val="TableGrid"/>
        <w:tblW w:type="dxa" w:w="873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1"/>
        <w:gridCol w:w="1928"/>
        <w:gridCol w:w="3402"/>
        <w:gridCol w:w="1701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type="dxa" w:w="192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输入</w:t>
            </w:r>
          </w:p>
        </w:tc>
        <w:tc>
          <w:tcPr>
            <w:tcW w:type="dxa" w:w="3402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处理</w:t>
            </w:r>
          </w:p>
        </w:tc>
        <w:tc>
          <w:tcPr>
            <w:tcW w:type="dxa" w:w="170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输出/异常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手机号登录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11 位手机号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服务端查询；不存在则自动注册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用户资料；格式错误或冻结提示</w:t>
            </w:r>
          </w:p>
        </w:tc>
      </w:tr>
      <w:tr>
        <w:tc>
          <w:tcPr>
            <w:tcW w:type="dxa" w:w="1701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附近电站</w:t>
            </w:r>
          </w:p>
        </w:tc>
        <w:tc>
          <w:tcPr>
            <w:tcW w:type="dxa" w:w="1928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区域、模拟经纬度</w:t>
            </w:r>
          </w:p>
        </w:tc>
        <w:tc>
          <w:tcPr>
            <w:tcW w:type="dxa" w:w="3402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Haversine 距离计算并排序</w:t>
            </w:r>
          </w:p>
        </w:tc>
        <w:tc>
          <w:tcPr>
            <w:tcW w:type="dxa" w:w="1701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价格、空闲数、距离和地址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一键导航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当前坐标、目标电站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生成腾讯地图 URI，交由系统浏览器打开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路线规划页面</w:t>
            </w:r>
          </w:p>
        </w:tc>
      </w:tr>
      <w:tr>
        <w:tc>
          <w:tcPr>
            <w:tcW w:type="dxa" w:w="1701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充电结算</w:t>
            </w:r>
          </w:p>
        </w:tc>
        <w:tc>
          <w:tcPr>
            <w:tcW w:type="dxa" w:w="1928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用户、空闲电桩</w:t>
            </w:r>
          </w:p>
        </w:tc>
        <w:tc>
          <w:tcPr>
            <w:tcW w:type="dxa" w:w="3402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检查活动订单，创建/结束订单并扣费</w:t>
            </w:r>
          </w:p>
        </w:tc>
        <w:tc>
          <w:tcPr>
            <w:tcW w:type="dxa" w:w="1701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计时、电量、费用或余额不足提示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个人信息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昵称、头像路径、充值金额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参数校验后更新用户记录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更新后的资料和余额</w:t>
            </w:r>
          </w:p>
        </w:tc>
      </w:tr>
    </w:tbl>
    <w:p>
      <w:pPr>
        <w:spacing w:after="20"/>
      </w:pPr>
    </w:p>
    <w:p>
      <w:pPr>
        <w:pStyle w:val="Heading2"/>
      </w:pPr>
      <w:r>
        <w:t>3.2 Qt 管理服务器</w:t>
      </w:r>
    </w:p>
    <w:p>
      <w:pPr>
        <w:jc w:val="both"/>
      </w:pPr>
      <w:r>
        <w:rPr>
          <w:rFonts w:ascii="Calibri" w:hAnsi="Calibri" w:eastAsia="宋体"/>
          <w:b w:val="0"/>
          <w:color w:val="1C2733"/>
          <w:sz w:val="24"/>
        </w:rPr>
        <w:t>管理服务器提供管理员认证、运营总览、充电桩管理、电站管理、用户管理、订单查询和服务器日志。营收趋势由 QChart 折线图展示；表格数据均从 DatabaseManager 的统一请求接口获取。</w:t>
      </w:r>
    </w:p>
    <w:p>
      <w:pPr>
        <w:pStyle w:val="CaptionText"/>
      </w:pPr>
      <w:r>
        <w:t>表 3-2 管理端模块</w:t>
      </w:r>
    </w:p>
    <w:tbl>
      <w:tblPr>
        <w:tblStyle w:val="TableGrid"/>
        <w:tblW w:type="dxa" w:w="873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57"/>
        <w:gridCol w:w="4762"/>
        <w:gridCol w:w="2211"/>
      </w:tblGrid>
      <w:tr>
        <w:trPr>
          <w:tblHeader w:val="true"/>
        </w:trPr>
        <w:tc>
          <w:tcPr>
            <w:tcW w:type="dxa" w:w="1757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子模块</w:t>
            </w:r>
          </w:p>
        </w:tc>
        <w:tc>
          <w:tcPr>
            <w:tcW w:type="dxa" w:w="4762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核心职责</w:t>
            </w:r>
          </w:p>
        </w:tc>
        <w:tc>
          <w:tcPr>
            <w:tcW w:type="dxa" w:w="221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关键约束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运营总览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今日/本月/累计营收、订单数、设备状态、7 日趋势</w:t>
            </w:r>
          </w:p>
        </w:tc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刷新后与数据库一致</w:t>
            </w:r>
          </w:p>
        </w:tc>
      </w:tr>
      <w:tr>
        <w:tc>
          <w:tcPr>
            <w:tcW w:type="dxa" w:w="1757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电桩管理</w:t>
            </w:r>
          </w:p>
        </w:tc>
        <w:tc>
          <w:tcPr>
            <w:tcW w:type="dxa" w:w="4762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查看编号、站点、类型、功率、状态和累计使用；远程重启</w:t>
            </w:r>
          </w:p>
        </w:tc>
        <w:tc>
          <w:tcPr>
            <w:tcW w:type="dxa" w:w="2211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重启后恢复 idle 并记录时间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电站管理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新增站点及批量生成电桩；查看在线率和站内明细</w:t>
            </w:r>
          </w:p>
        </w:tc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新增操作使用事务</w:t>
            </w:r>
          </w:p>
        </w:tc>
      </w:tr>
      <w:tr>
        <w:tc>
          <w:tcPr>
            <w:tcW w:type="dxa" w:w="1757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用户管理</w:t>
            </w:r>
          </w:p>
        </w:tc>
        <w:tc>
          <w:tcPr>
            <w:tcW w:type="dxa" w:w="4762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按手机号/昵称搜索；冻结或解冻</w:t>
            </w:r>
          </w:p>
        </w:tc>
        <w:tc>
          <w:tcPr>
            <w:tcW w:type="dxa" w:w="2211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冻结用户禁止登录和开单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日志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记录连接、断开、请求和管理操作</w:t>
            </w:r>
          </w:p>
        </w:tc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显示时间戳，不记录口令</w:t>
            </w:r>
          </w:p>
        </w:tc>
      </w:tr>
    </w:tbl>
    <w:p>
      <w:pPr>
        <w:spacing w:after="20"/>
      </w:pPr>
    </w:p>
    <w:p>
      <w:pPr>
        <w:pStyle w:val="Heading2"/>
      </w:pPr>
      <w:r>
        <w:t>3.3 TCP 多线程通信</w:t>
      </w:r>
    </w:p>
    <w:p>
      <w:pPr>
        <w:jc w:val="both"/>
      </w:pPr>
      <w:r>
        <w:rPr>
          <w:rFonts w:ascii="Calibri" w:hAnsi="Calibri" w:eastAsia="宋体"/>
          <w:b w:val="0"/>
          <w:color w:val="1C2733"/>
          <w:sz w:val="24"/>
        </w:rPr>
        <w:t>TcpServerWorker 被 moveToThread 到独立 QThread。工作线程只维护 QTcpServer、QTcpSocket 和每个连接的接收缓冲区；解析后的 QJsonObject 通过 queued connection 发送到主线程，DatabaseManager 在主线程串行处理。这样既避免 GUI 卡顿，也避免跨线程复用同一 SQLite 连接。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44000" cy="3030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ging_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03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</w:pPr>
      <w:r>
        <w:t>图 3-1 开始充电请求时序</w:t>
      </w:r>
    </w:p>
    <w:p>
      <w:pPr>
        <w:jc w:val="both"/>
      </w:pPr>
      <w:r>
        <w:rPr>
          <w:rFonts w:ascii="Calibri" w:hAnsi="Calibri" w:eastAsia="宋体"/>
          <w:b w:val="0"/>
          <w:color w:val="1C2733"/>
          <w:sz w:val="24"/>
        </w:rPr>
        <w:t>消息采用 UTF-8 编码并以换行符分帧，解决 TCP 粘包与拆包问题。每个请求包含递增 requestId，响应原样带回该字段，用户端可将异步结果对应到具体操作。</w:t>
      </w:r>
    </w:p>
    <w:p>
      <w:pPr>
        <w:pStyle w:val="Heading2"/>
      </w:pPr>
      <w:r>
        <w:t>3.4 SQLite 数据模块</w:t>
      </w:r>
    </w:p>
    <w:p>
      <w:pPr>
        <w:jc w:val="both"/>
      </w:pPr>
      <w:r>
        <w:rPr>
          <w:rFonts w:ascii="Calibri" w:hAnsi="Calibri" w:eastAsia="宋体"/>
          <w:b w:val="0"/>
          <w:color w:val="1C2733"/>
          <w:sz w:val="24"/>
        </w:rPr>
        <w:t>DatabaseManager 在启动时创建具名连接，启用 foreign_keys 和 WAL 模式，随后创建表并在空库中写入演示数据。业务 SQL 统一采用 prepare、bindValue 和事务。服务端退出时关闭连接。</w:t>
      </w:r>
    </w:p>
    <w:p>
      <w:pPr>
        <w:pStyle w:val="CaptionText"/>
      </w:pPr>
      <w:r>
        <w:t>表 3-3 数据库表设计</w:t>
      </w:r>
    </w:p>
    <w:tbl>
      <w:tblPr>
        <w:tblStyle w:val="TableGrid"/>
        <w:tblW w:type="dxa" w:w="873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1"/>
        <w:gridCol w:w="3288"/>
        <w:gridCol w:w="3742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数据表</w:t>
            </w:r>
          </w:p>
        </w:tc>
        <w:tc>
          <w:tcPr>
            <w:tcW w:type="dxa" w:w="328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主键/外键</w:t>
            </w:r>
          </w:p>
        </w:tc>
        <w:tc>
          <w:tcPr>
            <w:tcW w:type="dxa" w:w="3742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admins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id；username 唯一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管理员认证</w:t>
            </w:r>
          </w:p>
        </w:tc>
      </w:tr>
      <w:tr>
        <w:tc>
          <w:tcPr>
            <w:tcW w:type="dxa" w:w="1701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users</w:t>
            </w:r>
          </w:p>
        </w:tc>
        <w:tc>
          <w:tcPr>
            <w:tcW w:type="dxa" w:w="3288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id；phone 唯一</w:t>
            </w:r>
          </w:p>
        </w:tc>
        <w:tc>
          <w:tcPr>
            <w:tcW w:type="dxa" w:w="3742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手机号、昵称、头像、余额、状态、注册时间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stations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id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站名、区域、地址、经纬度、电价</w:t>
            </w:r>
          </w:p>
        </w:tc>
      </w:tr>
      <w:tr>
        <w:tc>
          <w:tcPr>
            <w:tcW w:type="dxa" w:w="1701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chargers</w:t>
            </w:r>
          </w:p>
        </w:tc>
        <w:tc>
          <w:tcPr>
            <w:tcW w:type="dxa" w:w="3288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id；station_id→stations</w:t>
            </w:r>
          </w:p>
        </w:tc>
        <w:tc>
          <w:tcPr>
            <w:tcW w:type="dxa" w:w="3742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编号、类型、功率、状态、累计次数/分钟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orders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id；user_id→users；charger_id→chargers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充电开始/结束、时长、电量、费用、状态</w:t>
            </w:r>
          </w:p>
        </w:tc>
      </w:tr>
      <w:tr>
        <w:tc>
          <w:tcPr>
            <w:tcW w:type="dxa" w:w="1701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hourly_load</w:t>
            </w:r>
          </w:p>
        </w:tc>
        <w:tc>
          <w:tcPr>
            <w:tcW w:type="dxa" w:w="3288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id；station_id→stations</w:t>
            </w:r>
          </w:p>
        </w:tc>
        <w:tc>
          <w:tcPr>
            <w:tcW w:type="dxa" w:w="3742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时序负荷、空闲数、气温、节假日特征</w:t>
            </w:r>
          </w:p>
        </w:tc>
      </w:tr>
    </w:tbl>
    <w:p>
      <w:pPr>
        <w:spacing w:after="20"/>
      </w:pPr>
    </w:p>
    <w:p>
      <w:pPr>
        <w:pStyle w:val="Heading2"/>
      </w:pPr>
      <w:r>
        <w:t>3.5 大数据与预测模块</w:t>
      </w:r>
    </w:p>
    <w:p>
      <w:pPr>
        <w:jc w:val="both"/>
      </w:pPr>
      <w:r>
        <w:rPr>
          <w:rFonts w:ascii="Calibri" w:hAnsi="Calibri" w:eastAsia="宋体"/>
          <w:b w:val="0"/>
          <w:color w:val="1C2733"/>
          <w:sz w:val="24"/>
        </w:rPr>
        <w:t>generate_dashboard.py 从 hourly_load 构造小时周期、星期周期、周末、站点和时间趋势特征，采用带正则项的线性回归训练权重，预测未来 24 小时各站负荷并聚合。脚本同时统计近 30 日营收、电桩状态、站点平均负荷和在线率，将结果写入 dashboard/data.json。</w:t>
      </w:r>
    </w:p>
    <w:p>
      <w:pPr>
        <w:jc w:val="both"/>
      </w:pPr>
      <w:r>
        <w:rPr>
          <w:rFonts w:ascii="Calibri" w:hAnsi="Calibri" w:eastAsia="宋体"/>
          <w:b w:val="0"/>
          <w:color w:val="1C2733"/>
          <w:sz w:val="24"/>
        </w:rPr>
        <w:t>该模型不依赖第三方机器学习库，便于在课程 Ubuntu 环境复现。模型输出用于辅助低拥堵站点推荐、电力调度和运维值守；预测属于决策支持信息，不替代安全保护和电网调度指令。</w:t>
      </w:r>
    </w:p>
    <w:p>
      <w:pPr>
        <w:pStyle w:val="Heading1"/>
        <w:jc w:val="center"/>
      </w:pPr>
      <w:r>
        <w:t>4 接口说明</w:t>
      </w:r>
    </w:p>
    <w:p>
      <w:pPr>
        <w:pStyle w:val="Heading2"/>
      </w:pPr>
      <w:r>
        <w:t>4.1 通信数据结构</w:t>
      </w:r>
    </w:p>
    <w:p>
      <w:pPr>
        <w:jc w:val="both"/>
      </w:pPr>
      <w:r>
        <w:rPr>
          <w:rFonts w:ascii="Calibri" w:hAnsi="Calibri" w:eastAsia="宋体"/>
          <w:b w:val="0"/>
          <w:color w:val="1C2733"/>
          <w:sz w:val="24"/>
        </w:rPr>
        <w:t>请求和响应均为 JSON 对象。请求公共字段为 action 和 requestId；响应公共字段为 ok、message、data 和 requestId。data 可为对象或数组。典型请求如下：</w:t>
      </w:r>
    </w:p>
    <w:p>
      <w:pPr>
        <w:spacing w:before="100" w:after="160"/>
        <w:ind w:firstLine="0" w:left="454" w:right="454"/>
      </w:pPr>
      <w:r>
        <w:rPr>
          <w:rFonts w:ascii="Calibri" w:hAnsi="Calibri" w:eastAsia="Consolas"/>
          <w:b w:val="0"/>
          <w:color w:val="17365D"/>
          <w:sz w:val="20"/>
        </w:rPr>
        <w:t>{"action":"start_charging","requestId":12,"userId":1,"chargerId":3}</w:t>
      </w:r>
    </w:p>
    <w:p>
      <w:pPr>
        <w:pStyle w:val="CaptionText"/>
      </w:pPr>
      <w:r>
        <w:t>表 4-1 主要 TCP 接口</w:t>
      </w:r>
    </w:p>
    <w:tbl>
      <w:tblPr>
        <w:tblStyle w:val="TableGrid"/>
        <w:tblW w:type="dxa" w:w="873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68"/>
        <w:gridCol w:w="3288"/>
        <w:gridCol w:w="3175"/>
      </w:tblGrid>
      <w:tr>
        <w:trPr>
          <w:tblHeader w:val="true"/>
        </w:trPr>
        <w:tc>
          <w:tcPr>
            <w:tcW w:type="dxa" w:w="226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28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主要参数</w:t>
            </w:r>
          </w:p>
        </w:tc>
        <w:tc>
          <w:tcPr>
            <w:tcW w:type="dxa" w:w="3175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data 返回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login_user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phone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用户资料</w:t>
            </w:r>
          </w:p>
        </w:tc>
      </w:tr>
      <w:tr>
        <w:tc>
          <w:tcPr>
            <w:tcW w:type="dxa" w:w="2268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list_stations</w:t>
            </w:r>
          </w:p>
        </w:tc>
        <w:tc>
          <w:tcPr>
            <w:tcW w:type="dxa" w:w="3288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area、latitude、longitude</w:t>
            </w:r>
          </w:p>
        </w:tc>
        <w:tc>
          <w:tcPr>
            <w:tcW w:type="dxa" w:w="3175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按距离排序的站点数组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station_detail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stationId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站内电桩数组</w:t>
            </w:r>
          </w:p>
        </w:tc>
      </w:tr>
      <w:tr>
        <w:tc>
          <w:tcPr>
            <w:tcW w:type="dxa" w:w="2268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start_charging</w:t>
            </w:r>
          </w:p>
        </w:tc>
        <w:tc>
          <w:tcPr>
            <w:tcW w:type="dxa" w:w="3288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userId、chargerId</w:t>
            </w:r>
          </w:p>
        </w:tc>
        <w:tc>
          <w:tcPr>
            <w:tcW w:type="dxa" w:w="3175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orderId、startedAt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stop_charging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orderId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minutes、energy、fee</w:t>
            </w:r>
          </w:p>
        </w:tc>
      </w:tr>
      <w:tr>
        <w:tc>
          <w:tcPr>
            <w:tcW w:type="dxa" w:w="2268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profile / update_profile / recharge</w:t>
            </w:r>
          </w:p>
        </w:tc>
        <w:tc>
          <w:tcPr>
            <w:tcW w:type="dxa" w:w="3288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userId 及资料或金额</w:t>
            </w:r>
          </w:p>
        </w:tc>
        <w:tc>
          <w:tcPr>
            <w:tcW w:type="dxa" w:w="3175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最新用户资料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dashboard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无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指标、设备状态、营收趋势</w:t>
            </w:r>
          </w:p>
        </w:tc>
      </w:tr>
      <w:tr>
        <w:tc>
          <w:tcPr>
            <w:tcW w:type="dxa" w:w="2268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admin_*</w:t>
            </w:r>
          </w:p>
        </w:tc>
        <w:tc>
          <w:tcPr>
            <w:tcW w:type="dxa" w:w="3288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站点/用户/电桩筛选参数</w:t>
            </w:r>
          </w:p>
        </w:tc>
        <w:tc>
          <w:tcPr>
            <w:tcW w:type="dxa" w:w="3175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管理列表或操作结果</w:t>
            </w:r>
          </w:p>
        </w:tc>
      </w:tr>
    </w:tbl>
    <w:p>
      <w:pPr>
        <w:spacing w:after="20"/>
      </w:pPr>
    </w:p>
    <w:p>
      <w:pPr>
        <w:pStyle w:val="Heading2"/>
      </w:pPr>
      <w:r>
        <w:t>4.2 主要类接口</w:t>
      </w:r>
    </w:p>
    <w:p>
      <w:pPr>
        <w:pStyle w:val="CaptionText"/>
      </w:pPr>
      <w:r>
        <w:t>表 4-2 核心接口</w:t>
      </w:r>
    </w:p>
    <w:tbl>
      <w:tblPr>
        <w:tblStyle w:val="TableGrid"/>
        <w:tblW w:type="dxa" w:w="873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21"/>
        <w:gridCol w:w="2268"/>
        <w:gridCol w:w="1531"/>
        <w:gridCol w:w="2211"/>
      </w:tblGrid>
      <w:tr>
        <w:trPr>
          <w:tblHeader w:val="true"/>
        </w:trPr>
        <w:tc>
          <w:tcPr>
            <w:tcW w:type="dxa" w:w="272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类/函数</w:t>
            </w:r>
          </w:p>
        </w:tc>
        <w:tc>
          <w:tcPr>
            <w:tcW w:type="dxa" w:w="226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153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返回/信号</w:t>
            </w:r>
          </w:p>
        </w:tc>
        <w:tc>
          <w:tcPr>
            <w:tcW w:type="dxa" w:w="221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DatabaseManager::open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无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bool</w:t>
            </w:r>
          </w:p>
        </w:tc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打开数据库、建表并填充演示数据</w:t>
            </w:r>
          </w:p>
        </w:tc>
      </w:tr>
      <w:tr>
        <w:tc>
          <w:tcPr>
            <w:tcW w:type="dxa" w:w="2721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DatabaseManager::handleRequest</w:t>
            </w:r>
          </w:p>
        </w:tc>
        <w:tc>
          <w:tcPr>
            <w:tcW w:type="dxa" w:w="2268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QJsonObject</w:t>
            </w:r>
          </w:p>
        </w:tc>
        <w:tc>
          <w:tcPr>
            <w:tcW w:type="dxa" w:w="1531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QJsonObject</w:t>
            </w:r>
          </w:p>
        </w:tc>
        <w:tc>
          <w:tcPr>
            <w:tcW w:type="dxa" w:w="2211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统一业务路由入口</w:t>
            </w:r>
          </w:p>
        </w:tc>
      </w:tr>
      <w:tr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NetworkClient::sendRequest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action、payload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requestId</w:t>
            </w:r>
          </w:p>
        </w:tc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序列化并发送请求</w:t>
            </w:r>
          </w:p>
        </w:tc>
      </w:tr>
      <w:tr>
        <w:tc>
          <w:tcPr>
            <w:tcW w:type="dxa" w:w="2721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TcpServerWorker::requestReceived</w:t>
            </w:r>
          </w:p>
        </w:tc>
        <w:tc>
          <w:tcPr>
            <w:tcW w:type="dxa" w:w="2268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clientId、request</w:t>
            </w:r>
          </w:p>
        </w:tc>
        <w:tc>
          <w:tcPr>
            <w:tcW w:type="dxa" w:w="1531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信号</w:t>
            </w:r>
          </w:p>
        </w:tc>
        <w:tc>
          <w:tcPr>
            <w:tcW w:type="dxa" w:w="2211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工作线程向主线程交付请求</w:t>
            </w:r>
          </w:p>
        </w:tc>
      </w:tr>
      <w:tr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TcpServerWorker::sendResponse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clientId、response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void</w:t>
            </w:r>
          </w:p>
        </w:tc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将响应写回指定套接字</w:t>
            </w:r>
          </w:p>
        </w:tc>
      </w:tr>
      <w:tr>
        <w:tc>
          <w:tcPr>
            <w:tcW w:type="dxa" w:w="2721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generate_dashboard.build_dashboard_data</w:t>
            </w:r>
          </w:p>
        </w:tc>
        <w:tc>
          <w:tcPr>
            <w:tcW w:type="dxa" w:w="2268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sqlite3.Connection</w:t>
            </w:r>
          </w:p>
        </w:tc>
        <w:tc>
          <w:tcPr>
            <w:tcW w:type="dxa" w:w="1531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dict</w:t>
            </w:r>
          </w:p>
        </w:tc>
        <w:tc>
          <w:tcPr>
            <w:tcW w:type="dxa" w:w="2211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聚合数据并生成预测</w:t>
            </w:r>
          </w:p>
        </w:tc>
      </w:tr>
    </w:tbl>
    <w:p>
      <w:pPr>
        <w:spacing w:after="20"/>
      </w:pPr>
    </w:p>
    <w:p>
      <w:pPr>
        <w:pStyle w:val="Heading1"/>
        <w:jc w:val="center"/>
      </w:pPr>
      <w:r>
        <w:t>5 关键业务流程与一致性</w:t>
      </w:r>
    </w:p>
    <w:p>
      <w:pPr>
        <w:pStyle w:val="Heading2"/>
      </w:pPr>
      <w:r>
        <w:t>5.1 开始充电</w:t>
      </w:r>
    </w:p>
    <w:p>
      <w:pPr>
        <w:pStyle w:val="ListNumber"/>
        <w:spacing w:after="80"/>
        <w:ind w:left="420" w:hanging="210"/>
      </w:pPr>
      <w:r>
        <w:rPr>
          <w:rFonts w:ascii="Calibri" w:hAnsi="Calibri" w:eastAsia="宋体"/>
          <w:b w:val="0"/>
          <w:color w:val="1C2733"/>
          <w:sz w:val="24"/>
        </w:rPr>
        <w:t>校验用户和电桩标识，确认用户状态为 normal。</w:t>
      </w:r>
    </w:p>
    <w:p>
      <w:pPr>
        <w:pStyle w:val="ListNumber"/>
        <w:spacing w:after="80"/>
        <w:ind w:left="420" w:hanging="210"/>
      </w:pPr>
      <w:r>
        <w:rPr>
          <w:rFonts w:ascii="Calibri" w:hAnsi="Calibri" w:eastAsia="宋体"/>
          <w:b w:val="0"/>
          <w:color w:val="1C2733"/>
          <w:sz w:val="24"/>
        </w:rPr>
        <w:t>查询用户是否存在 status=charging 的订单；存在则拒绝重复开单。</w:t>
      </w:r>
    </w:p>
    <w:p>
      <w:pPr>
        <w:pStyle w:val="ListNumber"/>
        <w:spacing w:after="80"/>
        <w:ind w:left="420" w:hanging="210"/>
      </w:pPr>
      <w:r>
        <w:rPr>
          <w:rFonts w:ascii="Calibri" w:hAnsi="Calibri" w:eastAsia="宋体"/>
          <w:b w:val="0"/>
          <w:color w:val="1C2733"/>
          <w:sz w:val="24"/>
        </w:rPr>
        <w:t>确认电桩状态为 idle。</w:t>
      </w:r>
    </w:p>
    <w:p>
      <w:pPr>
        <w:pStyle w:val="ListNumber"/>
        <w:spacing w:after="80"/>
        <w:ind w:left="420" w:hanging="210"/>
      </w:pPr>
      <w:r>
        <w:rPr>
          <w:rFonts w:ascii="Calibri" w:hAnsi="Calibri" w:eastAsia="宋体"/>
          <w:b w:val="0"/>
          <w:color w:val="1C2733"/>
          <w:sz w:val="24"/>
        </w:rPr>
        <w:t>开启事务，插入 charging 订单并将电桩更新为 in_use。</w:t>
      </w:r>
    </w:p>
    <w:p>
      <w:pPr>
        <w:pStyle w:val="ListNumber"/>
        <w:spacing w:after="80"/>
        <w:ind w:left="420" w:hanging="210"/>
      </w:pPr>
      <w:r>
        <w:rPr>
          <w:rFonts w:ascii="Calibri" w:hAnsi="Calibri" w:eastAsia="宋体"/>
          <w:b w:val="0"/>
          <w:color w:val="1C2733"/>
          <w:sz w:val="24"/>
        </w:rPr>
        <w:t>两条语句均成功后提交；任一失败则回滚。</w:t>
      </w:r>
    </w:p>
    <w:p>
      <w:pPr>
        <w:pStyle w:val="Heading2"/>
      </w:pPr>
      <w:r>
        <w:t>5.2 结束充电和结算</w:t>
      </w:r>
    </w:p>
    <w:p>
      <w:pPr>
        <w:pStyle w:val="ListNumber"/>
        <w:spacing w:after="80"/>
        <w:ind w:left="420" w:hanging="210"/>
      </w:pPr>
      <w:r>
        <w:rPr>
          <w:rFonts w:ascii="Calibri" w:hAnsi="Calibri" w:eastAsia="宋体"/>
          <w:b w:val="0"/>
          <w:color w:val="1C2733"/>
          <w:sz w:val="24"/>
        </w:rPr>
        <w:t>联表读取订单、用户余额、电桩功率和站点电价。</w:t>
      </w:r>
    </w:p>
    <w:p>
      <w:pPr>
        <w:pStyle w:val="ListNumber"/>
        <w:spacing w:after="80"/>
        <w:ind w:left="420" w:hanging="210"/>
      </w:pPr>
      <w:r>
        <w:rPr>
          <w:rFonts w:ascii="Calibri" w:hAnsi="Calibri" w:eastAsia="宋体"/>
          <w:b w:val="0"/>
          <w:color w:val="1C2733"/>
          <w:sz w:val="24"/>
        </w:rPr>
        <w:t>根据实际经过分钟（至少 1 分钟）计算电量：功率×时间×0.85；费用为电量×电价。</w:t>
      </w:r>
    </w:p>
    <w:p>
      <w:pPr>
        <w:pStyle w:val="ListNumber"/>
        <w:spacing w:after="80"/>
        <w:ind w:left="420" w:hanging="210"/>
      </w:pPr>
      <w:r>
        <w:rPr>
          <w:rFonts w:ascii="Calibri" w:hAnsi="Calibri" w:eastAsia="宋体"/>
          <w:b w:val="0"/>
          <w:color w:val="1C2733"/>
          <w:sz w:val="24"/>
        </w:rPr>
        <w:t>余额不足时返回提示，订单和电桩状态保持不变，用户可先充值。</w:t>
      </w:r>
    </w:p>
    <w:p>
      <w:pPr>
        <w:pStyle w:val="ListNumber"/>
        <w:spacing w:after="80"/>
        <w:ind w:left="420" w:hanging="210"/>
      </w:pPr>
      <w:r>
        <w:rPr>
          <w:rFonts w:ascii="Calibri" w:hAnsi="Calibri" w:eastAsia="宋体"/>
          <w:b w:val="0"/>
          <w:color w:val="1C2733"/>
          <w:sz w:val="24"/>
        </w:rPr>
        <w:t>事务内完成订单、用户余额、电桩状态和累计统计更新。</w:t>
      </w:r>
    </w:p>
    <w:p>
      <w:pPr>
        <w:pStyle w:val="ListNumber"/>
        <w:spacing w:after="80"/>
        <w:ind w:left="420" w:hanging="210"/>
      </w:pPr>
      <w:r>
        <w:rPr>
          <w:rFonts w:ascii="Calibri" w:hAnsi="Calibri" w:eastAsia="宋体"/>
          <w:b w:val="0"/>
          <w:color w:val="1C2733"/>
          <w:sz w:val="24"/>
        </w:rPr>
        <w:t>响应返回时长、电量和费用，用户端刷新余额、订单和站点状态。</w:t>
      </w:r>
    </w:p>
    <w:p>
      <w:pPr>
        <w:pStyle w:val="Heading1"/>
        <w:jc w:val="center"/>
      </w:pPr>
      <w:r>
        <w:t>6 错误处理与安全设计</w:t>
      </w:r>
    </w:p>
    <w:p>
      <w:pPr>
        <w:pStyle w:val="CaptionText"/>
      </w:pPr>
      <w:r>
        <w:t>表 6-1 异常与控制措施</w:t>
      </w:r>
    </w:p>
    <w:tbl>
      <w:tblPr>
        <w:tblStyle w:val="TableGrid"/>
        <w:tblW w:type="dxa" w:w="873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51"/>
        <w:gridCol w:w="6180"/>
      </w:tblGrid>
      <w:tr>
        <w:trPr>
          <w:tblHeader w:val="true"/>
        </w:trPr>
        <w:tc>
          <w:tcPr>
            <w:tcW w:type="dxa" w:w="255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风险/异常</w:t>
            </w:r>
          </w:p>
        </w:tc>
        <w:tc>
          <w:tcPr>
            <w:tcW w:type="dxa" w:w="618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处理策略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数据库打不开/SQL 失败</w:t>
            </w:r>
          </w:p>
        </w:tc>
        <w:tc>
          <w:tcPr>
            <w:tcW w:type="dxa" w:w="61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保存 lastError，启动失败时明确提示；事务失败回滚。</w:t>
            </w:r>
          </w:p>
        </w:tc>
      </w:tr>
      <w:tr>
        <w:tc>
          <w:tcPr>
            <w:tcW w:type="dxa" w:w="2551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手机号、昵称、金额非法</w:t>
            </w:r>
          </w:p>
        </w:tc>
        <w:tc>
          <w:tcPr>
            <w:tcW w:type="dxa" w:w="6180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客户端初步提示，服务端再次校验并返回统一错误。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TCP 拆包、粘包、非法 JSON</w:t>
            </w:r>
          </w:p>
        </w:tc>
        <w:tc>
          <w:tcPr>
            <w:tcW w:type="dxa" w:w="61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按换行缓冲分帧；解析失败返回格式错误且不进入业务层。</w:t>
            </w:r>
          </w:p>
        </w:tc>
      </w:tr>
      <w:tr>
        <w:tc>
          <w:tcPr>
            <w:tcW w:type="dxa" w:w="2551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并发占用同一电桩</w:t>
            </w:r>
          </w:p>
        </w:tc>
        <w:tc>
          <w:tcPr>
            <w:tcW w:type="dxa" w:w="6180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UPDATE 附加 status='idle' 条件，并检查影响行数。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SQL 注入</w:t>
            </w:r>
          </w:p>
        </w:tc>
        <w:tc>
          <w:tcPr>
            <w:tcW w:type="dxa" w:w="61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不拼接用户输入，全部使用占位符和 bindValue。</w:t>
            </w:r>
          </w:p>
        </w:tc>
      </w:tr>
      <w:tr>
        <w:tc>
          <w:tcPr>
            <w:tcW w:type="dxa" w:w="2551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隐私与日志</w:t>
            </w:r>
          </w:p>
        </w:tc>
        <w:tc>
          <w:tcPr>
            <w:tcW w:type="dxa" w:w="6180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不记录口令；手机号仅用于本地课程演示；真实部署需加密传输和脱敏。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预测误差</w:t>
            </w:r>
          </w:p>
        </w:tc>
        <w:tc>
          <w:tcPr>
            <w:tcW w:type="dxa" w:w="61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明确其为辅助信息；保留模型名称、特征和训练记录数，便于审计。</w:t>
            </w:r>
          </w:p>
        </w:tc>
      </w:tr>
    </w:tbl>
    <w:p>
      <w:pPr>
        <w:spacing w:after="20"/>
      </w:pPr>
    </w:p>
    <w:p>
      <w:pPr>
        <w:pStyle w:val="Heading1"/>
        <w:jc w:val="center"/>
      </w:pPr>
      <w:r>
        <w:t>7 部署与运行设计</w:t>
      </w:r>
    </w:p>
    <w:p>
      <w:pPr>
        <w:jc w:val="both"/>
      </w:pPr>
      <w:r>
        <w:rPr>
          <w:rFonts w:ascii="Calibri" w:hAnsi="Calibri" w:eastAsia="宋体"/>
          <w:b w:val="0"/>
          <w:color w:val="1C2733"/>
          <w:sz w:val="24"/>
        </w:rPr>
        <w:t>Qt Creator 打开根目录 ChargingPlatform.pro 后选择 Desktop Kit 编译。先启动 charging_server，使用 admin/123456 登录并保持 9999 端口监听；再启动 charging_client，输入服务器地址完成手机号登录。数据库默认写入 QStandardPaths::AppDataLocation，也可通过 CHARGING_DB_PATH 指向工程 data 目录。</w:t>
      </w:r>
    </w:p>
    <w:p>
      <w:pPr>
        <w:jc w:val="both"/>
      </w:pPr>
      <w:r>
        <w:rPr>
          <w:rFonts w:ascii="Calibri" w:hAnsi="Calibri" w:eastAsia="宋体"/>
          <w:b w:val="0"/>
          <w:color w:val="1C2733"/>
          <w:sz w:val="24"/>
        </w:rPr>
        <w:t>第二阶段执行 analytics/generate_dashboard.py 生成 data.json，再用 python3 -m http.server 提供静态文件。浏览器打开本机 8080 端口即可展示运营大屏。项目 README.md 和 scripts/build.sh 给出完整命令。</w:t>
      </w:r>
    </w:p>
    <w:p>
      <w:pPr>
        <w:pStyle w:val="Heading1"/>
        <w:jc w:val="center"/>
      </w:pPr>
      <w:r>
        <w:t>8 验收追踪</w:t>
      </w:r>
    </w:p>
    <w:p>
      <w:pPr>
        <w:pStyle w:val="CaptionText"/>
      </w:pPr>
      <w:r>
        <w:t>表 8-1 需求到验证追踪</w:t>
      </w:r>
    </w:p>
    <w:tbl>
      <w:tblPr>
        <w:tblStyle w:val="TableGrid"/>
        <w:tblW w:type="dxa" w:w="873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84"/>
        <w:gridCol w:w="4025"/>
        <w:gridCol w:w="2721"/>
      </w:tblGrid>
      <w:tr>
        <w:trPr>
          <w:tblHeader w:val="true"/>
        </w:trPr>
        <w:tc>
          <w:tcPr>
            <w:tcW w:type="dxa" w:w="198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需求</w:t>
            </w:r>
          </w:p>
        </w:tc>
        <w:tc>
          <w:tcPr>
            <w:tcW w:type="dxa" w:w="4025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设计/代码位置</w:t>
            </w:r>
          </w:p>
        </w:tc>
        <w:tc>
          <w:tcPr>
            <w:tcW w:type="dxa" w:w="272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验证方法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Qt 用户端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client/mainwindow.ui、mainwindow.cpp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手机号登录、找站、导航、充值、充电和订单演示</w:t>
            </w:r>
          </w:p>
        </w:tc>
      </w:tr>
      <w:tr>
        <w:tc>
          <w:tcPr>
            <w:tcW w:type="dxa" w:w="1984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Qt 管理端</w:t>
            </w:r>
          </w:p>
        </w:tc>
        <w:tc>
          <w:tcPr>
            <w:tcW w:type="dxa" w:w="4025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server/mainwindow.ui、mainwindow.cpp</w:t>
            </w:r>
          </w:p>
        </w:tc>
        <w:tc>
          <w:tcPr>
            <w:tcW w:type="dxa" w:w="2721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管理员登录、图表和四类管理表格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SQLite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server/database_manager.*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首启建库；CRUD 与事务用例</w:t>
            </w:r>
          </w:p>
        </w:tc>
      </w:tr>
      <w:tr>
        <w:tc>
          <w:tcPr>
            <w:tcW w:type="dxa" w:w="1984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Socket</w:t>
            </w:r>
          </w:p>
        </w:tc>
        <w:tc>
          <w:tcPr>
            <w:tcW w:type="dxa" w:w="4025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network_client.*、tcp_server_worker.*</w:t>
            </w:r>
          </w:p>
        </w:tc>
        <w:tc>
          <w:tcPr>
            <w:tcW w:type="dxa" w:w="2721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连接日志、请求响应和异常断线测试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多线程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MainWindow 中 QThread + worker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运行时 UI 保持响应；线程退出正常</w:t>
            </w:r>
          </w:p>
        </w:tc>
      </w:tr>
      <w:tr>
        <w:tc>
          <w:tcPr>
            <w:tcW w:type="dxa" w:w="1984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大数据可视化</w:t>
            </w:r>
          </w:p>
        </w:tc>
        <w:tc>
          <w:tcPr>
            <w:tcW w:type="dxa" w:w="4025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analytics/dashboard</w:t>
            </w:r>
          </w:p>
        </w:tc>
        <w:tc>
          <w:tcPr>
            <w:tcW w:type="dxa" w:w="2721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四张 ECharts 图和站点状态信息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负荷预测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analytics/generate_dashboard.py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Calibri" w:hAnsi="Calibri" w:eastAsia="宋体"/>
                <w:b w:val="0"/>
                <w:color w:val="1C2733"/>
                <w:sz w:val="19"/>
              </w:rPr>
              <w:t>生成 24 点预测并标记峰值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332" w:right="1332" w:bottom="1276" w:left="1446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E6B78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宋体"/>
        <w:b w:val="0"/>
        <w:color w:val="5E6B78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7DEE8"/>
      </w:pBdr>
    </w:pPr>
    <w:r>
      <w:rPr>
        <w:rFonts w:ascii="Calibri" w:hAnsi="Calibri" w:eastAsia="微软雅黑"/>
        <w:b w:val="0"/>
        <w:color w:val="5E6B78"/>
        <w:sz w:val="18"/>
      </w:rPr>
      <w:t>东软电动汽车充电桩应用管理平台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  <w:ind w:firstLine="420"/>
    </w:pPr>
    <w:rPr>
      <w:rFonts w:ascii="宋体" w:hAnsi="宋体" w:eastAsia="宋体"/>
      <w:color w:val="1C27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ind w:firstLine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ind w:firstLine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86DA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C27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ind w:firstLine="0"/>
      <w:contextualSpacing/>
    </w:pPr>
    <w:rPr>
      <w:rFonts w:asciiTheme="majorHAnsi" w:eastAsiaTheme="majorEastAsia" w:hAnsiTheme="majorHAnsi" w:cstheme="majorBidi" w:ascii="黑体" w:hAnsi="黑体" w:eastAsia="黑体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Text">
    <w:name w:val="Caption Text"/>
    <w:pPr>
      <w:spacing w:before="80" w:after="160"/>
      <w:ind w:firstLine="0"/>
      <w:jc w:val="center"/>
    </w:pPr>
    <w:rPr>
      <w:rFonts w:ascii="宋体" w:hAnsi="宋体" w:eastAsia="宋体"/>
      <w:color w:val="5E6B78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