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Calibri" w:hAnsi="Calibri" w:eastAsia="微软雅黑"/>
          <w:b/>
          <w:color w:val="286DA8"/>
          <w:sz w:val="32"/>
        </w:rPr>
        <w:t>东软教育科技集团</w:t>
      </w:r>
    </w:p>
    <w:p>
      <w:pPr>
        <w:spacing w:before="960" w:after="240"/>
        <w:jc w:val="center"/>
      </w:pPr>
      <w:r>
        <w:rPr>
          <w:rFonts w:ascii="Calibri" w:hAnsi="Calibri" w:eastAsia="黑体"/>
          <w:b/>
          <w:color w:val="17365D"/>
          <w:sz w:val="50"/>
        </w:rPr>
        <w:t>行业解决方案对环境和可持续发展影响分析报告</w:t>
      </w:r>
    </w:p>
    <w:p>
      <w:pPr>
        <w:spacing w:after="1040"/>
      </w:pP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463"/>
      </w:tblGrid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项目名称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东软电动汽车充电桩应用管理平台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学校名称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北京理工大学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项目讲师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【待填写】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组别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第X组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姓名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【待填写姓名】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学号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【待填写学号】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实训日期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2026年8月25日-9月3日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1 论点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电动汽车充电桩应用管理平台能够通过提高设备利用率、引导错峰充电和支持精细化运维，降低交通能源转型中的额外资源消耗，具有明显的环境与可持续发展价值；但其效益并非天然成立，只有同时控制数据中心能耗、电子设备全生命周期影响、算法误差与个人信息风险，才能形成真正负责任的工程方案。</w:t>
      </w:r>
    </w:p>
    <w:p>
      <w:pPr>
        <w:pStyle w:val="Heading1"/>
        <w:jc w:val="center"/>
      </w:pPr>
      <w:r>
        <w:t>2 论据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首先，平台把空闲电桩、距离、电价和故障状态集中展示，能够减少车辆盲目找桩带来的空驶里程与能源浪费；运营端根据利用率和故障信息安排检修，也可减少长期闲置、重复建设和非计划更换。其次，24小时负荷预测把历史充电时段、星期周期、站点差异等信息转化为峰值预警，帮助运营人员进行削峰填谷和人员排班，降低局部供电压力。再次，SQLite 本地存储、增量数据聚合和轻量级回归模型对计算资源要求较低，相比持续训练大型模型更适合教学和中小规模站点。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另一方面，充电桩制造需要金属、功率器件和电池相关供应链，故障设备与服务器更新会产生电子废物；地图、用户账户和订单数据若长期无目的保存，会增加隐私泄露风险；预测偏差还可能导致错误调度。平台本身运行也消耗电力，若部署在高碳电源环境、页面长期高频刷新，其间接排放可能抵消部分收益。</w:t>
      </w:r>
    </w:p>
    <w:p>
      <w:pPr>
        <w:pStyle w:val="Heading1"/>
        <w:jc w:val="center"/>
      </w:pPr>
      <w:r>
        <w:t>3 论证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因此，本方案把可持续性要求落实到设计环节：一是以站点利用率和空闲率支持容量规划，优先优化已有设施后再扩建；二是对故障桩采用远程重启和状态诊断，确需更换时建立可追溯回收记录；三是将数据采集限定在业务所需范围，采用参数绑定、权限控制、日志脱敏和定期删除策略；四是让预测结果以“辅助建议”呈现，保留模型名称、训练样本数和峰值时段，避免把算法输出当作确定事实；五是降低大屏刷新频率，允许夜间关闭展示终端，并优先选择可再生能源比例较高的计算资源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从环境、社会和治理三个维度看，该系统既能提升清洁交通基础设施的可达性与运行效率，也能通过透明规则避免技术滥用。项目验收除检查功能正确性外，还应持续跟踪单位订单电耗、空驶减少量、设备在线率、故障修复时长、报废回收率和数据留存量。只有这些指标共同改善，才能说明平台确实推动了节能减排和资源公平使用，而不是把环境成本转移到后台系统或未来报废环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332" w:bottom="1276" w:left="144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E6B7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宋体"/>
        <w:b w:val="0"/>
        <w:color w:val="5E6B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7DEE8"/>
      </w:pBdr>
    </w:pPr>
    <w:r>
      <w:rPr>
        <w:rFonts w:ascii="Calibri" w:hAnsi="Calibri" w:eastAsia="微软雅黑"/>
        <w:b w:val="0"/>
        <w:color w:val="5E6B78"/>
        <w:sz w:val="18"/>
      </w:rPr>
      <w:t>东软电动汽车充电桩应用管理平台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ind w:firstLine="420"/>
    </w:pPr>
    <w:rPr>
      <w:rFonts w:ascii="宋体" w:hAnsi="宋体" w:eastAsia="宋体"/>
      <w:color w:val="1C27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86D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C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ind w:firstLine="0"/>
      <w:contextualSpacing/>
    </w:pPr>
    <w:rPr>
      <w:rFonts w:asciiTheme="majorHAnsi" w:eastAsiaTheme="majorEastAsia" w:hAnsiTheme="majorHAnsi" w:cstheme="majorBidi" w:ascii="黑体" w:hAnsi="黑体" w:eastAsia="黑体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 Text"/>
    <w:pPr>
      <w:spacing w:before="80" w:after="160"/>
      <w:ind w:firstLine="0"/>
      <w:jc w:val="center"/>
    </w:pPr>
    <w:rPr>
      <w:rFonts w:ascii="宋体" w:hAnsi="宋体" w:eastAsia="宋体"/>
      <w:color w:val="5E6B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