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039CB" w14:textId="77777777" w:rsidR="004D355D" w:rsidRDefault="000F2E07">
      <w:pPr>
        <w:pStyle w:val="Title"/>
      </w:pPr>
      <w:r>
        <w:t>Estimation of Mean Squared Errors in the EU SAE Poverty Mapping Package</w:t>
      </w:r>
    </w:p>
    <w:p w14:paraId="0C8039CC" w14:textId="77777777" w:rsidR="004D355D" w:rsidRDefault="000F2E07">
      <w:pPr>
        <w:pStyle w:val="Subtitle"/>
      </w:pPr>
      <w:r>
        <w:t>Levels and Changes, with and without Benchmarking</w:t>
      </w:r>
    </w:p>
    <w:p w14:paraId="0C8039CD" w14:textId="77777777" w:rsidR="004D355D" w:rsidRDefault="000F2E07">
      <w:pPr>
        <w:pStyle w:val="Date"/>
      </w:pPr>
      <w:r>
        <w:t>June 10, 2026</w:t>
      </w:r>
    </w:p>
    <w:p w14:paraId="0C8039CE" w14:textId="77777777" w:rsidR="004D355D" w:rsidRDefault="000F2E07">
      <w:pPr>
        <w:pStyle w:val="Heading1"/>
      </w:pPr>
      <w:bookmarkStart w:id="0" w:name="introduction"/>
      <w:r>
        <w:t>Introduction</w:t>
      </w:r>
      <w:bookmarkEnd w:id="0"/>
    </w:p>
    <w:p w14:paraId="0C8039CF" w14:textId="77777777" w:rsidR="004D355D" w:rsidRDefault="000F2E07">
      <w:pPr>
        <w:pStyle w:val="FirstParagraph"/>
      </w:pPr>
      <w:r>
        <w:t xml:space="preserve">This note documents how the EU SAE poverty mapping package quantifies the uncertainty of its small-area estimates. The package reports mean squared errors (MSEs) for four families of estimates: single-period estimates from the univariate Fay–Herriot (UFH) model, multi-period estimates from the multivariate Fay–Herriot (MFH) models, estimated </w:t>
      </w:r>
      <w:r>
        <w:rPr>
          <w:i/>
        </w:rPr>
        <w:t>changes</w:t>
      </w:r>
      <w:r>
        <w:t xml:space="preserve"> in poverty between two periods, and the benchmarked counterparts of each. The methods differ by case — analytical approximations where the literature provides them, bootstrap methods where benchmarking or temporal covariance makes analytical formulas unavailable — but they share one organizing principle: uncertainty is always assessed relative to the underlying true small-area value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never relative to the benchmark constraint, and any data-dependent step (benchmarking in particular) is repeated inside every bootstrap replicate so that its variability is propagated into the reported MSE.</w:t>
      </w:r>
    </w:p>
    <w:p w14:paraId="0C8039D0" w14:textId="77777777" w:rsidR="004D355D" w:rsidRDefault="000F2E07">
      <w:pPr>
        <w:pStyle w:val="BodyText"/>
      </w:pPr>
      <w:r>
        <w:t>The note proceeds from the single-period UFH case (Part I), to the multi-period MFH case and the mean cross-product error (MCPE) needed for changes (Part II), to the change analysis that combines them (Part III). A summary table and practical observations close the note. General treatments of the Fay–Herriot model, EBLUP prediction, REML estimation, MSE, and benchmarking are given in Rao and Molina (2015).</w:t>
      </w:r>
    </w:p>
    <w:p w14:paraId="0C8039D1" w14:textId="77777777" w:rsidR="004D355D" w:rsidRDefault="000F2E07">
      <w:pPr>
        <w:pStyle w:val="Heading1"/>
      </w:pPr>
      <w:bookmarkStart w:id="1" w:name="Xe6e3af71fd2fc7af3543eeecce2d16ac4f451ff"/>
      <w:r>
        <w:t>Part I. The Univariate Fay–Herriot Model (Single Period)</w:t>
      </w:r>
      <w:bookmarkEnd w:id="1"/>
    </w:p>
    <w:p w14:paraId="0C8039D2" w14:textId="77777777" w:rsidR="004D355D" w:rsidRDefault="000F2E07">
      <w:pPr>
        <w:pStyle w:val="Heading2"/>
      </w:pPr>
      <w:bookmarkStart w:id="2" w:name="the-model-and-the-eblup"/>
      <w:r>
        <w:t>The model and the EBLUP</w:t>
      </w:r>
      <w:bookmarkEnd w:id="2"/>
    </w:p>
    <w:p w14:paraId="0C8039D3" w14:textId="77777777" w:rsidR="004D355D" w:rsidRDefault="000F2E07">
      <w:pPr>
        <w:pStyle w:val="FirstParagraph"/>
      </w:pPr>
      <w:r>
        <w:t xml:space="preserve">Index the small areas (domains) by </w:t>
      </w:r>
      <m:oMath>
        <m:r>
          <w:rPr>
            <w:rFonts w:ascii="Cambria Math" w:hAnsi="Cambria Math"/>
          </w:rPr>
          <m:t>d</m:t>
        </m:r>
        <m:r>
          <w:rPr>
            <w:rFonts w:ascii="Cambria Math" w:hAnsi="Cambria Math"/>
          </w:rPr>
          <m:t>=1,…,</m:t>
        </m:r>
        <m:r>
          <w:rPr>
            <w:rFonts w:ascii="Cambria Math" w:hAnsi="Cambria Math"/>
          </w:rPr>
          <m:t>M</m:t>
        </m:r>
      </m:oMath>
      <w:r>
        <w:t xml:space="preserve">, of which </w:t>
      </w:r>
      <m:oMath>
        <m:r>
          <w:rPr>
            <w:rFonts w:ascii="Cambria Math" w:hAnsi="Cambria Math"/>
          </w:rPr>
          <m:t>m</m:t>
        </m:r>
      </m:oMath>
      <w:r>
        <w:t xml:space="preserve"> are observed in the survey. The area-level Fay–Herriot model (Fay and Herriot, 1979) combines a sampling layer and a linking layer,</w:t>
      </w:r>
    </w:p>
    <w:p w14:paraId="0C8039D4" w14:textId="77777777" w:rsidR="004D355D" w:rsidRDefault="000F2E07">
      <w:pPr>
        <w:pStyle w:val="BodyText"/>
        <w:spacing w:before="0" w:after="160" w:line="240" w:lineRule="atLeast"/>
        <w:jc w:val="center"/>
      </w:pPr>
      <w: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dir</m:t>
            </m:r>
          </m:sup>
        </m:sSub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d</m:t>
            </m:r>
          </m:sub>
        </m:sSub>
        <m: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d</m:t>
            </m:r>
          </m:sub>
          <m:sup>
            <m:r>
              <w:rPr>
                <w:rFonts w:ascii="Cambria Math" w:hAnsi="Cambria Math"/>
              </w:rPr>
              <m:t>⊤</m:t>
            </m:r>
          </m:sup>
        </m:sSubSup>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oMath>
      <w:r>
        <w:t xml:space="preserve"> </w:t>
      </w:r>
    </w:p>
    <w:p w14:paraId="0C8039D5" w14:textId="77777777" w:rsidR="004D355D" w:rsidRDefault="000F2E07">
      <w:pPr>
        <w:pStyle w:val="FirstParagraph"/>
      </w:pPr>
      <w:r>
        <w:t xml:space="preserve">with independent sampling errors </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t>
        </m:r>
      </m:oMath>
      <w:r>
        <w:t xml:space="preserve"> and area random effects </w:t>
      </w: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w:r>
        <w:t xml:space="preserve">. Here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dir</m:t>
            </m:r>
          </m:sup>
        </m:sSubSup>
      </m:oMath>
      <w:r>
        <w:t xml:space="preserve"> is the direct survey estimate of the poverty rate,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its (known) sampling variance, and </w:t>
      </w:r>
      <m:oMath>
        <m:sSub>
          <m:sSubPr>
            <m:ctrlPr>
              <w:rPr>
                <w:rFonts w:ascii="Cambria Math" w:hAnsi="Cambria Math"/>
              </w:rPr>
            </m:ctrlPr>
          </m:sSubPr>
          <m:e>
            <m:r>
              <m:rPr>
                <m:sty m:val="b"/>
              </m:rPr>
              <w:rPr>
                <w:rFonts w:ascii="Cambria Math" w:hAnsi="Cambria Math"/>
              </w:rPr>
              <m:t>x</m:t>
            </m:r>
          </m:e>
          <m:sub>
            <m:r>
              <w:rPr>
                <w:rFonts w:ascii="Cambria Math" w:hAnsi="Cambria Math"/>
              </w:rPr>
              <m:t>d</m:t>
            </m:r>
          </m:sub>
        </m:sSub>
      </m:oMath>
      <w:r>
        <w:t xml:space="preserve"> a vector of auxiliary covariates. The package estimates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by REML via </w:t>
      </w:r>
      <w:r>
        <w:rPr>
          <w:rStyle w:val="VerbatimChar"/>
        </w:rPr>
        <w:t>emdi::fh()</w:t>
      </w:r>
      <w:r>
        <w:t>. The empirical best linear unbiased predictor (EBLUP) is a precision-weighted average of the direct estimate and the regression prediction,</w:t>
      </w:r>
    </w:p>
    <w:p w14:paraId="0C8039D6" w14:textId="77777777" w:rsidR="004D355D" w:rsidRDefault="000F2E07">
      <w:pPr>
        <w:pStyle w:val="BodyText"/>
        <w:spacing w:before="0" w:after="160" w:line="240" w:lineRule="atLeast"/>
        <w:jc w:val="center"/>
      </w:pPr>
      <w:r>
        <w:lastRenderedPageBreak/>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FH</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dir</m:t>
            </m:r>
          </m:sup>
        </m:sSubSup>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 </m:t>
        </m:r>
        <m:sSubSup>
          <m:sSubSupPr>
            <m:ctrlPr>
              <w:rPr>
                <w:rFonts w:ascii="Cambria Math" w:hAnsi="Cambria Math"/>
              </w:rPr>
            </m:ctrlPr>
          </m:sSubSupPr>
          <m:e>
            <m:r>
              <m:rPr>
                <m:sty m:val="b"/>
              </m:rPr>
              <w:rPr>
                <w:rFonts w:ascii="Cambria Math" w:hAnsi="Cambria Math"/>
              </w:rPr>
              <m:t>x</m:t>
            </m:r>
          </m:e>
          <m:sub>
            <m:r>
              <w:rPr>
                <w:rFonts w:ascii="Cambria Math" w:hAnsi="Cambria Math"/>
              </w:rPr>
              <m:t>d</m:t>
            </m:r>
          </m:sub>
          <m:sup>
            <m:r>
              <w:rPr>
                <w:rFonts w:ascii="Cambria Math" w:hAnsi="Cambria Math"/>
              </w:rPr>
              <m:t>⊤</m:t>
            </m:r>
          </m:sup>
        </m:sSubSup>
        <m:acc>
          <m:accPr>
            <m:ctrlPr>
              <w:rPr>
                <w:rFonts w:ascii="Cambria Math" w:hAnsi="Cambria Math"/>
              </w:rPr>
            </m:ctrlPr>
          </m:accPr>
          <m:e>
            <m:r>
              <w:rPr>
                <w:rFonts w:ascii="Cambria Math" w:hAnsi="Cambria Math"/>
              </w:rPr>
              <m:t>β</m:t>
            </m:r>
          </m:e>
        </m:acc>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den>
        </m:f>
        <m:r>
          <w:rPr>
            <w:rFonts w:ascii="Cambria Math" w:hAnsi="Cambria Math"/>
          </w:rPr>
          <m:t>.</m:t>
        </m:r>
      </m:oMath>
      <w:r>
        <w:t xml:space="preserve"> </w:t>
      </w:r>
    </w:p>
    <w:p w14:paraId="0C8039D7" w14:textId="77777777" w:rsidR="004D355D" w:rsidRDefault="000F2E07">
      <w:pPr>
        <w:pStyle w:val="Heading2"/>
      </w:pPr>
      <w:bookmarkStart w:id="3" w:name="mse-of-the-unbenchmarked-ufh-estimates"/>
      <w:r>
        <w:t>MSE of the unbenchmarked UFH estimates</w:t>
      </w:r>
      <w:bookmarkEnd w:id="3"/>
    </w:p>
    <w:p w14:paraId="0C8039D8" w14:textId="77777777" w:rsidR="004D355D" w:rsidRDefault="000F2E07">
      <w:pPr>
        <w:pStyle w:val="FirstParagraph"/>
      </w:pPr>
      <w:r>
        <w:t>For the unbenchmarked EBLUP, the package reports the analytical Prasad–Rao / Datta–Lahiri MSE approximation under the untransformed and log scales (Prasad and Rao, 1990; Datta and Lahiri, 2000; Harmening et al., 2023), and a parametric bootstrap under the arcsin transformation. Results are returned on the original poverty scale — Duan smearing for the log model (Duan, 1983) and the arcsin back-transform for rates — with variances propagated via the delta method.</w:t>
      </w:r>
    </w:p>
    <w:p w14:paraId="0C8039D9" w14:textId="77777777" w:rsidR="004D355D" w:rsidRDefault="000F2E07">
      <w:pPr>
        <w:pStyle w:val="Heading2"/>
      </w:pPr>
      <w:bookmarkStart w:id="4" w:name="X1f30418b3584d6ba58c457a6316902ccaf16966"/>
      <w:r>
        <w:t>Benchmarking and the MSE of benchmarked UFH estimates</w:t>
      </w:r>
      <w:bookmarkEnd w:id="4"/>
    </w:p>
    <w:p w14:paraId="0C8039DA" w14:textId="77777777" w:rsidR="004D355D" w:rsidRDefault="000F2E07">
      <w:pPr>
        <w:pStyle w:val="FirstParagraph"/>
      </w:pPr>
      <w:r>
        <w:t xml:space="preserve">Benchmarking restores aggregate consistency: within each benchmark area </w:t>
      </w:r>
      <m:oMath>
        <m:r>
          <w:rPr>
            <w:rFonts w:ascii="Cambria Math" w:hAnsi="Cambria Math"/>
          </w:rPr>
          <m:t>r</m:t>
        </m:r>
      </m:oMath>
      <w:r>
        <w:t xml:space="preserve"> (regions by default), </w:t>
      </w:r>
      <w:r>
        <w:rPr>
          <w:rStyle w:val="VerbatimChar"/>
        </w:rPr>
        <w:t>bench_regional()</w:t>
      </w:r>
      <w:r>
        <w:t xml:space="preserve"> applies a ratio adjustment so that the population-weighted mean of the benchmarked estimates reproduces the direct regional aggregate,</w:t>
      </w:r>
    </w:p>
    <w:p w14:paraId="0C8039DB" w14:textId="77777777" w:rsidR="004D355D" w:rsidRDefault="000F2E07">
      <w:pPr>
        <w:pStyle w:val="BodyText"/>
        <w:spacing w:before="0" w:after="160" w:line="240" w:lineRule="atLeast"/>
        <w:jc w:val="center"/>
      </w:pPr>
      <w:r>
        <w:t xml:space="preserve"> </w:t>
      </w:r>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d</m:t>
                </m:r>
                <m:r>
                  <w:rPr>
                    <w:rFonts w:ascii="Cambria Math" w:hAnsi="Cambria Math"/>
                  </w:rPr>
                  <m:t>∈</m:t>
                </m:r>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d</m:t>
                    </m:r>
                  </m:sub>
                </m:sSub>
              </m:e>
            </m:nary>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dir</m:t>
                </m:r>
              </m:sup>
            </m:sSubSup>
          </m:num>
          <m:den>
            <m:nary>
              <m:naryPr>
                <m:chr m:val="∑"/>
                <m:limLoc m:val="undOvr"/>
                <m:supHide m:val="1"/>
                <m:ctrlPr>
                  <w:rPr>
                    <w:rFonts w:ascii="Cambria Math" w:hAnsi="Cambria Math"/>
                  </w:rPr>
                </m:ctrlPr>
              </m:naryPr>
              <m:sub>
                <m:r>
                  <w:rPr>
                    <w:rFonts w:ascii="Cambria Math" w:hAnsi="Cambria Math"/>
                  </w:rPr>
                  <m:t>d</m:t>
                </m:r>
                <m:r>
                  <w:rPr>
                    <w:rFonts w:ascii="Cambria Math" w:hAnsi="Cambria Math"/>
                  </w:rPr>
                  <m:t>∈</m:t>
                </m:r>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d</m:t>
                    </m:r>
                  </m:sub>
                </m:sSub>
              </m:e>
            </m:nary>
          </m:den>
        </m:f>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r</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r</m:t>
                </m:r>
              </m:sub>
            </m:sSub>
          </m:num>
          <m:den>
            <m:nary>
              <m:naryPr>
                <m:chr m:val="∑"/>
                <m:limLoc m:val="undOvr"/>
                <m:supHide m:val="1"/>
                <m:ctrlPr>
                  <w:rPr>
                    <w:rFonts w:ascii="Cambria Math" w:hAnsi="Cambria Math"/>
                  </w:rPr>
                </m:ctrlPr>
              </m:naryPr>
              <m:sub>
                <m:r>
                  <w:rPr>
                    <w:rFonts w:ascii="Cambria Math" w:hAnsi="Cambria Math"/>
                  </w:rPr>
                  <m:t>d</m:t>
                </m:r>
                <m:r>
                  <w:rPr>
                    <w:rFonts w:ascii="Cambria Math" w:hAnsi="Cambria Math"/>
                  </w:rPr>
                  <m:t>∈</m:t>
                </m:r>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r</m:t>
                    </m:r>
                    <m:r>
                      <w:rPr>
                        <w:rFonts w:ascii="Cambria Math" w:hAnsi="Cambria Math"/>
                      </w:rPr>
                      <m:t>,</m:t>
                    </m:r>
                    <m:r>
                      <w:rPr>
                        <w:rFonts w:ascii="Cambria Math" w:hAnsi="Cambria Math"/>
                      </w:rPr>
                      <m:t>d</m:t>
                    </m:r>
                  </m:sub>
                </m:sSub>
              </m:e>
            </m:nary>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FH</m:t>
                </m:r>
              </m:sup>
            </m:sSubSup>
          </m:den>
        </m:f>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Bench</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FH</m:t>
            </m:r>
          </m:sup>
        </m:sSubSup>
        <m:r>
          <w:rPr>
            <w:rFonts w:ascii="Cambria Math" w:hAnsi="Cambria Math"/>
          </w:rPr>
          <m:t> </m:t>
        </m:r>
        <m:r>
          <w:rPr>
            <w:rFonts w:ascii="Cambria Math" w:hAnsi="Cambria Math"/>
          </w:rPr>
          <m:t>(</m:t>
        </m:r>
        <m:r>
          <w:rPr>
            <w:rFonts w:ascii="Cambria Math" w:hAnsi="Cambria Math"/>
          </w:rPr>
          <m:t>d</m:t>
        </m:r>
        <m:r>
          <w:rPr>
            <w:rFonts w:ascii="Cambria Math" w:hAnsi="Cambria Math"/>
          </w:rPr>
          <m:t>∈</m:t>
        </m:r>
        <m:r>
          <w:rPr>
            <w:rFonts w:ascii="Cambria Math" w:hAnsi="Cambria Math"/>
          </w:rPr>
          <m:t>r</m:t>
        </m:r>
        <m:r>
          <w:rPr>
            <w:rFonts w:ascii="Cambria Math" w:hAnsi="Cambria Math"/>
          </w:rPr>
          <m:t>),</m:t>
        </m:r>
      </m:oMath>
      <w:r>
        <w:t xml:space="preserve"> </w:t>
      </w:r>
    </w:p>
    <w:p w14:paraId="0C8039DC" w14:textId="77777777" w:rsidR="004D355D" w:rsidRDefault="000F2E07">
      <w:pPr>
        <w:pStyle w:val="FirstParagraph"/>
      </w:pPr>
      <w:r>
        <w:t xml:space="preserve">with </w:t>
      </w:r>
      <m:oMath>
        <m:sSub>
          <m:sSubPr>
            <m:ctrlPr>
              <w:rPr>
                <w:rFonts w:ascii="Cambria Math" w:hAnsi="Cambria Math"/>
              </w:rPr>
            </m:ctrlPr>
          </m:sSubPr>
          <m:e>
            <m:r>
              <w:rPr>
                <w:rFonts w:ascii="Cambria Math" w:hAnsi="Cambria Math"/>
              </w:rPr>
              <m:t>ω</m:t>
            </m:r>
          </m:e>
          <m:sub>
            <m:r>
              <w:rPr>
                <w:rFonts w:ascii="Cambria Math" w:hAnsi="Cambria Math"/>
              </w:rPr>
              <m:t>r</m:t>
            </m:r>
            <m:r>
              <w:rPr>
                <w:rFonts w:ascii="Cambria Math" w:hAnsi="Cambria Math"/>
              </w:rPr>
              <m:t>,</m:t>
            </m:r>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w:rPr>
                <w:rFonts w:ascii="Cambria Math" w:hAnsi="Cambria Math"/>
              </w:rPr>
              <m:t>∈</m:t>
            </m:r>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sub>
            </m:sSub>
          </m:e>
        </m:nary>
      </m:oMath>
      <w:r>
        <w:t xml:space="preserve">. An external official total can replace </w:t>
      </w:r>
      <m:oMath>
        <m:sSub>
          <m:sSubPr>
            <m:ctrlPr>
              <w:rPr>
                <w:rFonts w:ascii="Cambria Math" w:hAnsi="Cambria Math"/>
              </w:rPr>
            </m:ctrlPr>
          </m:sSubPr>
          <m:e>
            <m:r>
              <w:rPr>
                <w:rFonts w:ascii="Cambria Math" w:hAnsi="Cambria Math"/>
              </w:rPr>
              <m:t>B</m:t>
            </m:r>
          </m:e>
          <m:sub>
            <m:r>
              <w:rPr>
                <w:rFonts w:ascii="Cambria Math" w:hAnsi="Cambria Math"/>
              </w:rPr>
              <m:t>r</m:t>
            </m:r>
          </m:sub>
        </m:sSub>
      </m:oMath>
      <w:r>
        <w:t>. The ratio form keeps benchmarked rates non-negative and preserves proportional differences among domains within an area.</w:t>
      </w:r>
    </w:p>
    <w:p w14:paraId="0C8039DD" w14:textId="77777777" w:rsidR="004D355D" w:rsidRDefault="000F2E07">
      <w:pPr>
        <w:pStyle w:val="BodyText"/>
      </w:pPr>
      <w:r>
        <w:t>Consistent with the benchmarking literature (Datta, Ghosh, Steorts, and Maples, 2011; Bell, Datta, and Ghosh, 2013), the uncertainty of the benchmarked predictor is assessed relative to the true small-area value,</w:t>
      </w:r>
    </w:p>
    <w:p w14:paraId="0C8039DE" w14:textId="77777777" w:rsidR="004D355D" w:rsidRDefault="000F2E07">
      <w:pPr>
        <w:pStyle w:val="BodyText"/>
        <w:spacing w:before="0" w:after="160" w:line="240" w:lineRule="atLeast"/>
        <w:jc w:val="center"/>
      </w:pPr>
      <w:r>
        <w:t xml:space="preserve"> </w:t>
      </w:r>
      <m:oMath>
        <m:r>
          <m:rPr>
            <m:sty m:val="p"/>
          </m:rPr>
          <w:rPr>
            <w:rFonts w:ascii="Cambria Math" w:hAnsi="Cambria Math"/>
          </w:rPr>
          <m:t>MSE</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Bench</m:t>
            </m:r>
          </m:sup>
        </m:sSubSup>
        <m:r>
          <w:rPr>
            <w:rFonts w:ascii="Cambria Math" w:hAnsi="Cambria Math"/>
          </w:rPr>
          <m:t>)=</m:t>
        </m:r>
        <m:r>
          <w:rPr>
            <w:rFonts w:ascii="Cambria Math" w:hAnsi="Cambria Math"/>
          </w:rPr>
          <m:t>E</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Bench</m:t>
            </m:r>
          </m:sup>
        </m:sSub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w:r>
        <w:t xml:space="preserve"> </w:t>
      </w:r>
    </w:p>
    <w:p w14:paraId="0C8039DF" w14:textId="77777777" w:rsidR="004D355D" w:rsidRDefault="000F2E07">
      <w:pPr>
        <w:pStyle w:val="FirstParagraph"/>
      </w:pPr>
      <w:r>
        <w:t xml:space="preserve">Because </w:t>
      </w:r>
      <m:oMath>
        <m:sSub>
          <m:sSubPr>
            <m:ctrlPr>
              <w:rPr>
                <w:rFonts w:ascii="Cambria Math" w:hAnsi="Cambria Math"/>
              </w:rPr>
            </m:ctrlPr>
          </m:sSubPr>
          <m:e>
            <m:r>
              <w:rPr>
                <w:rFonts w:ascii="Cambria Math" w:hAnsi="Cambria Math"/>
              </w:rPr>
              <m:t>λ</m:t>
            </m:r>
          </m:e>
          <m:sub>
            <m:r>
              <w:rPr>
                <w:rFonts w:ascii="Cambria Math" w:hAnsi="Cambria Math"/>
              </w:rPr>
              <m:t>r</m:t>
            </m:r>
          </m:sub>
        </m:sSub>
      </m:oMath>
      <w:r>
        <w:t xml:space="preserve"> is estimated from the data, the benchmarked predictor is a nonlinear function of the fitted EBLUPs and no analytical MSE is available; the package estimates it by a </w:t>
      </w:r>
      <w:r>
        <w:rPr>
          <w:b/>
        </w:rPr>
        <w:t>model-based bootstrap</w:t>
      </w:r>
      <w:r>
        <w:t xml:space="preserve">. Each replicate </w:t>
      </w:r>
      <m:oMath>
        <m:r>
          <w:rPr>
            <w:rFonts w:ascii="Cambria Math" w:hAnsi="Cambria Math"/>
          </w:rPr>
          <m:t>b</m:t>
        </m:r>
      </m:oMath>
      <w:r>
        <w:t xml:space="preserve"> resamples the centered and rescaled fitted random effects and residuals (random effects rescaled to variance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 xml:space="preserve">, residuals to unit variance), forms synthetic sampling errors </w:t>
      </w:r>
      <m:oMath>
        <m:sSubSup>
          <m:sSubSupPr>
            <m:ctrlPr>
              <w:rPr>
                <w:rFonts w:ascii="Cambria Math" w:hAnsi="Cambria Math"/>
              </w:rPr>
            </m:ctrlPr>
          </m:sSubSupPr>
          <m:e>
            <m:r>
              <w:rPr>
                <w:rFonts w:ascii="Cambria Math" w:hAnsi="Cambria Math"/>
              </w:rPr>
              <m:t>e</m:t>
            </m:r>
          </m:e>
          <m:sub>
            <m:r>
              <w:rPr>
                <w:rFonts w:ascii="Cambria Math" w:hAnsi="Cambria Math"/>
              </w:rPr>
              <m:t>d</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m:t>
        </m:r>
        <m:sSubSup>
          <m:sSubSupPr>
            <m:ctrlPr>
              <w:rPr>
                <w:rFonts w:ascii="Cambria Math" w:hAnsi="Cambria Math"/>
              </w:rPr>
            </m:ctrlPr>
          </m:sSubSupPr>
          <m:e>
            <m:r>
              <m:rPr>
                <m:sty m:val="p"/>
              </m:rPr>
              <w:rPr>
                <w:rFonts w:ascii="Cambria Math" w:hAnsi="Cambria Math"/>
              </w:rPr>
              <m:t>res</m:t>
            </m:r>
          </m:e>
          <m:sub>
            <m:r>
              <w:rPr>
                <w:rFonts w:ascii="Cambria Math" w:hAnsi="Cambria Math"/>
              </w:rPr>
              <m:t>d</m:t>
            </m:r>
          </m:sub>
          <m:sup>
            <m:r>
              <w:rPr>
                <w:rFonts w:ascii="Cambria Math" w:hAnsi="Cambria Math"/>
              </w:rPr>
              <m:t>(</m:t>
            </m:r>
            <m:r>
              <w:rPr>
                <w:rFonts w:ascii="Cambria Math" w:hAnsi="Cambria Math"/>
              </w:rPr>
              <m:t>b</m:t>
            </m:r>
            <m:r>
              <w:rPr>
                <w:rFonts w:ascii="Cambria Math" w:hAnsi="Cambria Math"/>
              </w:rPr>
              <m:t>)</m:t>
            </m:r>
          </m:sup>
        </m:sSubSup>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m:t>
                </m:r>
              </m:sub>
            </m:sSub>
          </m:e>
        </m:rad>
      </m:oMath>
      <w:r>
        <w:t>, builds a synthetic truth and observation</w:t>
      </w:r>
    </w:p>
    <w:p w14:paraId="0C8039E0" w14:textId="77777777" w:rsidR="004D355D" w:rsidRDefault="000F2E07">
      <w:pPr>
        <w:pStyle w:val="BodyText"/>
        <w:spacing w:before="0" w:after="160" w:line="240" w:lineRule="atLeast"/>
        <w:jc w:val="center"/>
      </w:pPr>
      <w:r>
        <w:t xml:space="preserve"> </w:t>
      </w:r>
      <m:oMath>
        <m:sSubSup>
          <m:sSubSupPr>
            <m:ctrlPr>
              <w:rPr>
                <w:rFonts w:ascii="Cambria Math" w:hAnsi="Cambria Math"/>
              </w:rPr>
            </m:ctrlPr>
          </m:sSubSupPr>
          <m:e>
            <m:r>
              <w:rPr>
                <w:rFonts w:ascii="Cambria Math" w:hAnsi="Cambria Math"/>
              </w:rPr>
              <m:t>θ</m:t>
            </m:r>
          </m:e>
          <m:sub>
            <m:r>
              <w:rPr>
                <w:rFonts w:ascii="Cambria Math" w:hAnsi="Cambria Math"/>
              </w:rPr>
              <m:t>d</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d</m:t>
            </m:r>
          </m:sub>
          <m:sup>
            <m:r>
              <w:rPr>
                <w:rFonts w:ascii="Cambria Math" w:hAnsi="Cambria Math"/>
              </w:rPr>
              <m:t>⊤</m:t>
            </m:r>
          </m:sup>
        </m:sSubSup>
        <m:acc>
          <m:accPr>
            <m:ctrlPr>
              <w:rPr>
                <w:rFonts w:ascii="Cambria Math" w:hAnsi="Cambria Math"/>
              </w:rPr>
            </m:ctrlPr>
          </m:accPr>
          <m:e>
            <m:r>
              <w:rPr>
                <w:rFonts w:ascii="Cambria Math" w:hAnsi="Cambria Math"/>
              </w:rPr>
              <m:t>β</m:t>
            </m:r>
          </m:e>
        </m:acc>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y</m:t>
            </m:r>
          </m:e>
          <m:sub>
            <m:r>
              <w:rPr>
                <w:rFonts w:ascii="Cambria Math" w:hAnsi="Cambria Math"/>
              </w:rPr>
              <m:t>d</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d</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d</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m:t>
        </m:r>
      </m:oMath>
      <w:r>
        <w:t xml:space="preserve"> </w:t>
      </w:r>
    </w:p>
    <w:p w14:paraId="0C8039E1" w14:textId="77777777" w:rsidR="004D355D" w:rsidRDefault="000F2E07">
      <w:pPr>
        <w:pStyle w:val="FirstParagraph"/>
      </w:pPr>
      <w:r>
        <w:t xml:space="preserve">refits the Fay–Herriot model, re-benchmarks the new EBLUPs (with </w:t>
      </w:r>
      <m:oMath>
        <m:sSubSup>
          <m:sSubSupPr>
            <m:ctrlPr>
              <w:rPr>
                <w:rFonts w:ascii="Cambria Math" w:hAnsi="Cambria Math"/>
              </w:rPr>
            </m:ctrlPr>
          </m:sSubSupPr>
          <m:e>
            <m:r>
              <w:rPr>
                <w:rFonts w:ascii="Cambria Math" w:hAnsi="Cambria Math"/>
              </w:rPr>
              <m:t>y</m:t>
            </m:r>
          </m:e>
          <m:sub>
            <m:r>
              <w:rPr>
                <w:rFonts w:ascii="Cambria Math" w:hAnsi="Cambria Math"/>
              </w:rPr>
              <m:t>d</m:t>
            </m:r>
          </m:sub>
          <m:sup>
            <m:r>
              <w:rPr>
                <w:rFonts w:ascii="Cambria Math" w:hAnsi="Cambria Math"/>
              </w:rPr>
              <m:t>(</m:t>
            </m:r>
            <m:r>
              <w:rPr>
                <w:rFonts w:ascii="Cambria Math" w:hAnsi="Cambria Math"/>
              </w:rPr>
              <m:t>b</m:t>
            </m:r>
            <m:r>
              <w:rPr>
                <w:rFonts w:ascii="Cambria Math" w:hAnsi="Cambria Math"/>
              </w:rPr>
              <m:t>)</m:t>
            </m:r>
          </m:sup>
        </m:sSubSup>
      </m:oMath>
      <w:r>
        <w:t xml:space="preserve"> playing the role of the direct estimate), and compares the result to the synthetic truth. Averaging over the </w:t>
      </w:r>
      <m:oMath>
        <m:r>
          <w:rPr>
            <w:rFonts w:ascii="Cambria Math" w:hAnsi="Cambria Math"/>
          </w:rPr>
          <m:t>B</m:t>
        </m:r>
      </m:oMath>
      <w:r>
        <w:t xml:space="preserve"> successful replicates (</w:t>
      </w:r>
      <m:oMath>
        <m:r>
          <w:rPr>
            <w:rFonts w:ascii="Cambria Math" w:hAnsi="Cambria Math"/>
          </w:rPr>
          <m:t>B</m:t>
        </m:r>
        <m:r>
          <w:rPr>
            <w:rFonts w:ascii="Cambria Math" w:hAnsi="Cambria Math"/>
          </w:rPr>
          <m:t>=200</m:t>
        </m:r>
      </m:oMath>
      <w:r>
        <w:t xml:space="preserve"> in the driver </w:t>
      </w:r>
      <w:r>
        <w:rPr>
          <w:rStyle w:val="VerbatimChar"/>
        </w:rPr>
        <w:t>01_ufh.R</w:t>
      </w:r>
      <w:r>
        <w:t>),</w:t>
      </w:r>
    </w:p>
    <w:p w14:paraId="0C8039E2" w14:textId="77777777" w:rsidR="004D355D" w:rsidRDefault="000F2E07">
      <w:pPr>
        <w:pStyle w:val="BodyText"/>
        <w:spacing w:before="0" w:after="160" w:line="240" w:lineRule="atLeast"/>
        <w:jc w:val="center"/>
      </w:pPr>
      <w:r>
        <w:t xml:space="preserve"> </w:t>
      </w:r>
      <m:oMath>
        <m:acc>
          <m:accPr>
            <m:ctrlPr>
              <w:rPr>
                <w:rFonts w:ascii="Cambria Math" w:hAnsi="Cambria Math"/>
              </w:rPr>
            </m:ctrlPr>
          </m:accPr>
          <m:e>
            <m:r>
              <m:rPr>
                <m:sty m:val="p"/>
              </m:rPr>
              <w:rPr>
                <w:rFonts w:ascii="Cambria Math" w:hAnsi="Cambria Math"/>
              </w:rPr>
              <m:t>MSE</m:t>
            </m:r>
          </m:e>
        </m:acc>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Bench</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b</m:t>
            </m:r>
            <m:r>
              <w:rPr>
                <w:rFonts w:ascii="Cambria Math" w:hAnsi="Cambria Math"/>
              </w:rPr>
              <m:t>=1</m:t>
            </m:r>
          </m:sub>
          <m:sup>
            <m:r>
              <w:rPr>
                <w:rFonts w:ascii="Cambria Math" w:hAnsi="Cambria Math"/>
              </w:rPr>
              <m:t>B</m:t>
            </m:r>
          </m:sup>
          <m:e>
            <m:r>
              <w:rPr>
                <w:rFonts w:ascii="Cambria Math" w:hAnsi="Cambria Math"/>
              </w:rPr>
              <m:t>(</m:t>
            </m:r>
          </m:e>
        </m:nary>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 </m:t>
            </m:r>
            <m:r>
              <m:rPr>
                <m:sty m:val="p"/>
              </m:rPr>
              <w:rPr>
                <w:rFonts w:ascii="Cambria Math" w:hAnsi="Cambria Math"/>
              </w:rPr>
              <m:t>Bench</m:t>
            </m:r>
            <m:r>
              <w:rPr>
                <w:rFonts w:ascii="Cambria Math" w:hAnsi="Cambria Math"/>
              </w:rPr>
              <m:t>,(</m:t>
            </m:r>
            <m:r>
              <w:rPr>
                <w:rFonts w:ascii="Cambria Math" w:hAnsi="Cambria Math"/>
              </w:rPr>
              <m:t>b</m:t>
            </m:r>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d</m:t>
            </m:r>
          </m:sub>
          <m:sup>
            <m:r>
              <w:rPr>
                <w:rFonts w:ascii="Cambria Math" w:hAnsi="Cambria Math"/>
              </w:rPr>
              <m:t>(</m:t>
            </m:r>
            <m:r>
              <w:rPr>
                <w:rFonts w:ascii="Cambria Math" w:hAnsi="Cambria Math"/>
              </w:rPr>
              <m:t>b</m:t>
            </m:r>
            <m:r>
              <w:rPr>
                <w:rFonts w:ascii="Cambria Math" w:hAnsi="Cambria Math"/>
              </w:rPr>
              <m:t>)</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w:r>
        <w:t xml:space="preserve"> </w:t>
      </w:r>
    </w:p>
    <w:p w14:paraId="0C8039E3" w14:textId="77777777" w:rsidR="004D355D" w:rsidRDefault="000F2E07">
      <w:pPr>
        <w:pStyle w:val="FirstParagraph"/>
      </w:pPr>
      <w:r>
        <w:t xml:space="preserve">Re-running the benchmarking inside every replicate is what propagates the variability of </w:t>
      </w:r>
      <m:oMath>
        <m:sSub>
          <m:sSubPr>
            <m:ctrlPr>
              <w:rPr>
                <w:rFonts w:ascii="Cambria Math" w:hAnsi="Cambria Math"/>
              </w:rPr>
            </m:ctrlPr>
          </m:sSubPr>
          <m:e>
            <m:r>
              <w:rPr>
                <w:rFonts w:ascii="Cambria Math" w:hAnsi="Cambria Math"/>
              </w:rPr>
              <m:t>λ</m:t>
            </m:r>
          </m:e>
          <m:sub>
            <m:r>
              <w:rPr>
                <w:rFonts w:ascii="Cambria Math" w:hAnsi="Cambria Math"/>
              </w:rPr>
              <m:t>r</m:t>
            </m:r>
          </m:sub>
        </m:sSub>
      </m:oMath>
      <w:r>
        <w:t xml:space="preserve"> into the MSE. Replicates that fail to converge are skipped and the divisor reduced accordingly; with </w:t>
      </w:r>
      <w:r>
        <w:rPr>
          <w:rStyle w:val="VerbatimChar"/>
        </w:rPr>
        <w:t>MSE = FALSE</w:t>
      </w:r>
      <w:r>
        <w:t>, the benchmarked MSE column is filled with the unbenchmarked FH MSE as a placeholder.</w:t>
      </w:r>
    </w:p>
    <w:p w14:paraId="0C8039E4" w14:textId="77777777" w:rsidR="004D355D" w:rsidRDefault="000F2E07">
      <w:pPr>
        <w:pStyle w:val="Heading1"/>
      </w:pPr>
      <w:bookmarkStart w:id="5" w:name="X9488b9aabddd51e961886777afc99694e19435e"/>
      <w:r>
        <w:lastRenderedPageBreak/>
        <w:t>Part II. The Multivariate Fay–Herriot Models (Multiple Periods)</w:t>
      </w:r>
      <w:bookmarkEnd w:id="5"/>
    </w:p>
    <w:p w14:paraId="0C8039E5" w14:textId="77777777" w:rsidR="004D355D" w:rsidRDefault="000F2E07">
      <w:pPr>
        <w:pStyle w:val="Heading2"/>
      </w:pPr>
      <w:bookmarkStart w:id="6" w:name="model-variants"/>
      <w:r>
        <w:t>Model variants</w:t>
      </w:r>
      <w:bookmarkEnd w:id="6"/>
    </w:p>
    <w:p w14:paraId="0C8039E6" w14:textId="77777777" w:rsidR="004D355D" w:rsidRDefault="000F2E07">
      <w:pPr>
        <w:pStyle w:val="FirstParagraph"/>
      </w:pPr>
      <w:r>
        <w:t xml:space="preserve">Let </w:t>
      </w:r>
      <m:oMath>
        <m:r>
          <w:rPr>
            <w:rFonts w:ascii="Cambria Math" w:hAnsi="Cambria Math"/>
          </w:rPr>
          <m:t>d</m:t>
        </m:r>
        <m:r>
          <w:rPr>
            <w:rFonts w:ascii="Cambria Math" w:hAnsi="Cambria Math"/>
          </w:rPr>
          <m:t>=1,…,</m:t>
        </m:r>
        <m:r>
          <w:rPr>
            <w:rFonts w:ascii="Cambria Math" w:hAnsi="Cambria Math"/>
          </w:rPr>
          <m:t>D</m:t>
        </m:r>
      </m:oMath>
      <w:r>
        <w:t xml:space="preserve"> index domains and </w:t>
      </w:r>
      <m:oMath>
        <m:r>
          <w:rPr>
            <w:rFonts w:ascii="Cambria Math" w:hAnsi="Cambria Math"/>
          </w:rPr>
          <m:t>t</m:t>
        </m:r>
        <m:r>
          <w:rPr>
            <w:rFonts w:ascii="Cambria Math" w:hAnsi="Cambria Math"/>
          </w:rPr>
          <m:t>=1,…,</m:t>
        </m:r>
        <m:r>
          <w:rPr>
            <w:rFonts w:ascii="Cambria Math" w:hAnsi="Cambria Math"/>
          </w:rPr>
          <m:t>T</m:t>
        </m:r>
      </m:oMath>
      <w:r>
        <w:t xml:space="preserve"> periods. For each domain, the vector of direct estimates over time is modeled as a regression mean plus correlated random effects plus sampling errors with known </w:t>
      </w:r>
      <m:oMath>
        <m:r>
          <w:rPr>
            <w:rFonts w:ascii="Cambria Math" w:hAnsi="Cambria Math"/>
          </w:rPr>
          <m:t>T</m:t>
        </m:r>
        <m:r>
          <w:rPr>
            <w:rFonts w:ascii="Cambria Math" w:hAnsi="Cambria Math"/>
          </w:rPr>
          <m:t>×</m:t>
        </m:r>
        <m:r>
          <w:rPr>
            <w:rFonts w:ascii="Cambria Math" w:hAnsi="Cambria Math"/>
          </w:rPr>
          <m:t>T</m:t>
        </m:r>
      </m:oMath>
      <w:r>
        <w:t xml:space="preserve"> covariance </w:t>
      </w:r>
      <m:oMath>
        <m:sSub>
          <m:sSubPr>
            <m:ctrlPr>
              <w:rPr>
                <w:rFonts w:ascii="Cambria Math" w:hAnsi="Cambria Math"/>
              </w:rPr>
            </m:ctrlPr>
          </m:sSubPr>
          <m:e>
            <m:r>
              <w:rPr>
                <w:rFonts w:ascii="Cambria Math" w:hAnsi="Cambria Math"/>
              </w:rPr>
              <m:t>Σ</m:t>
            </m:r>
          </m:e>
          <m:sub>
            <m:r>
              <w:rPr>
                <w:rFonts w:ascii="Cambria Math" w:hAnsi="Cambria Math"/>
              </w:rPr>
              <m:t>e</m:t>
            </m:r>
            <m:r>
              <w:rPr>
                <w:rFonts w:ascii="Cambria Math" w:hAnsi="Cambria Math"/>
              </w:rPr>
              <m:t>,</m:t>
            </m:r>
            <m:r>
              <w:rPr>
                <w:rFonts w:ascii="Cambria Math" w:hAnsi="Cambria Math"/>
              </w:rPr>
              <m:t>d</m:t>
            </m:r>
          </m:sub>
        </m:sSub>
      </m:oMath>
      <w:r>
        <w:t xml:space="preserve">. Under MFH2 the random effects follow a homoskedastic AR(1) process, </w:t>
      </w:r>
      <m:oMath>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m:t>
        </m:r>
        <m:r>
          <w:rPr>
            <w:rFonts w:ascii="Cambria Math" w:hAnsi="Cambria Math"/>
          </w:rPr>
          <m:t>ρ</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r>
              <w:rPr>
                <w:rFonts w:ascii="Cambria Math" w:hAnsi="Cambria Math"/>
              </w:rPr>
              <m:t>,</m:t>
            </m:r>
            <m:r>
              <w:rPr>
                <w:rFonts w:ascii="Cambria Math" w:hAnsi="Cambria Math"/>
              </w:rPr>
              <m:t>t</m:t>
            </m:r>
          </m:sub>
        </m:sSub>
      </m:oMath>
      <w:r>
        <w:t xml:space="preserve">, so nearby periods share information; MFH1 makes the effects independent across periods; MFH3 allows the AR(1) innovation variance to vary by period. The models are fitted with the </w:t>
      </w:r>
      <w:r>
        <w:rPr>
          <w:rStyle w:val="VerbatimChar"/>
        </w:rPr>
        <w:t>msae</w:t>
      </w:r>
      <w:r>
        <w:t xml:space="preserve"> package (Permatasari and Ubaidillah, 2021), following Benavent and Morales (2016).</w:t>
      </w:r>
    </w:p>
    <w:p w14:paraId="0C8039E7" w14:textId="77777777" w:rsidR="004D355D" w:rsidRDefault="000F2E07">
      <w:pPr>
        <w:pStyle w:val="Heading2"/>
      </w:pPr>
      <w:bookmarkStart w:id="7" w:name="Xdff753641f262cb82e7d1d0826f1bdb0876a302"/>
      <w:r>
        <w:t>Parametric bootstrap for MSE and MCPE (unbenchmarked)</w:t>
      </w:r>
      <w:bookmarkEnd w:id="7"/>
    </w:p>
    <w:p w14:paraId="0C8039E8" w14:textId="3FB9EE6C" w:rsidR="004D355D" w:rsidRDefault="000F2E07">
      <w:pPr>
        <w:pStyle w:val="FirstParagraph"/>
      </w:pPr>
      <w:r>
        <w:t>For the MFH</w:t>
      </w:r>
      <w:r w:rsidR="00B05154">
        <w:t>,</w:t>
      </w:r>
      <w:r>
        <w:t xml:space="preserve"> the package needs not only per-period MSEs but also the cross-period covariance of prediction errors — the mean cross-product error (MCPE) — required for inference on changes. Both are estimated by a </w:t>
      </w:r>
      <w:r>
        <w:rPr>
          <w:b/>
        </w:rPr>
        <w:t>fully parametric bootstrap</w:t>
      </w:r>
      <w:r>
        <w:t xml:space="preserve"> (</w:t>
      </w:r>
      <w:r>
        <w:rPr>
          <w:rStyle w:val="VerbatimChar"/>
        </w:rPr>
        <w:t>pbmcpe_with_existing()</w:t>
      </w:r>
      <w:r>
        <w:t>, dispatching to the variant-specific routines), which draws random effects and sampling errors directly from the fitted normal model rather than resampling residuals. From the fitted object</w:t>
      </w:r>
      <w:r w:rsidR="00B05154">
        <w:t>,</w:t>
      </w:r>
      <w:r>
        <w:t xml:space="preserve"> it harvests </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t</m:t>
            </m:r>
          </m:sub>
        </m:sSub>
      </m:oMath>
      <w:r>
        <w:t xml:space="preserve">, the random-effect variance (scalar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 xml:space="preserve"> under MFH2, length- </w:t>
      </w:r>
      <m:oMath>
        <m:r>
          <w:rPr>
            <w:rFonts w:ascii="Cambria Math" w:hAnsi="Cambria Math"/>
          </w:rPr>
          <m:t>T</m:t>
        </m:r>
      </m:oMath>
      <w:r>
        <w:t xml:space="preserve"> vector under MFH1/MFH3), the AR(1) coefficient </w:t>
      </w:r>
      <m:oMath>
        <m:acc>
          <m:accPr>
            <m:ctrlPr>
              <w:rPr>
                <w:rFonts w:ascii="Cambria Math" w:hAnsi="Cambria Math"/>
              </w:rPr>
            </m:ctrlPr>
          </m:accPr>
          <m:e>
            <m:r>
              <w:rPr>
                <w:rFonts w:ascii="Cambria Math" w:hAnsi="Cambria Math"/>
              </w:rPr>
              <m:t>ρ</m:t>
            </m:r>
          </m:e>
        </m:acc>
      </m:oMath>
      <w:r>
        <w:t xml:space="preserve">, and </w:t>
      </w:r>
      <m:oMath>
        <m:sSub>
          <m:sSubPr>
            <m:ctrlPr>
              <w:rPr>
                <w:rFonts w:ascii="Cambria Math" w:hAnsi="Cambria Math"/>
              </w:rPr>
            </m:ctrlPr>
          </m:sSubPr>
          <m:e>
            <m:r>
              <w:rPr>
                <w:rFonts w:ascii="Cambria Math" w:hAnsi="Cambria Math"/>
              </w:rPr>
              <m:t>Σ</m:t>
            </m:r>
          </m:e>
          <m:sub>
            <m:r>
              <w:rPr>
                <w:rFonts w:ascii="Cambria Math" w:hAnsi="Cambria Math"/>
              </w:rPr>
              <m:t>e</m:t>
            </m:r>
            <m:r>
              <w:rPr>
                <w:rFonts w:ascii="Cambria Math" w:hAnsi="Cambria Math"/>
              </w:rPr>
              <m:t>,</m:t>
            </m:r>
            <m:r>
              <w:rPr>
                <w:rFonts w:ascii="Cambria Math" w:hAnsi="Cambria Math"/>
              </w:rPr>
              <m:t>d</m:t>
            </m:r>
          </m:sub>
        </m:sSub>
      </m:oMath>
      <w:r>
        <w:t xml:space="preserve">. For each replicate </w:t>
      </w:r>
      <m:oMath>
        <m:r>
          <w:rPr>
            <w:rFonts w:ascii="Cambria Math" w:hAnsi="Cambria Math"/>
          </w:rPr>
          <m:t>b</m:t>
        </m:r>
        <m:r>
          <w:rPr>
            <w:rFonts w:ascii="Cambria Math" w:hAnsi="Cambria Math"/>
          </w:rPr>
          <m:t>=1,…,</m:t>
        </m:r>
        <m:r>
          <w:rPr>
            <w:rFonts w:ascii="Cambria Math" w:hAnsi="Cambria Math"/>
          </w:rPr>
          <m:t>B</m:t>
        </m:r>
      </m:oMath>
      <w:r>
        <w:t>:</w:t>
      </w:r>
    </w:p>
    <w:p w14:paraId="0C8039E9" w14:textId="77777777" w:rsidR="004D355D" w:rsidRDefault="000F2E07">
      <w:pPr>
        <w:pStyle w:val="Compact"/>
        <w:numPr>
          <w:ilvl w:val="0"/>
          <w:numId w:val="2"/>
        </w:numPr>
      </w:pPr>
      <w:r>
        <w:rPr>
          <w:b/>
        </w:rPr>
        <w:t>Random effects.</w:t>
      </w:r>
      <w:r>
        <w:t xml:space="preserve"> For MFH2 (homoskedastic AR(1), stationary initialization):</w:t>
      </w:r>
    </w:p>
    <w:p w14:paraId="0C8039EA" w14:textId="77777777" w:rsidR="004D355D" w:rsidRDefault="000F2E07">
      <w:pPr>
        <w:pStyle w:val="FirstParagraph"/>
        <w:spacing w:before="0" w:after="160" w:line="240" w:lineRule="atLeast"/>
        <w:jc w:val="center"/>
      </w:pPr>
      <w:r>
        <w:t xml:space="preserve"> </w:t>
      </w:r>
      <m:oMath>
        <m:sSubSup>
          <m:sSubSupPr>
            <m:ctrlPr>
              <w:rPr>
                <w:rFonts w:ascii="Cambria Math" w:hAnsi="Cambria Math"/>
              </w:rPr>
            </m:ctrlPr>
          </m:sSubSupPr>
          <m:e>
            <m:r>
              <w:rPr>
                <w:rFonts w:ascii="Cambria Math" w:hAnsi="Cambria Math"/>
              </w:rPr>
              <m:t>u</m:t>
            </m:r>
          </m:e>
          <m:sub>
            <m:r>
              <w:rPr>
                <w:rFonts w:ascii="Cambria Math" w:hAnsi="Cambria Math"/>
              </w:rPr>
              <m:t>d</m:t>
            </m:r>
            <m:r>
              <w:rPr>
                <w:rFonts w:ascii="Cambria Math" w:hAnsi="Cambria Math"/>
              </w:rPr>
              <m:t>,1</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d</m:t>
                </m:r>
                <m:r>
                  <w:rPr>
                    <w:rFonts w:ascii="Cambria Math" w:hAnsi="Cambria Math"/>
                  </w:rPr>
                  <m:t>,1</m:t>
                </m:r>
              </m:sub>
              <m:sup>
                <m:r>
                  <w:rPr>
                    <w:rFonts w:ascii="Cambria Math" w:hAnsi="Cambria Math"/>
                  </w:rPr>
                  <m:t>(</m:t>
                </m:r>
                <m:r>
                  <w:rPr>
                    <w:rFonts w:ascii="Cambria Math" w:hAnsi="Cambria Math"/>
                  </w:rPr>
                  <m:t>b</m:t>
                </m:r>
                <m:r>
                  <w:rPr>
                    <w:rFonts w:ascii="Cambria Math" w:hAnsi="Cambria Math"/>
                  </w:rPr>
                  <m:t>)</m:t>
                </m:r>
              </m:sup>
            </m:sSubSup>
          </m:num>
          <m:den>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acc>
                      <m:accPr>
                        <m:ctrlPr>
                          <w:rPr>
                            <w:rFonts w:ascii="Cambria Math" w:hAnsi="Cambria Math"/>
                          </w:rPr>
                        </m:ctrlPr>
                      </m:accPr>
                      <m:e>
                        <m:r>
                          <w:rPr>
                            <w:rFonts w:ascii="Cambria Math" w:hAnsi="Cambria Math"/>
                          </w:rPr>
                          <m:t>ρ</m:t>
                        </m:r>
                      </m:e>
                    </m:acc>
                  </m:e>
                  <m:sup>
                    <m:r>
                      <w:rPr>
                        <w:rFonts w:ascii="Cambria Math" w:hAnsi="Cambria Math"/>
                      </w:rPr>
                      <m:t>2</m:t>
                    </m:r>
                  </m:sup>
                </m:sSup>
              </m:e>
            </m:rad>
          </m:den>
        </m:f>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m:t>
        </m:r>
        <m:acc>
          <m:accPr>
            <m:ctrlPr>
              <w:rPr>
                <w:rFonts w:ascii="Cambria Math" w:hAnsi="Cambria Math"/>
              </w:rPr>
            </m:ctrlPr>
          </m:accPr>
          <m:e>
            <m:r>
              <w:rPr>
                <w:rFonts w:ascii="Cambria Math" w:hAnsi="Cambria Math"/>
              </w:rPr>
              <m:t>ρ</m:t>
            </m:r>
          </m:e>
        </m:acc>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-1</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w:r>
        <w:t xml:space="preserve"> </w:t>
      </w:r>
    </w:p>
    <w:p w14:paraId="0C8039EB" w14:textId="77777777" w:rsidR="004D355D" w:rsidRDefault="000F2E07">
      <w:pPr>
        <w:pStyle w:val="FirstParagraph"/>
      </w:pPr>
      <w:r>
        <w:t xml:space="preserve">MFH3 uses the same recursion with time-varying innovation variance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r>
              <w:rPr>
                <w:rFonts w:ascii="Cambria Math" w:hAnsi="Cambria Math"/>
              </w:rPr>
              <m:t>,</m:t>
            </m:r>
            <m:r>
              <w:rPr>
                <w:rFonts w:ascii="Cambria Math" w:hAnsi="Cambria Math"/>
              </w:rPr>
              <m:t>t</m:t>
            </m:r>
          </m:sub>
          <m:sup>
            <m:r>
              <w:rPr>
                <w:rFonts w:ascii="Cambria Math" w:hAnsi="Cambria Math"/>
              </w:rPr>
              <m:t>2</m:t>
            </m:r>
          </m:sup>
        </m:sSubSup>
      </m:oMath>
      <w:r>
        <w:t xml:space="preserve"> and a non-stationary first period (a stationary initialization does not strictly exist in the heteroskedastic case); MFH1 sets </w:t>
      </w:r>
      <m:oMath>
        <m:r>
          <w:rPr>
            <w:rFonts w:ascii="Cambria Math" w:hAnsi="Cambria Math"/>
          </w:rPr>
          <m:t>ρ</m:t>
        </m:r>
        <m:r>
          <w:rPr>
            <w:rFonts w:ascii="Cambria Math" w:hAnsi="Cambria Math"/>
          </w:rPr>
          <m:t>=0</m:t>
        </m:r>
      </m:oMath>
      <w:r>
        <w:t xml:space="preserve"> and draws </w:t>
      </w:r>
      <m:oMath>
        <m:sSubSup>
          <m:sSubSupPr>
            <m:ctrlPr>
              <w:rPr>
                <w:rFonts w:ascii="Cambria Math" w:hAnsi="Cambria Math"/>
              </w:rPr>
            </m:ctrlPr>
          </m:sSubSup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r>
              <w:rPr>
                <w:rFonts w:ascii="Cambria Math" w:hAnsi="Cambria Math"/>
              </w:rPr>
              <m:t>,</m:t>
            </m:r>
            <m:r>
              <w:rPr>
                <w:rFonts w:ascii="Cambria Math" w:hAnsi="Cambria Math"/>
              </w:rPr>
              <m:t>t</m:t>
            </m:r>
          </m:sub>
          <m:sup>
            <m:r>
              <w:rPr>
                <w:rFonts w:ascii="Cambria Math" w:hAnsi="Cambria Math"/>
              </w:rPr>
              <m:t>2</m:t>
            </m:r>
          </m:sup>
        </m:sSubSup>
        <m:r>
          <w:rPr>
            <w:rFonts w:ascii="Cambria Math" w:hAnsi="Cambria Math"/>
          </w:rPr>
          <m:t>)</m:t>
        </m:r>
      </m:oMath>
      <w:r>
        <w:t xml:space="preserve"> independently.</w:t>
      </w:r>
    </w:p>
    <w:p w14:paraId="0C8039EC" w14:textId="54E1F089" w:rsidR="004D355D" w:rsidRDefault="000F2E07">
      <w:pPr>
        <w:numPr>
          <w:ilvl w:val="0"/>
          <w:numId w:val="3"/>
        </w:numPr>
      </w:pPr>
      <w:r>
        <w:rPr>
          <w:b/>
        </w:rPr>
        <w:t>Sampling errors</w:t>
      </w:r>
      <w:r>
        <w:t>, drawn jointly across periods</w:t>
      </w:r>
      <w:r w:rsidR="004E3921">
        <w:t>,</w:t>
      </w:r>
      <w:r>
        <w:t xml:space="preserve"> so the temporal covariance of the direct estimates is respected: </w:t>
      </w:r>
      <m:oMath>
        <m:sSubSup>
          <m:sSubSupPr>
            <m:ctrlPr>
              <w:rPr>
                <w:rFonts w:ascii="Cambria Math" w:hAnsi="Cambria Math"/>
              </w:rPr>
            </m:ctrlPr>
          </m:sSubSupPr>
          <m:e>
            <m:r>
              <m:rPr>
                <m:sty m:val="b"/>
              </m:rPr>
              <w:rPr>
                <w:rFonts w:ascii="Cambria Math" w:hAnsi="Cambria Math"/>
              </w:rPr>
              <m:t>e</m:t>
            </m:r>
          </m:e>
          <m:sub>
            <m:r>
              <w:rPr>
                <w:rFonts w:ascii="Cambria Math" w:hAnsi="Cambria Math"/>
              </w:rPr>
              <m:t>d</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m:t>
        </m:r>
        <m:r>
          <w:rPr>
            <w:rFonts w:ascii="Cambria Math" w:hAnsi="Cambria Math"/>
          </w:rPr>
          <m:t>N</m:t>
        </m:r>
        <m:r>
          <w:rPr>
            <w:rFonts w:ascii="Cambria Math" w:hAnsi="Cambria Math"/>
          </w:rPr>
          <m:t>(</m:t>
        </m:r>
        <m:r>
          <m:rPr>
            <m:sty m:val="b"/>
          </m:rPr>
          <w:rPr>
            <w:rFonts w:ascii="Cambria Math" w:hAnsi="Cambria Math"/>
          </w:rPr>
          <m:t>0</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e</m:t>
            </m:r>
            <m:r>
              <w:rPr>
                <w:rFonts w:ascii="Cambria Math" w:hAnsi="Cambria Math"/>
              </w:rPr>
              <m:t>,</m:t>
            </m:r>
            <m:r>
              <w:rPr>
                <w:rFonts w:ascii="Cambria Math" w:hAnsi="Cambria Math"/>
              </w:rPr>
              <m:t>d</m:t>
            </m:r>
          </m:sub>
        </m:sSub>
        <m:r>
          <w:rPr>
            <w:rFonts w:ascii="Cambria Math" w:hAnsi="Cambria Math"/>
          </w:rPr>
          <m:t>)</m:t>
        </m:r>
      </m:oMath>
      <w:r>
        <w:t>.</w:t>
      </w:r>
    </w:p>
    <w:p w14:paraId="0C8039ED" w14:textId="77777777" w:rsidR="004D355D" w:rsidRDefault="000F2E07">
      <w:pPr>
        <w:numPr>
          <w:ilvl w:val="0"/>
          <w:numId w:val="3"/>
        </w:numPr>
      </w:pPr>
      <w:r>
        <w:rPr>
          <w:b/>
        </w:rPr>
        <w:t>Synthetic truth and observation:</w:t>
      </w:r>
    </w:p>
    <w:p w14:paraId="0C8039EE" w14:textId="77777777" w:rsidR="004D355D" w:rsidRDefault="000F2E07">
      <w:pPr>
        <w:pStyle w:val="FirstParagraph"/>
        <w:spacing w:before="0" w:after="160" w:line="240" w:lineRule="atLeast"/>
        <w:jc w:val="center"/>
      </w:pPr>
      <w:r>
        <w:t xml:space="preserve"> </w:t>
      </w:r>
      <m:oMath>
        <m:sSubSup>
          <m:sSubSupPr>
            <m:ctrlPr>
              <w:rPr>
                <w:rFonts w:ascii="Cambria Math" w:hAnsi="Cambria Math"/>
              </w:rPr>
            </m:ctrlPr>
          </m:sSubSupPr>
          <m:e>
            <m:r>
              <w:rPr>
                <w:rFonts w:ascii="Cambria Math" w:hAnsi="Cambria Math"/>
              </w:rPr>
              <m:t>θ</m:t>
            </m:r>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sup>
        </m:sSubSup>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y</m:t>
            </m:r>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m:t>
        </m:r>
      </m:oMath>
      <w:r>
        <w:t xml:space="preserve"> </w:t>
      </w:r>
    </w:p>
    <w:p w14:paraId="0C8039EF" w14:textId="77777777" w:rsidR="004D355D" w:rsidRDefault="000F2E07">
      <w:pPr>
        <w:pStyle w:val="Compact"/>
        <w:numPr>
          <w:ilvl w:val="0"/>
          <w:numId w:val="4"/>
        </w:numPr>
      </w:pPr>
      <w:r>
        <w:rPr>
          <w:b/>
        </w:rPr>
        <w:t>Refit</w:t>
      </w:r>
      <w:r>
        <w:t xml:space="preserve"> the same MFH variant on </w:t>
      </w:r>
      <m:oMath>
        <m:sSup>
          <m:sSupPr>
            <m:ctrlPr>
              <w:rPr>
                <w:rFonts w:ascii="Cambria Math" w:hAnsi="Cambria Math"/>
              </w:rPr>
            </m:ctrlPr>
          </m:sSupPr>
          <m:e>
            <m:r>
              <w:rPr>
                <w:rFonts w:ascii="Cambria Math" w:hAnsi="Cambria Math"/>
              </w:rPr>
              <m:t>y</m:t>
            </m:r>
          </m:e>
          <m:sup>
            <m:r>
              <w:rPr>
                <w:rFonts w:ascii="Cambria Math" w:hAnsi="Cambria Math"/>
              </w:rPr>
              <m:t>(</m:t>
            </m:r>
            <m:r>
              <w:rPr>
                <w:rFonts w:ascii="Cambria Math" w:hAnsi="Cambria Math"/>
              </w:rPr>
              <m:t>b</m:t>
            </m:r>
            <m:r>
              <w:rPr>
                <w:rFonts w:ascii="Cambria Math" w:hAnsi="Cambria Math"/>
              </w:rPr>
              <m:t>)</m:t>
            </m:r>
          </m:sup>
        </m:sSup>
      </m:oMath>
      <w:r>
        <w:t xml:space="preserve"> to obtain bootstrap EBLUPs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r>
              <w:rPr>
                <w:rFonts w:ascii="Cambria Math" w:hAnsi="Cambria Math"/>
              </w:rPr>
              <m:t>b</m:t>
            </m:r>
            <m:r>
              <w:rPr>
                <w:rFonts w:ascii="Cambria Math" w:hAnsi="Cambria Math"/>
              </w:rPr>
              <m:t>)</m:t>
            </m:r>
          </m:sup>
        </m:sSubSup>
      </m:oMath>
      <w:r>
        <w:t xml:space="preserve">. Non-convergent replicates are skipped, counted in </w:t>
      </w:r>
      <w:r>
        <w:rPr>
          <w:rStyle w:val="VerbatimChar"/>
        </w:rPr>
        <w:t>fails</w:t>
      </w:r>
      <w:r>
        <w:t>, and redrawn, up to a hard cap (</w:t>
      </w:r>
      <w:r>
        <w:rPr>
          <w:rStyle w:val="VerbatimChar"/>
        </w:rPr>
        <w:t>max_attempts</w:t>
      </w:r>
      <w:r>
        <w:t xml:space="preserve">, default </w:t>
      </w:r>
      <m:oMath>
        <m:r>
          <w:rPr>
            <w:rFonts w:ascii="Cambria Math" w:hAnsi="Cambria Math"/>
          </w:rPr>
          <m:t>5</m:t>
        </m:r>
        <m:r>
          <w:rPr>
            <w:rFonts w:ascii="Cambria Math" w:hAnsi="Cambria Math"/>
          </w:rPr>
          <m:t>B</m:t>
        </m:r>
      </m:oMath>
      <w:r>
        <w:t xml:space="preserve">); the divisor is the number of </w:t>
      </w:r>
      <w:r>
        <w:rPr>
          <w:i/>
        </w:rPr>
        <w:t>successful</w:t>
      </w:r>
      <w:r>
        <w:t xml:space="preserve"> replicates </w:t>
      </w:r>
      <m:oMath>
        <m:sSub>
          <m:sSubPr>
            <m:ctrlPr>
              <w:rPr>
                <w:rFonts w:ascii="Cambria Math" w:hAnsi="Cambria Math"/>
              </w:rPr>
            </m:ctrlPr>
          </m:sSubPr>
          <m:e>
            <m:r>
              <w:rPr>
                <w:rFonts w:ascii="Cambria Math" w:hAnsi="Cambria Math"/>
              </w:rPr>
              <m:t>n</m:t>
            </m:r>
          </m:e>
          <m:sub>
            <m:r>
              <m:rPr>
                <m:sty m:val="p"/>
              </m:rPr>
              <w:rPr>
                <w:rFonts w:ascii="Cambria Math" w:hAnsi="Cambria Math"/>
              </w:rPr>
              <m:t>valid</m:t>
            </m:r>
          </m:sub>
        </m:sSub>
      </m:oMath>
      <w:r>
        <w:t>, so failures do not deflate the estimate.</w:t>
      </w:r>
    </w:p>
    <w:p w14:paraId="0C8039F0" w14:textId="77777777" w:rsidR="004D355D" w:rsidRDefault="000F2E07">
      <w:pPr>
        <w:pStyle w:val="FirstParagraph"/>
      </w:pPr>
      <w:r>
        <w:t xml:space="preserve">With prediction errors </w:t>
      </w:r>
      <m:oMath>
        <m:sSubSup>
          <m:sSubSupPr>
            <m:ctrlPr>
              <w:rPr>
                <w:rFonts w:ascii="Cambria Math" w:hAnsi="Cambria Math"/>
              </w:rPr>
            </m:ctrlPr>
          </m:sSubSupPr>
          <m:e>
            <m:r>
              <w:rPr>
                <w:rFonts w:ascii="Cambria Math" w:hAnsi="Cambria Math"/>
              </w:rPr>
              <m:t>δ</m:t>
            </m:r>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r>
              <w:rPr>
                <w:rFonts w:ascii="Cambria Math" w:hAnsi="Cambria Math"/>
              </w:rPr>
              <m:t>b</m:t>
            </m:r>
            <m:r>
              <w:rPr>
                <w:rFonts w:ascii="Cambria Math" w:hAnsi="Cambria Math"/>
              </w:rPr>
              <m:t>)</m:t>
            </m:r>
          </m:sup>
        </m:sSubSup>
      </m:oMath>
      <w:r>
        <w:t>,</w:t>
      </w:r>
    </w:p>
    <w:p w14:paraId="0C8039F1" w14:textId="77777777" w:rsidR="004D355D" w:rsidRDefault="000F2E07">
      <w:pPr>
        <w:pStyle w:val="BodyText"/>
        <w:spacing w:before="0" w:after="160" w:line="240" w:lineRule="atLeast"/>
        <w:jc w:val="center"/>
      </w:pPr>
      <w:r>
        <w:t xml:space="preserve">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MSE</m:t>
                </m:r>
              </m:e>
            </m:acc>
          </m:e>
          <m:sub>
            <m:r>
              <w:rPr>
                <w:rFonts w:ascii="Cambria Math" w:hAnsi="Cambria Math"/>
              </w:rPr>
              <m:t>d</m:t>
            </m:r>
            <m:r>
              <w:rPr>
                <w:rFonts w:ascii="Cambria Math" w:hAnsi="Cambria Math"/>
              </w:rPr>
              <m:t>,</m:t>
            </m:r>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valid</m:t>
                </m:r>
              </m:sub>
            </m:sSub>
          </m:den>
        </m:f>
        <m:nary>
          <m:naryPr>
            <m:chr m:val="∑"/>
            <m:limLoc m:val="undOvr"/>
            <m:ctrlPr>
              <w:rPr>
                <w:rFonts w:ascii="Cambria Math" w:hAnsi="Cambria Math"/>
              </w:rPr>
            </m:ctrlPr>
          </m:naryPr>
          <m:sub>
            <m:r>
              <w:rPr>
                <w:rFonts w:ascii="Cambria Math" w:hAnsi="Cambria Math"/>
              </w:rPr>
              <m:t>b</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valid</m:t>
                </m:r>
              </m:sub>
            </m:sSub>
          </m:sup>
          <m:e>
            <m:r>
              <w:rPr>
                <w:rFonts w:ascii="Cambria Math" w:hAnsi="Cambria Math"/>
              </w:rPr>
              <m:t>(</m:t>
            </m:r>
          </m:e>
        </m:nary>
        <m:sSubSup>
          <m:sSubSupPr>
            <m:ctrlPr>
              <w:rPr>
                <w:rFonts w:ascii="Cambria Math" w:hAnsi="Cambria Math"/>
              </w:rPr>
            </m:ctrlPr>
          </m:sSubSupPr>
          <m:e>
            <m:r>
              <w:rPr>
                <w:rFonts w:ascii="Cambria Math" w:hAnsi="Cambria Math"/>
              </w:rPr>
              <m:t>δ</m:t>
            </m:r>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r>
              <w:rPr>
                <w:rFonts w:ascii="Cambria Math" w:hAnsi="Cambria Math"/>
              </w:rPr>
              <m:t>b</m:t>
            </m:r>
            <m:r>
              <w:rPr>
                <w:rFonts w:ascii="Cambria Math" w:hAnsi="Cambria Math"/>
              </w:rPr>
              <m:t>)</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MCPE</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valid</m:t>
                </m:r>
              </m:sub>
            </m:sSub>
          </m:den>
        </m:f>
        <m:nary>
          <m:naryPr>
            <m:chr m:val="∑"/>
            <m:limLoc m:val="undOvr"/>
            <m:ctrlPr>
              <w:rPr>
                <w:rFonts w:ascii="Cambria Math" w:hAnsi="Cambria Math"/>
              </w:rPr>
            </m:ctrlPr>
          </m:naryPr>
          <m:sub>
            <m:r>
              <w:rPr>
                <w:rFonts w:ascii="Cambria Math" w:hAnsi="Cambria Math"/>
              </w:rPr>
              <m:t>b</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valid</m:t>
                </m:r>
              </m:sub>
            </m:sSub>
          </m:sup>
          <m:e>
            <m:sSubSup>
              <m:sSubSupPr>
                <m:ctrlPr>
                  <w:rPr>
                    <w:rFonts w:ascii="Cambria Math" w:hAnsi="Cambria Math"/>
                  </w:rPr>
                </m:ctrlPr>
              </m:sSubSupPr>
              <m:e>
                <m:r>
                  <w:rPr>
                    <w:rFonts w:ascii="Cambria Math" w:hAnsi="Cambria Math"/>
                  </w:rPr>
                  <m:t>δ</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m:t>
                </m:r>
                <m:r>
                  <w:rPr>
                    <w:rFonts w:ascii="Cambria Math" w:hAnsi="Cambria Math"/>
                  </w:rPr>
                  <m:t>b</m:t>
                </m:r>
                <m:r>
                  <w:rPr>
                    <w:rFonts w:ascii="Cambria Math" w:hAnsi="Cambria Math"/>
                  </w:rPr>
                  <m:t>)</m:t>
                </m:r>
              </m:sup>
            </m:sSubSup>
          </m:e>
        </m:nary>
        <m:r>
          <w:rPr>
            <w:rFonts w:ascii="Cambria Math" w:hAnsi="Cambria Math"/>
          </w:rPr>
          <m:t> </m:t>
        </m:r>
        <m:sSubSup>
          <m:sSubSupPr>
            <m:ctrlPr>
              <w:rPr>
                <w:rFonts w:ascii="Cambria Math" w:hAnsi="Cambria Math"/>
              </w:rPr>
            </m:ctrlPr>
          </m:sSubSupPr>
          <m:e>
            <m:r>
              <w:rPr>
                <w:rFonts w:ascii="Cambria Math" w:hAnsi="Cambria Math"/>
              </w:rPr>
              <m:t>δ</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m:t>
        </m:r>
      </m:oMath>
      <w:r>
        <w:t xml:space="preserve"> </w:t>
      </w:r>
    </w:p>
    <w:p w14:paraId="0C8039F2" w14:textId="77777777" w:rsidR="004D355D" w:rsidRDefault="000F2E07">
      <w:pPr>
        <w:pStyle w:val="FirstParagraph"/>
      </w:pPr>
      <w:r>
        <w:t xml:space="preserve">The MSE fills the diagonal and the MCPE the off-diagonals of each domain’s prediction-error covariance matrix over time. Point estimates reported to the user come from the original model fit; only the </w:t>
      </w:r>
      <w:r>
        <w:lastRenderedPageBreak/>
        <w:t xml:space="preserve">MSE/MCPE come from the bootstrap. The driver </w:t>
      </w:r>
      <w:r>
        <w:rPr>
          <w:rStyle w:val="VerbatimChar"/>
        </w:rPr>
        <w:t>02_mfh.R</w:t>
      </w:r>
      <w:r>
        <w:t xml:space="preserve"> uses </w:t>
      </w:r>
      <m:oMath>
        <m:r>
          <w:rPr>
            <w:rFonts w:ascii="Cambria Math" w:hAnsi="Cambria Math"/>
          </w:rPr>
          <m:t>B</m:t>
        </m:r>
        <m:r>
          <w:rPr>
            <w:rFonts w:ascii="Cambria Math" w:hAnsi="Cambria Math"/>
          </w:rPr>
          <m:t>=50</m:t>
        </m:r>
      </m:oMath>
      <w:r>
        <w:t xml:space="preserve"> replicates with relaxed refit settings (</w:t>
      </w:r>
      <w:r>
        <w:rPr>
          <w:rStyle w:val="VerbatimChar"/>
        </w:rPr>
        <w:t>MAXITER = 1e10</w:t>
      </w:r>
      <w:r>
        <w:t xml:space="preserve">, </w:t>
      </w:r>
      <w:r>
        <w:rPr>
          <w:rStyle w:val="VerbatimChar"/>
        </w:rPr>
        <w:t>PRECISION = 1e-2</w:t>
      </w:r>
      <w:r>
        <w:t>).</w:t>
      </w:r>
    </w:p>
    <w:p w14:paraId="0C8039F3" w14:textId="77777777" w:rsidR="004D355D" w:rsidRDefault="000F2E07">
      <w:pPr>
        <w:pStyle w:val="Heading2"/>
      </w:pPr>
      <w:bookmarkStart w:id="8" w:name="benchmarked-mfh-estimates"/>
      <w:r>
        <w:t>Benchmarked MFH estimates</w:t>
      </w:r>
      <w:bookmarkEnd w:id="8"/>
    </w:p>
    <w:p w14:paraId="0C8039F4" w14:textId="77777777" w:rsidR="004D355D" w:rsidRDefault="000F2E07">
      <w:pPr>
        <w:pStyle w:val="FirstParagraph"/>
      </w:pPr>
      <w:r>
        <w:t xml:space="preserve">Benchmarking is applied independently within each region and period by </w:t>
      </w:r>
      <w:r>
        <w:rPr>
          <w:rStyle w:val="VerbatimChar"/>
        </w:rPr>
        <w:t>bench_regional_mfh()</w:t>
      </w:r>
      <w:r>
        <w:t xml:space="preserve">, on a common set of domains </w:t>
      </w: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rt</m:t>
            </m:r>
          </m:sub>
        </m:sSub>
      </m:oMath>
      <w:r>
        <w:t xml:space="preserve"> (those with a finite direct estimate, EBLUP, and population weight):</w:t>
      </w:r>
    </w:p>
    <w:p w14:paraId="0C8039F5" w14:textId="77777777" w:rsidR="004D355D" w:rsidRDefault="000F2E07">
      <w:pPr>
        <w:pStyle w:val="BodyText"/>
        <w:spacing w:before="0" w:after="160" w:line="240" w:lineRule="atLeast"/>
        <w:jc w:val="center"/>
      </w:pPr>
      <w:r>
        <w:t xml:space="preserve"> </w:t>
      </w:r>
      <m:oMath>
        <m:sSub>
          <m:sSubPr>
            <m:ctrlPr>
              <w:rPr>
                <w:rFonts w:ascii="Cambria Math" w:hAnsi="Cambria Math"/>
              </w:rPr>
            </m:ctrlPr>
          </m:sSubPr>
          <m:e>
            <m:r>
              <w:rPr>
                <w:rFonts w:ascii="Cambria Math" w:hAnsi="Cambria Math"/>
              </w:rPr>
              <m:t>B</m:t>
            </m:r>
          </m:e>
          <m:sub>
            <m:r>
              <w:rPr>
                <w:rFonts w:ascii="Cambria Math" w:hAnsi="Cambria Math"/>
              </w:rPr>
              <m:t>rt</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d</m:t>
                </m:r>
                <m: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rt</m:t>
                    </m:r>
                  </m:sub>
                </m:sSub>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m:t>
                    </m:r>
                    <m:r>
                      <w:rPr>
                        <w:rFonts w:ascii="Cambria Math" w:hAnsi="Cambria Math"/>
                      </w:rPr>
                      <m:t>t</m:t>
                    </m:r>
                  </m:sub>
                </m:sSub>
              </m:e>
            </m:nary>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 </m:t>
                </m:r>
                <m:r>
                  <m:rPr>
                    <m:sty m:val="p"/>
                  </m:rPr>
                  <w:rPr>
                    <w:rFonts w:ascii="Cambria Math" w:hAnsi="Cambria Math"/>
                  </w:rPr>
                  <m:t>dir</m:t>
                </m:r>
              </m:sup>
            </m:sSubSup>
          </m:num>
          <m:den>
            <m:nary>
              <m:naryPr>
                <m:chr m:val="∑"/>
                <m:limLoc m:val="undOvr"/>
                <m:supHide m:val="1"/>
                <m:ctrlPr>
                  <w:rPr>
                    <w:rFonts w:ascii="Cambria Math" w:hAnsi="Cambria Math"/>
                  </w:rPr>
                </m:ctrlPr>
              </m:naryPr>
              <m:sub>
                <m:r>
                  <w:rPr>
                    <w:rFonts w:ascii="Cambria Math" w:hAnsi="Cambria Math"/>
                  </w:rPr>
                  <m:t>d</m:t>
                </m:r>
                <m: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rt</m:t>
                    </m:r>
                  </m:sub>
                </m:sSub>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m:t>
                    </m:r>
                    <m:r>
                      <w:rPr>
                        <w:rFonts w:ascii="Cambria Math" w:hAnsi="Cambria Math"/>
                      </w:rPr>
                      <m:t>t</m:t>
                    </m:r>
                  </m:sub>
                </m:sSub>
              </m:e>
            </m:nary>
          </m:den>
        </m:f>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rt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rt</m:t>
                </m:r>
              </m:sub>
            </m:sSub>
          </m:num>
          <m:den>
            <m:nary>
              <m:naryPr>
                <m:chr m:val="∑"/>
                <m:limLoc m:val="undOvr"/>
                <m:supHide m:val="1"/>
                <m:ctrlPr>
                  <w:rPr>
                    <w:rFonts w:ascii="Cambria Math" w:hAnsi="Cambria Math"/>
                  </w:rPr>
                </m:ctrlPr>
              </m:naryPr>
              <m:sub>
                <m:r>
                  <w:rPr>
                    <w:rFonts w:ascii="Cambria Math" w:hAnsi="Cambria Math"/>
                  </w:rPr>
                  <m:t>d</m:t>
                </m:r>
                <m: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rt</m:t>
                    </m:r>
                  </m:sub>
                </m:sSub>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r</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Sub>
              </m:e>
            </m:nary>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 </m:t>
                </m:r>
                <m:r>
                  <m:rPr>
                    <m:sty m:val="p"/>
                  </m:rPr>
                  <w:rPr>
                    <w:rFonts w:ascii="Cambria Math" w:hAnsi="Cambria Math"/>
                  </w:rPr>
                  <m:t>EBLUP</m:t>
                </m:r>
              </m:sup>
            </m:sSubSup>
          </m:den>
        </m:f>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 </m:t>
            </m:r>
            <m:r>
              <m:rPr>
                <m:sty m:val="p"/>
              </m:rPr>
              <w:rPr>
                <w:rFonts w:ascii="Cambria Math" w:hAnsi="Cambria Math"/>
              </w:rPr>
              <m:t>bench</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rt</m:t>
            </m:r>
          </m:sub>
        </m:sSub>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 </m:t>
            </m:r>
            <m:r>
              <m:rPr>
                <m:sty m:val="p"/>
              </m:rPr>
              <w:rPr>
                <w:rFonts w:ascii="Cambria Math" w:hAnsi="Cambria Math"/>
              </w:rPr>
              <m:t>EBLUP</m:t>
            </m:r>
          </m:sup>
        </m:sSubSup>
        <m:r>
          <w:rPr>
            <w:rFonts w:ascii="Cambria Math" w:hAnsi="Cambria Math"/>
          </w:rPr>
          <m:t>.</m:t>
        </m:r>
      </m:oMath>
      <w:r>
        <w:t xml:space="preserve"> </w:t>
      </w:r>
    </w:p>
    <w:p w14:paraId="0C8039F6" w14:textId="77777777" w:rsidR="004D355D" w:rsidRDefault="000F2E07">
      <w:pPr>
        <w:pStyle w:val="FirstParagraph"/>
      </w:pPr>
      <w:r>
        <w:t xml:space="preserve">An external regional benchmark can be supplied through </w:t>
      </w:r>
      <w:r>
        <w:rPr>
          <w:rStyle w:val="VerbatimChar"/>
        </w:rPr>
        <w:t>regional_benchmark_mat</w:t>
      </w:r>
      <w:r>
        <w:t xml:space="preserve"> instead of being computed from the survey.</w:t>
      </w:r>
    </w:p>
    <w:p w14:paraId="0C8039F7" w14:textId="77777777" w:rsidR="004D355D" w:rsidRDefault="000F2E07">
      <w:pPr>
        <w:pStyle w:val="BodyText"/>
      </w:pPr>
      <w:r>
        <w:t xml:space="preserve">With </w:t>
      </w:r>
      <w:r>
        <w:rPr>
          <w:rStyle w:val="VerbatimChar"/>
        </w:rPr>
        <w:t>MSE = TRUE</w:t>
      </w:r>
      <w:r>
        <w:t>, the routine runs the same parametric bootstrap as the unbenchmarked case — identical data-generating process, identical refit — with one extra step inside each replicate: the bootstrap EBLUPs are themselves benchmarked before prediction errors are computed,</w:t>
      </w:r>
    </w:p>
    <w:p w14:paraId="0C8039F8" w14:textId="77777777" w:rsidR="004D355D" w:rsidRDefault="000F2E07">
      <w:pPr>
        <w:pStyle w:val="BodyText"/>
        <w:spacing w:before="0" w:after="160" w:line="240" w:lineRule="atLeast"/>
        <w:jc w:val="center"/>
      </w:pPr>
      <w: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r>
              <w:rPr>
                <w:rFonts w:ascii="Cambria Math" w:hAnsi="Cambria Math"/>
              </w:rPr>
              <m:t>b</m:t>
            </m:r>
            <m:r>
              <w:rPr>
                <w:rFonts w:ascii="Cambria Math" w:hAnsi="Cambria Math"/>
              </w:rPr>
              <m:t>),</m:t>
            </m:r>
            <m:r>
              <m:rPr>
                <m:sty m:val="p"/>
              </m:rPr>
              <w:rPr>
                <w:rFonts w:ascii="Cambria Math" w:hAnsi="Cambria Math"/>
              </w:rPr>
              <m:t>bench</m:t>
            </m:r>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rt</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r>
              <w:rPr>
                <w:rFonts w:ascii="Cambria Math" w:hAnsi="Cambria Math"/>
              </w:rPr>
              <m:t>b</m:t>
            </m:r>
            <m:r>
              <w:rPr>
                <w:rFonts w:ascii="Cambria Math" w:hAnsi="Cambria Math"/>
              </w:rPr>
              <m:t>)</m:t>
            </m:r>
          </m:sup>
        </m:sSubSup>
        <m:r>
          <w:rPr>
            <w:rFonts w:ascii="Cambria Math" w:hAnsi="Cambria Math"/>
          </w:rPr>
          <m:t>,</m:t>
        </m:r>
      </m:oMath>
      <w:r>
        <w:t xml:space="preserve"> </w:t>
      </w:r>
    </w:p>
    <w:p w14:paraId="0C8039F9" w14:textId="71B2413F" w:rsidR="004D355D" w:rsidRDefault="000F2E07">
      <w:pPr>
        <w:pStyle w:val="FirstParagraph"/>
      </w:pPr>
      <w:r>
        <w:t xml:space="preserve">where the regional target behind </w:t>
      </w:r>
      <m:oMath>
        <m:sSubSup>
          <m:sSubSupPr>
            <m:ctrlPr>
              <w:rPr>
                <w:rFonts w:ascii="Cambria Math" w:hAnsi="Cambria Math"/>
              </w:rPr>
            </m:ctrlPr>
          </m:sSubSupPr>
          <m:e>
            <m:r>
              <w:rPr>
                <w:rFonts w:ascii="Cambria Math" w:hAnsi="Cambria Math"/>
              </w:rPr>
              <m:t>λ</m:t>
            </m:r>
          </m:e>
          <m:sub>
            <m:r>
              <w:rPr>
                <w:rFonts w:ascii="Cambria Math" w:hAnsi="Cambria Math"/>
              </w:rPr>
              <m:t>rt</m:t>
            </m:r>
          </m:sub>
          <m:sup>
            <m:r>
              <w:rPr>
                <w:rFonts w:ascii="Cambria Math" w:hAnsi="Cambria Math"/>
              </w:rPr>
              <m:t>(</m:t>
            </m:r>
            <m:r>
              <w:rPr>
                <w:rFonts w:ascii="Cambria Math" w:hAnsi="Cambria Math"/>
              </w:rPr>
              <m:t>b</m:t>
            </m:r>
            <m:r>
              <w:rPr>
                <w:rFonts w:ascii="Cambria Math" w:hAnsi="Cambria Math"/>
              </w:rPr>
              <m:t>)</m:t>
            </m:r>
          </m:sup>
        </m:sSubSup>
      </m:oMath>
      <w:r>
        <w:t xml:space="preserve"> is recomputed </w:t>
      </w:r>
      <w:r w:rsidR="00B66B5C">
        <w:t xml:space="preserve">for </w:t>
      </w:r>
      <w:r>
        <w:t xml:space="preserve">every replicate from the bootstrap direct estimates </w:t>
      </w:r>
      <m:oMath>
        <m:sSubSup>
          <m:sSubSupPr>
            <m:ctrlPr>
              <w:rPr>
                <w:rFonts w:ascii="Cambria Math" w:hAnsi="Cambria Math"/>
              </w:rPr>
            </m:ctrlPr>
          </m:sSubSupPr>
          <m:e>
            <m:r>
              <w:rPr>
                <w:rFonts w:ascii="Cambria Math" w:hAnsi="Cambria Math"/>
              </w:rPr>
              <m:t>y</m:t>
            </m:r>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r>
              <w:rPr>
                <w:rFonts w:ascii="Cambria Math" w:hAnsi="Cambria Math"/>
              </w:rPr>
              <m:t>b</m:t>
            </m:r>
            <m:r>
              <w:rPr>
                <w:rFonts w:ascii="Cambria Math" w:hAnsi="Cambria Math"/>
              </w:rPr>
              <m:t>)</m:t>
            </m:r>
          </m:sup>
        </m:sSubSup>
      </m:oMath>
      <w:r>
        <w:t xml:space="preserve"> (or held fixed if an external benchmark matrix was supplied, i.e., treated as known). Crucially, errors are still measured against the </w:t>
      </w:r>
      <w:r>
        <w:rPr>
          <w:i/>
        </w:rPr>
        <w:t>unbenchmarked</w:t>
      </w:r>
      <w:r>
        <w:t xml:space="preserve"> synthetic truth </w:t>
      </w:r>
      <m:oMath>
        <m:sSubSup>
          <m:sSubSupPr>
            <m:ctrlPr>
              <w:rPr>
                <w:rFonts w:ascii="Cambria Math" w:hAnsi="Cambria Math"/>
              </w:rPr>
            </m:ctrlPr>
          </m:sSubSupPr>
          <m:e>
            <m:r>
              <w:rPr>
                <w:rFonts w:ascii="Cambria Math" w:hAnsi="Cambria Math"/>
              </w:rPr>
              <m:t>θ</m:t>
            </m:r>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r>
              <w:rPr>
                <w:rFonts w:ascii="Cambria Math" w:hAnsi="Cambria Math"/>
              </w:rPr>
              <m:t>b</m:t>
            </m:r>
            <m:r>
              <w:rPr>
                <w:rFonts w:ascii="Cambria Math" w:hAnsi="Cambria Math"/>
              </w:rPr>
              <m:t>)</m:t>
            </m:r>
          </m:sup>
        </m:sSubSup>
      </m:oMath>
      <w:r>
        <w:t>, following Datta et al. (2011):</w:t>
      </w:r>
    </w:p>
    <w:p w14:paraId="0C8039FA" w14:textId="77777777" w:rsidR="004D355D" w:rsidRDefault="000F2E07">
      <w:pPr>
        <w:pStyle w:val="BodyText"/>
        <w:spacing w:before="0" w:after="160" w:line="240" w:lineRule="atLeast"/>
        <w:jc w:val="center"/>
      </w:pPr>
      <w:r>
        <w:t xml:space="preserve"> </w:t>
      </w:r>
      <m:oMath>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MSE</m:t>
                </m:r>
              </m:e>
            </m:acc>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 </m:t>
            </m:r>
            <m:r>
              <m:rPr>
                <m:sty m:val="p"/>
              </m:rPr>
              <w:rPr>
                <w:rFonts w:ascii="Cambria Math" w:hAnsi="Cambria Math"/>
              </w:rPr>
              <m:t>bench</m:t>
            </m:r>
          </m:sup>
        </m:sSub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valid</m:t>
                </m:r>
              </m:sub>
            </m:sSub>
          </m:den>
        </m:f>
        <m:nary>
          <m:naryPr>
            <m:chr m:val="∑"/>
            <m:limLoc m:val="undOvr"/>
            <m:ctrlPr>
              <w:rPr>
                <w:rFonts w:ascii="Cambria Math" w:hAnsi="Cambria Math"/>
              </w:rPr>
            </m:ctrlPr>
          </m:naryPr>
          <m:sub>
            <m:r>
              <w:rPr>
                <w:rFonts w:ascii="Cambria Math" w:hAnsi="Cambria Math"/>
              </w:rPr>
              <m:t>b</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valid</m:t>
                </m:r>
              </m:sub>
            </m:sSub>
          </m:sup>
          <m:e>
            <m:r>
              <w:rPr>
                <w:rFonts w:ascii="Cambria Math" w:hAnsi="Cambria Math"/>
              </w:rPr>
              <m:t>(</m:t>
            </m:r>
          </m:e>
        </m:nary>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r>
              <w:rPr>
                <w:rFonts w:ascii="Cambria Math" w:hAnsi="Cambria Math"/>
              </w:rPr>
              <m:t>b</m:t>
            </m:r>
            <m:r>
              <w:rPr>
                <w:rFonts w:ascii="Cambria Math" w:hAnsi="Cambria Math"/>
              </w:rPr>
              <m:t>),</m:t>
            </m:r>
            <m:r>
              <m:rPr>
                <m:sty m:val="p"/>
              </m:rPr>
              <w:rPr>
                <w:rFonts w:ascii="Cambria Math" w:hAnsi="Cambria Math"/>
              </w:rPr>
              <m:t>bench</m:t>
            </m:r>
          </m:sup>
        </m:sSubSup>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d</m:t>
            </m:r>
            <m:r>
              <w:rPr>
                <w:rFonts w:ascii="Cambria Math" w:hAnsi="Cambria Math"/>
              </w:rPr>
              <m:t>,</m:t>
            </m:r>
            <m:r>
              <w:rPr>
                <w:rFonts w:ascii="Cambria Math" w:hAnsi="Cambria Math"/>
              </w:rPr>
              <m:t>t</m:t>
            </m:r>
          </m:sub>
          <m:sup>
            <m:r>
              <w:rPr>
                <w:rFonts w:ascii="Cambria Math" w:hAnsi="Cambria Math"/>
              </w:rPr>
              <m:t>(</m:t>
            </m:r>
            <m:r>
              <w:rPr>
                <w:rFonts w:ascii="Cambria Math" w:hAnsi="Cambria Math"/>
              </w:rPr>
              <m:t>b</m:t>
            </m:r>
            <m:r>
              <w:rPr>
                <w:rFonts w:ascii="Cambria Math" w:hAnsi="Cambria Math"/>
              </w:rPr>
              <m:t>)</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MCPE</m:t>
                </m:r>
              </m:e>
            </m:acc>
          </m:e>
          <m:sub>
            <m:r>
              <w:rPr>
                <w:rFonts w:ascii="Cambria Math" w:hAnsi="Cambria Math"/>
              </w:rPr>
              <m:t>d</m:t>
            </m:r>
          </m:sub>
          <m:sup>
            <m:r>
              <w:rPr>
                <w:rFonts w:ascii="Cambria Math" w:hAnsi="Cambria Math"/>
              </w:rPr>
              <m:t> </m:t>
            </m:r>
            <m:r>
              <m:rPr>
                <m:sty m:val="p"/>
              </m:rPr>
              <w:rPr>
                <w:rFonts w:ascii="Cambria Math" w:hAnsi="Cambria Math"/>
              </w:rPr>
              <m:t>bench</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valid</m:t>
                </m:r>
              </m:sub>
            </m:sSub>
          </m:den>
        </m:f>
        <m:nary>
          <m:naryPr>
            <m:chr m:val="∑"/>
            <m:limLoc m:val="undOvr"/>
            <m:ctrlPr>
              <w:rPr>
                <w:rFonts w:ascii="Cambria Math" w:hAnsi="Cambria Math"/>
              </w:rPr>
            </m:ctrlPr>
          </m:naryPr>
          <m:sub>
            <m:r>
              <w:rPr>
                <w:rFonts w:ascii="Cambria Math" w:hAnsi="Cambria Math"/>
              </w:rPr>
              <m:t>b</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valid</m:t>
                </m:r>
              </m:sub>
            </m:sSub>
          </m:sup>
          <m:e>
            <m:sSubSup>
              <m:sSubSupPr>
                <m:ctrlPr>
                  <w:rPr>
                    <w:rFonts w:ascii="Cambria Math" w:hAnsi="Cambria Math"/>
                  </w:rPr>
                </m:ctrlPr>
              </m:sSubSupPr>
              <m:e>
                <m:r>
                  <w:rPr>
                    <w:rFonts w:ascii="Cambria Math" w:hAnsi="Cambria Math"/>
                  </w:rPr>
                  <m:t>δ</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m:t>
                </m:r>
                <m:r>
                  <w:rPr>
                    <w:rFonts w:ascii="Cambria Math" w:hAnsi="Cambria Math"/>
                  </w:rPr>
                  <m:t>b</m:t>
                </m:r>
                <m:r>
                  <w:rPr>
                    <w:rFonts w:ascii="Cambria Math" w:hAnsi="Cambria Math"/>
                  </w:rPr>
                  <m:t>),</m:t>
                </m:r>
                <m:r>
                  <m:rPr>
                    <m:sty m:val="p"/>
                  </m:rPr>
                  <w:rPr>
                    <w:rFonts w:ascii="Cambria Math" w:hAnsi="Cambria Math"/>
                  </w:rPr>
                  <m:t>bench</m:t>
                </m:r>
              </m:sup>
            </m:sSubSup>
          </m:e>
        </m:nary>
        <m:r>
          <w:rPr>
            <w:rFonts w:ascii="Cambria Math" w:hAnsi="Cambria Math"/>
          </w:rPr>
          <m:t> </m:t>
        </m:r>
        <m:sSubSup>
          <m:sSubSupPr>
            <m:ctrlPr>
              <w:rPr>
                <w:rFonts w:ascii="Cambria Math" w:hAnsi="Cambria Math"/>
              </w:rPr>
            </m:ctrlPr>
          </m:sSubSupPr>
          <m:e>
            <m:r>
              <w:rPr>
                <w:rFonts w:ascii="Cambria Math" w:hAnsi="Cambria Math"/>
              </w:rPr>
              <m:t>δ</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m:t>
            </m:r>
            <m:r>
              <w:rPr>
                <w:rFonts w:ascii="Cambria Math" w:hAnsi="Cambria Math"/>
              </w:rPr>
              <m:t>b</m:t>
            </m:r>
            <m:r>
              <w:rPr>
                <w:rFonts w:ascii="Cambria Math" w:hAnsi="Cambria Math"/>
              </w:rPr>
              <m:t>),</m:t>
            </m:r>
            <m:r>
              <m:rPr>
                <m:sty m:val="p"/>
              </m:rPr>
              <w:rPr>
                <w:rFonts w:ascii="Cambria Math" w:hAnsi="Cambria Math"/>
              </w:rPr>
              <m:t>bench</m:t>
            </m:r>
          </m:sup>
        </m:sSubSup>
        <m:r>
          <w:rPr>
            <w:rFonts w:ascii="Cambria Math" w:hAnsi="Cambria Math"/>
          </w:rPr>
          <m:t>.</m:t>
        </m:r>
      </m:oMath>
      <w:r>
        <w:t xml:space="preserve"> </w:t>
      </w:r>
    </w:p>
    <w:p w14:paraId="0C8039FB" w14:textId="4C38819E" w:rsidR="004D355D" w:rsidRDefault="000F2E07">
      <w:pPr>
        <w:pStyle w:val="FirstParagraph"/>
      </w:pPr>
      <w:r>
        <w:t xml:space="preserve">The benchmarked MSE therefore absorbs both the variance of the </w:t>
      </w:r>
      <m:oMath>
        <m:r>
          <w:rPr>
            <w:rFonts w:ascii="Cambria Math" w:hAnsi="Cambria Math"/>
          </w:rPr>
          <m:t>λ</m:t>
        </m:r>
      </m:oMath>
      <w:r>
        <w:t xml:space="preserve"> adjustment and any domain-level bias </w:t>
      </w:r>
      <w:r w:rsidR="00B5668C">
        <w:t>introduced by benchmarking</w:t>
      </w:r>
      <w:r>
        <w:t>. The bootstrap size is configurable (</w:t>
      </w:r>
      <w:r>
        <w:rPr>
          <w:rStyle w:val="VerbatimChar"/>
        </w:rPr>
        <w:t>bench_nB</w:t>
      </w:r>
      <w:r>
        <w:t xml:space="preserve">, default </w:t>
      </w:r>
      <m:oMath>
        <m:r>
          <w:rPr>
            <w:rFonts w:ascii="Cambria Math" w:hAnsi="Cambria Math"/>
          </w:rPr>
          <m:t>B</m:t>
        </m:r>
        <m:r>
          <w:rPr>
            <w:rFonts w:ascii="Cambria Math" w:hAnsi="Cambria Math"/>
          </w:rPr>
          <m:t>=200</m:t>
        </m:r>
      </m:oMath>
      <w:r>
        <w:t xml:space="preserve">), with </w:t>
      </w:r>
      <w:r>
        <w:rPr>
          <w:rStyle w:val="VerbatimChar"/>
        </w:rPr>
        <w:t>seed = 123</w:t>
      </w:r>
      <w:r>
        <w:t xml:space="preserve">. When </w:t>
      </w:r>
      <m:oMath>
        <m:r>
          <w:rPr>
            <w:rFonts w:ascii="Cambria Math" w:hAnsi="Cambria Math"/>
          </w:rPr>
          <m:t>T</m:t>
        </m:r>
        <m:r>
          <w:rPr>
            <w:rFonts w:ascii="Cambria Math" w:hAnsi="Cambria Math"/>
          </w:rPr>
          <m:t>=1</m:t>
        </m:r>
      </m:oMath>
      <w:r>
        <w:t xml:space="preserve"> no cross-time term exists and </w:t>
      </w:r>
      <w:r>
        <w:rPr>
          <w:rStyle w:val="VerbatimChar"/>
        </w:rPr>
        <w:t>mcpe_bench</w:t>
      </w:r>
      <w:r>
        <w:t xml:space="preserve"> is </w:t>
      </w:r>
      <w:r>
        <w:rPr>
          <w:rStyle w:val="VerbatimChar"/>
        </w:rPr>
        <w:t>NULL</w:t>
      </w:r>
      <w:r>
        <w:t>.</w:t>
      </w:r>
    </w:p>
    <w:p w14:paraId="0C8039FC" w14:textId="77777777" w:rsidR="004D355D" w:rsidRDefault="000F2E07">
      <w:pPr>
        <w:pStyle w:val="Heading1"/>
      </w:pPr>
      <w:bookmarkStart w:id="9" w:name="Xde56edb509b39172f5552d8904b0dc9962bbe5e"/>
      <w:r>
        <w:t>Part III. MSE of Changes in Poverty Rates</w:t>
      </w:r>
      <w:bookmarkEnd w:id="9"/>
    </w:p>
    <w:p w14:paraId="0C8039FD" w14:textId="77777777" w:rsidR="004D355D" w:rsidRDefault="000F2E07">
      <w:pPr>
        <w:pStyle w:val="FirstParagraph"/>
      </w:pPr>
      <w:r>
        <w:t xml:space="preserve">A central use of small-area poverty estimates is to test whether poverty has changed between two periods. The error of an estimated change depends not only on the MSE in each period but also on how the errors in the two periods move together; the MCPE captures that covariance. For domain </w:t>
      </w:r>
      <m:oMath>
        <m:r>
          <w:rPr>
            <w:rFonts w:ascii="Cambria Math" w:hAnsi="Cambria Math"/>
          </w:rPr>
          <m:t>d</m:t>
        </m:r>
      </m:oMath>
      <w:r>
        <w:t xml:space="preserve"> and periods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 the estimated change is</w:t>
      </w:r>
    </w:p>
    <w:p w14:paraId="0C8039FE" w14:textId="77777777" w:rsidR="004D355D" w:rsidRDefault="000F2E07">
      <w:pPr>
        <w:pStyle w:val="BodyText"/>
        <w:spacing w:before="0" w:after="160" w:line="240" w:lineRule="atLeast"/>
        <w:jc w:val="center"/>
      </w:pP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w:r>
        <w:t xml:space="preserve"> </w:t>
      </w:r>
    </w:p>
    <w:p w14:paraId="0C8039FF" w14:textId="77777777" w:rsidR="004D355D" w:rsidRDefault="000F2E07">
      <w:pPr>
        <w:pStyle w:val="FirstParagraph"/>
      </w:pPr>
      <w:r>
        <w:t xml:space="preserve">and its MSE is computed in </w:t>
      </w:r>
      <w:r>
        <w:rPr>
          <w:rStyle w:val="VerbatimChar"/>
        </w:rPr>
        <w:t>compare_mfh()</w:t>
      </w:r>
      <w:r>
        <w:t xml:space="preserve"> (in </w:t>
      </w:r>
      <w:r>
        <w:rPr>
          <w:rStyle w:val="VerbatimChar"/>
        </w:rPr>
        <w:t>02_mfh.R</w:t>
      </w:r>
      <w:r>
        <w:t>) as</w:t>
      </w:r>
    </w:p>
    <w:p w14:paraId="0C803A00" w14:textId="77777777" w:rsidR="004D355D" w:rsidRDefault="000F2E07">
      <w:pPr>
        <w:pStyle w:val="BodyText"/>
        <w:spacing w:before="0" w:after="160" w:line="240" w:lineRule="atLeast"/>
        <w:jc w:val="center"/>
      </w:pPr>
      <w:r>
        <w:t xml:space="preserve"> </w:t>
      </w:r>
      <m:oMath>
        <m:r>
          <m:rPr>
            <m:sty m:val="p"/>
          </m:rPr>
          <w:rPr>
            <w:rFonts w:ascii="Cambria Math" w:hAnsi="Cambria Math"/>
          </w:rPr>
          <m:t>MSE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m:rPr>
                <m:sty m:val="p"/>
              </m:rPr>
              <w:rPr>
                <w:rFonts w:ascii="Cambria Math" w:hAnsi="Cambria Math"/>
              </w:rPr>
              <m:t>MSE</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m:rPr>
                <m:sty m:val="p"/>
              </m:rPr>
              <w:rPr>
                <w:rFonts w:ascii="Cambria Math" w:hAnsi="Cambria Math"/>
              </w:rPr>
              <m:t>MSE</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-2 </m:t>
        </m:r>
        <m:sSub>
          <m:sSubPr>
            <m:ctrlPr>
              <w:rPr>
                <w:rFonts w:ascii="Cambria Math" w:hAnsi="Cambria Math"/>
              </w:rPr>
            </m:ctrlPr>
          </m:sSubPr>
          <m:e>
            <m:r>
              <m:rPr>
                <m:sty m:val="p"/>
              </m:rPr>
              <w:rPr>
                <w:rFonts w:ascii="Cambria Math" w:hAnsi="Cambria Math"/>
              </w:rPr>
              <m:t>MCPE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oMath>
      <w:r>
        <w:t xml:space="preserve"> </w:t>
      </w:r>
    </w:p>
    <w:p w14:paraId="0C803A01" w14:textId="77777777" w:rsidR="004D355D" w:rsidRDefault="000F2E07">
      <w:pPr>
        <w:pStyle w:val="FirstParagraph"/>
      </w:pPr>
      <w:r>
        <w:t xml:space="preserve">The 95% confidence interval is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0.975</m:t>
            </m:r>
          </m:sub>
        </m:sSub>
        <m:rad>
          <m:radPr>
            <m:degHide m:val="1"/>
            <m:ctrlPr>
              <w:rPr>
                <w:rFonts w:ascii="Cambria Math" w:hAnsi="Cambria Math"/>
              </w:rPr>
            </m:ctrlPr>
          </m:radPr>
          <m:deg/>
          <m:e>
            <m:r>
              <m:rPr>
                <m:sty m:val="p"/>
              </m:rPr>
              <w:rPr>
                <w:rFonts w:ascii="Cambria Math" w:hAnsi="Cambria Math"/>
              </w:rPr>
              <m:t>MSE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e>
        </m:rad>
      </m:oMath>
      <w:r>
        <w:t xml:space="preserve">, and a change is flagged as statistically significant when the interval excludes zero. Because the two periods’ errors are usually positively correlated — the </w:t>
      </w:r>
      <w:r>
        <w:lastRenderedPageBreak/>
        <w:t xml:space="preserve">same auxiliary data and random effect feed both — the MCPE term is positive and </w:t>
      </w:r>
      <w:r>
        <w:rPr>
          <w:i/>
        </w:rPr>
        <w:t>reduces</w:t>
      </w:r>
      <w:r>
        <w:t xml:space="preserve"> the variance of the change; ignoring it overstates the uncertainty of changes and makes real movements in poverty harder to detect.</w:t>
      </w:r>
    </w:p>
    <w:p w14:paraId="0C803A02" w14:textId="77777777" w:rsidR="004D355D" w:rsidRDefault="000F2E07">
      <w:pPr>
        <w:pStyle w:val="BodyText"/>
      </w:pPr>
      <w:r>
        <w:t xml:space="preserve">The same helper serves both the unbenchmarked change analysis (fed by the MSE/MCPE of Part II’s unbenchmarked bootstrap) and the benchmarked one (fed by </w:t>
      </w:r>
      <w:r>
        <w:rPr>
          <w:rStyle w:val="VerbatimChar"/>
        </w:rPr>
        <w:t>mse_bench</w:t>
      </w:r>
      <w:r>
        <w:t xml:space="preserve"> / </w:t>
      </w:r>
      <w:r>
        <w:rPr>
          <w:rStyle w:val="VerbatimChar"/>
        </w:rPr>
        <w:t>mcpe_bench</w:t>
      </w:r>
      <w:r>
        <w:t>), so the formula, confidence intervals, and significance flags are computed identically in the two cases.</w:t>
      </w:r>
    </w:p>
    <w:p w14:paraId="0C803A03" w14:textId="77777777" w:rsidR="004D355D" w:rsidRDefault="000F2E07">
      <w:pPr>
        <w:pStyle w:val="BodyText"/>
      </w:pPr>
      <w:r>
        <w:rPr>
          <w:b/>
        </w:rPr>
        <w:t>Numerical guard.</w:t>
      </w:r>
      <w:r>
        <w:t xml:space="preserve"> Bootstrap noise (especially with small </w:t>
      </w:r>
      <m:oMath>
        <m:r>
          <w:rPr>
            <w:rFonts w:ascii="Cambria Math" w:hAnsi="Cambria Math"/>
          </w:rPr>
          <m:t>B</m:t>
        </m:r>
      </m:oMath>
      <w:r>
        <w:t xml:space="preserve">) can make </w:t>
      </w:r>
      <m:oMath>
        <m:r>
          <w:rPr>
            <w:rFonts w:ascii="Cambria Math" w:hAnsi="Cambria Math"/>
          </w:rPr>
          <m:t>2 </m:t>
        </m:r>
        <m:r>
          <m:rPr>
            <m:sty m:val="p"/>
          </m:rPr>
          <w:rPr>
            <w:rFonts w:ascii="Cambria Math" w:hAnsi="Cambria Math"/>
          </w:rPr>
          <m:t>MCPE</m:t>
        </m:r>
      </m:oMath>
      <w:r>
        <w:t xml:space="preserve"> large enough to push the covariance-adjusted MSE negative. If it is non-finite or smaller than 1% of the independence-assumption MSE, the code falls back to</w:t>
      </w:r>
    </w:p>
    <w:p w14:paraId="0C803A04" w14:textId="77777777" w:rsidR="004D355D" w:rsidRDefault="000F2E07">
      <w:pPr>
        <w:pStyle w:val="BodyText"/>
        <w:spacing w:before="0" w:after="160" w:line="240" w:lineRule="atLeast"/>
        <w:jc w:val="center"/>
      </w:pPr>
      <w:r>
        <w:t xml:space="preserve"> </w:t>
      </w:r>
      <m:oMath>
        <m:r>
          <m:rPr>
            <m:sty m:val="p"/>
          </m:rPr>
          <w:rPr>
            <w:rFonts w:ascii="Cambria Math" w:hAnsi="Cambria Math"/>
          </w:rPr>
          <m:t>MSE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m:rPr>
                <m:sty m:val="p"/>
              </m:rPr>
              <w:rPr>
                <w:rFonts w:ascii="Cambria Math" w:hAnsi="Cambria Math"/>
              </w:rPr>
              <m:t>MSE</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m:rPr>
                <m:sty m:val="p"/>
              </m:rPr>
              <w:rPr>
                <w:rFonts w:ascii="Cambria Math" w:hAnsi="Cambria Math"/>
              </w:rPr>
              <m:t>MSE</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w:r>
        <w:t xml:space="preserve"> </w:t>
      </w:r>
    </w:p>
    <w:p w14:paraId="0C803A05" w14:textId="77777777" w:rsidR="004D355D" w:rsidRDefault="000F2E07">
      <w:pPr>
        <w:pStyle w:val="FirstParagraph"/>
      </w:pPr>
      <w:r>
        <w:t xml:space="preserve">which is conservative for those domains but cannot manufacture false significance. The guard sits inside </w:t>
      </w:r>
      <w:r>
        <w:rPr>
          <w:rStyle w:val="VerbatimChar"/>
        </w:rPr>
        <w:t>compare_mfh()</w:t>
      </w:r>
      <w:r>
        <w:t xml:space="preserve"> and applies identically to benchmarked and unbenchmarked runs.</w:t>
      </w:r>
    </w:p>
    <w:p w14:paraId="0C803A06" w14:textId="77777777" w:rsidR="004D355D" w:rsidRDefault="000F2E07">
      <w:pPr>
        <w:pStyle w:val="BodyText"/>
      </w:pPr>
      <w:r>
        <w:rPr>
          <w:b/>
        </w:rPr>
        <w:t>Log-transformed mean welfare.</w:t>
      </w:r>
      <w:r>
        <w:t xml:space="preserve"> When the indicator is mean welfare modeled on the log scale, both paths apply the same delta-method back-transform to the euro scale before plotting and export, using EUR-scale point estimates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2</m:t>
            </m:r>
          </m:sub>
        </m:sSub>
      </m:oMath>
      <w:r>
        <w:t xml:space="preserve"> and log-scale MSE/MCPE:</w:t>
      </w:r>
    </w:p>
    <w:p w14:paraId="0C803A07" w14:textId="77777777" w:rsidR="004D355D" w:rsidRDefault="000F2E07">
      <w:pPr>
        <w:pStyle w:val="BodyText"/>
        <w:spacing w:before="0" w:after="160" w:line="240" w:lineRule="atLeast"/>
        <w:jc w:val="center"/>
      </w:pPr>
      <w:r>
        <w:t xml:space="preserve"> </w:t>
      </w:r>
      <m:oMath>
        <m:r>
          <m:rPr>
            <m:sty m:val="p"/>
          </m:rPr>
          <w:rPr>
            <w:rFonts w:ascii="Cambria Math" w:hAnsi="Cambria Math"/>
          </w:rPr>
          <m:t>MSE</m:t>
        </m:r>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1</m:t>
            </m:r>
          </m:sub>
          <m:sup>
            <m:r>
              <w:rPr>
                <w:rFonts w:ascii="Cambria Math" w:hAnsi="Cambria Math"/>
              </w:rPr>
              <m:t>2</m:t>
            </m:r>
          </m:sup>
        </m:sSubSup>
        <m:r>
          <w:rPr>
            <w:rFonts w:ascii="Cambria Math" w:hAnsi="Cambria Math"/>
          </w:rPr>
          <m:t> </m:t>
        </m:r>
        <m:sSubSup>
          <m:sSubSupPr>
            <m:ctrlPr>
              <w:rPr>
                <w:rFonts w:ascii="Cambria Math" w:hAnsi="Cambria Math"/>
              </w:rPr>
            </m:ctrlPr>
          </m:sSubSupPr>
          <m:e>
            <m:r>
              <m:rPr>
                <m:sty m:val="p"/>
              </m:rPr>
              <w:rPr>
                <w:rFonts w:ascii="Cambria Math" w:hAnsi="Cambria Math"/>
              </w:rPr>
              <m:t>MSE</m:t>
            </m:r>
          </m:e>
          <m:sub>
            <m:r>
              <w:rPr>
                <w:rFonts w:ascii="Cambria Math" w:hAnsi="Cambria Math"/>
              </w:rPr>
              <m:t>1</m:t>
            </m:r>
          </m:sub>
          <m:sup>
            <m:r>
              <m:rPr>
                <m:nor/>
              </m:rPr>
              <m:t>log</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2</m:t>
            </m:r>
          </m:sub>
          <m:sup>
            <m:r>
              <w:rPr>
                <w:rFonts w:ascii="Cambria Math" w:hAnsi="Cambria Math"/>
              </w:rPr>
              <m:t>2</m:t>
            </m:r>
          </m:sup>
        </m:sSubSup>
        <m:r>
          <w:rPr>
            <w:rFonts w:ascii="Cambria Math" w:hAnsi="Cambria Math"/>
          </w:rPr>
          <m:t> </m:t>
        </m:r>
        <m:sSubSup>
          <m:sSubSupPr>
            <m:ctrlPr>
              <w:rPr>
                <w:rFonts w:ascii="Cambria Math" w:hAnsi="Cambria Math"/>
              </w:rPr>
            </m:ctrlPr>
          </m:sSubSupPr>
          <m:e>
            <m:r>
              <m:rPr>
                <m:sty m:val="p"/>
              </m:rPr>
              <w:rPr>
                <w:rFonts w:ascii="Cambria Math" w:hAnsi="Cambria Math"/>
              </w:rPr>
              <m:t>MSE</m:t>
            </m:r>
          </m:e>
          <m:sub>
            <m:r>
              <w:rPr>
                <w:rFonts w:ascii="Cambria Math" w:hAnsi="Cambria Math"/>
              </w:rPr>
              <m:t>2</m:t>
            </m:r>
          </m:sub>
          <m:sup>
            <m:r>
              <m:rPr>
                <m:nor/>
              </m:rPr>
              <m:t>log</m:t>
            </m:r>
          </m:sup>
        </m:sSubSup>
        <m:r>
          <w:rPr>
            <w:rFonts w:ascii="Cambria Math" w:hAnsi="Cambria Math"/>
          </w:rPr>
          <m:t>-2 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1</m:t>
            </m:r>
          </m:sub>
        </m:sSub>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2</m:t>
            </m:r>
          </m:sub>
        </m:sSub>
        <m:r>
          <w:rPr>
            <w:rFonts w:ascii="Cambria Math" w:hAnsi="Cambria Math"/>
          </w:rPr>
          <m:t> </m:t>
        </m:r>
        <m:sSup>
          <m:sSupPr>
            <m:ctrlPr>
              <w:rPr>
                <w:rFonts w:ascii="Cambria Math" w:hAnsi="Cambria Math"/>
              </w:rPr>
            </m:ctrlPr>
          </m:sSupPr>
          <m:e>
            <m:r>
              <m:rPr>
                <m:sty m:val="p"/>
              </m:rPr>
              <w:rPr>
                <w:rFonts w:ascii="Cambria Math" w:hAnsi="Cambria Math"/>
              </w:rPr>
              <m:t>MCPE</m:t>
            </m:r>
          </m:e>
          <m:sup>
            <m:r>
              <m:rPr>
                <m:nor/>
              </m:rPr>
              <m:t>log</m:t>
            </m:r>
          </m:sup>
        </m:sSup>
        <m:r>
          <w:rPr>
            <w:rFonts w:ascii="Cambria Math" w:hAnsi="Cambria Math"/>
          </w:rPr>
          <m:t>,</m:t>
        </m:r>
      </m:oMath>
      <w:r>
        <w:t xml:space="preserve"> </w:t>
      </w:r>
    </w:p>
    <w:p w14:paraId="0C803A08" w14:textId="77777777" w:rsidR="004D355D" w:rsidRDefault="000F2E07">
      <w:pPr>
        <w:pStyle w:val="FirstParagraph"/>
      </w:pPr>
      <w:r>
        <w:t>with the same 1%-floor fallback to the independence version.</w:t>
      </w:r>
    </w:p>
    <w:p w14:paraId="0C803A09" w14:textId="77777777" w:rsidR="004D355D" w:rsidRDefault="000F2E07">
      <w:pPr>
        <w:pStyle w:val="Heading1"/>
      </w:pPr>
      <w:bookmarkStart w:id="10" w:name="summary-of-methods"/>
      <w:r>
        <w:t>Summary of Methods</w:t>
      </w:r>
      <w:bookmarkEnd w:id="10"/>
    </w:p>
    <w:tbl>
      <w:tblPr>
        <w:tblStyle w:val="Table"/>
        <w:tblW w:w="5000" w:type="pct"/>
        <w:tblLook w:val="07E0" w:firstRow="1" w:lastRow="1" w:firstColumn="1" w:lastColumn="1" w:noHBand="1" w:noVBand="1"/>
      </w:tblPr>
      <w:tblGrid>
        <w:gridCol w:w="1910"/>
        <w:gridCol w:w="2929"/>
        <w:gridCol w:w="4737"/>
      </w:tblGrid>
      <w:tr w:rsidR="004D355D" w14:paraId="0C803A0D" w14:textId="77777777">
        <w:tc>
          <w:tcPr>
            <w:tcW w:w="0" w:type="auto"/>
            <w:tcBorders>
              <w:top w:val="single" w:sz="12" w:space="0" w:color="auto"/>
              <w:left w:val="nil"/>
              <w:bottom w:val="single" w:sz="4" w:space="0" w:color="auto"/>
              <w:right w:val="nil"/>
            </w:tcBorders>
            <w:vAlign w:val="bottom"/>
          </w:tcPr>
          <w:p w14:paraId="0C803A0A" w14:textId="77777777" w:rsidR="004D355D" w:rsidRDefault="000F2E07">
            <w:pPr>
              <w:pStyle w:val="Compact"/>
              <w:jc w:val="left"/>
            </w:pPr>
            <w:r>
              <w:rPr>
                <w:b/>
                <w:bCs/>
              </w:rPr>
              <w:t>Estimate</w:t>
            </w:r>
          </w:p>
        </w:tc>
        <w:tc>
          <w:tcPr>
            <w:tcW w:w="0" w:type="auto"/>
            <w:tcBorders>
              <w:top w:val="single" w:sz="12" w:space="0" w:color="auto"/>
              <w:left w:val="nil"/>
              <w:bottom w:val="single" w:sz="4" w:space="0" w:color="auto"/>
              <w:right w:val="nil"/>
            </w:tcBorders>
            <w:vAlign w:val="bottom"/>
          </w:tcPr>
          <w:p w14:paraId="0C803A0B" w14:textId="77777777" w:rsidR="004D355D" w:rsidRDefault="000F2E07">
            <w:pPr>
              <w:pStyle w:val="Compact"/>
              <w:jc w:val="left"/>
            </w:pPr>
            <w:r>
              <w:rPr>
                <w:b/>
                <w:bCs/>
              </w:rPr>
              <w:t>Unbenchmarked MSE</w:t>
            </w:r>
          </w:p>
        </w:tc>
        <w:tc>
          <w:tcPr>
            <w:tcW w:w="0" w:type="auto"/>
            <w:tcBorders>
              <w:top w:val="single" w:sz="12" w:space="0" w:color="auto"/>
              <w:left w:val="nil"/>
              <w:bottom w:val="single" w:sz="4" w:space="0" w:color="auto"/>
              <w:right w:val="nil"/>
            </w:tcBorders>
            <w:vAlign w:val="bottom"/>
          </w:tcPr>
          <w:p w14:paraId="0C803A0C" w14:textId="77777777" w:rsidR="004D355D" w:rsidRDefault="000F2E07">
            <w:pPr>
              <w:pStyle w:val="Compact"/>
              <w:jc w:val="left"/>
            </w:pPr>
            <w:r>
              <w:rPr>
                <w:b/>
                <w:bCs/>
              </w:rPr>
              <w:t>Benchmarked MSE</w:t>
            </w:r>
          </w:p>
        </w:tc>
      </w:tr>
      <w:tr w:rsidR="004D355D" w14:paraId="0C803A11" w14:textId="77777777">
        <w:tc>
          <w:tcPr>
            <w:tcW w:w="0" w:type="auto"/>
            <w:tcBorders>
              <w:top w:val="nil"/>
              <w:left w:val="nil"/>
              <w:bottom w:val="nil"/>
              <w:right w:val="nil"/>
            </w:tcBorders>
          </w:tcPr>
          <w:p w14:paraId="0C803A0E" w14:textId="77777777" w:rsidR="004D355D" w:rsidRDefault="000F2E07">
            <w:pPr>
              <w:pStyle w:val="Compact"/>
              <w:jc w:val="left"/>
            </w:pPr>
            <w:r>
              <w:t>UFH level (none / log scale)</w:t>
            </w:r>
          </w:p>
        </w:tc>
        <w:tc>
          <w:tcPr>
            <w:tcW w:w="0" w:type="auto"/>
            <w:tcBorders>
              <w:top w:val="nil"/>
              <w:left w:val="nil"/>
              <w:bottom w:val="nil"/>
              <w:right w:val="nil"/>
            </w:tcBorders>
          </w:tcPr>
          <w:p w14:paraId="0C803A0F" w14:textId="77777777" w:rsidR="004D355D" w:rsidRDefault="000F2E07">
            <w:pPr>
              <w:pStyle w:val="Compact"/>
              <w:jc w:val="left"/>
            </w:pPr>
            <w:r>
              <w:t>Analytical Prasad–Rao / Datta–Lahiri</w:t>
            </w:r>
          </w:p>
        </w:tc>
        <w:tc>
          <w:tcPr>
            <w:tcW w:w="0" w:type="auto"/>
            <w:tcBorders>
              <w:top w:val="nil"/>
              <w:left w:val="nil"/>
              <w:bottom w:val="nil"/>
              <w:right w:val="nil"/>
            </w:tcBorders>
          </w:tcPr>
          <w:p w14:paraId="0C803A10" w14:textId="77777777" w:rsidR="004D355D" w:rsidRDefault="000F2E07">
            <w:pPr>
              <w:pStyle w:val="Compact"/>
              <w:jc w:val="left"/>
            </w:pPr>
            <w:r>
              <w:t xml:space="preserve">Model-based bootstrap (resampled effects and residuals), re-benchmarked each replicate, </w:t>
            </w:r>
            <m:oMath>
              <m:r>
                <w:rPr>
                  <w:rFonts w:ascii="Cambria Math" w:hAnsi="Cambria Math"/>
                </w:rPr>
                <m:t>B</m:t>
              </m:r>
              <m:r>
                <w:rPr>
                  <w:rFonts w:ascii="Cambria Math" w:hAnsi="Cambria Math"/>
                </w:rPr>
                <m:t>=200</m:t>
              </m:r>
            </m:oMath>
          </w:p>
        </w:tc>
      </w:tr>
      <w:tr w:rsidR="004D355D" w14:paraId="0C803A15" w14:textId="77777777">
        <w:tc>
          <w:tcPr>
            <w:tcW w:w="0" w:type="auto"/>
            <w:tcBorders>
              <w:top w:val="nil"/>
              <w:left w:val="nil"/>
              <w:bottom w:val="nil"/>
              <w:right w:val="nil"/>
            </w:tcBorders>
          </w:tcPr>
          <w:p w14:paraId="0C803A12" w14:textId="77777777" w:rsidR="004D355D" w:rsidRDefault="000F2E07">
            <w:pPr>
              <w:pStyle w:val="Compact"/>
              <w:jc w:val="left"/>
            </w:pPr>
            <w:r>
              <w:t>UFH level (arcsin scale)</w:t>
            </w:r>
          </w:p>
        </w:tc>
        <w:tc>
          <w:tcPr>
            <w:tcW w:w="0" w:type="auto"/>
            <w:tcBorders>
              <w:top w:val="nil"/>
              <w:left w:val="nil"/>
              <w:bottom w:val="nil"/>
              <w:right w:val="nil"/>
            </w:tcBorders>
          </w:tcPr>
          <w:p w14:paraId="0C803A13" w14:textId="77777777" w:rsidR="004D355D" w:rsidRDefault="000F2E07">
            <w:pPr>
              <w:pStyle w:val="Compact"/>
              <w:jc w:val="left"/>
            </w:pPr>
            <w:r>
              <w:t>Parametric bootstrap (</w:t>
            </w:r>
            <w:r>
              <w:rPr>
                <w:rStyle w:val="VerbatimChar"/>
                <w:rFonts w:ascii="Times New Roman" w:hAnsi="Times New Roman"/>
              </w:rPr>
              <w:t>emdi</w:t>
            </w:r>
            <w:r>
              <w:t>)</w:t>
            </w:r>
          </w:p>
        </w:tc>
        <w:tc>
          <w:tcPr>
            <w:tcW w:w="0" w:type="auto"/>
            <w:tcBorders>
              <w:top w:val="nil"/>
              <w:left w:val="nil"/>
              <w:bottom w:val="nil"/>
              <w:right w:val="nil"/>
            </w:tcBorders>
          </w:tcPr>
          <w:p w14:paraId="0C803A14" w14:textId="77777777" w:rsidR="004D355D" w:rsidRDefault="000F2E07">
            <w:pPr>
              <w:pStyle w:val="Compact"/>
              <w:jc w:val="left"/>
            </w:pPr>
            <w:r>
              <w:t>Same model-based bootstrap, arcsin back-transform</w:t>
            </w:r>
          </w:p>
        </w:tc>
      </w:tr>
      <w:tr w:rsidR="004D355D" w14:paraId="0C803A19" w14:textId="77777777">
        <w:tc>
          <w:tcPr>
            <w:tcW w:w="0" w:type="auto"/>
            <w:tcBorders>
              <w:top w:val="nil"/>
              <w:left w:val="nil"/>
              <w:bottom w:val="nil"/>
              <w:right w:val="nil"/>
            </w:tcBorders>
          </w:tcPr>
          <w:p w14:paraId="0C803A16" w14:textId="77777777" w:rsidR="004D355D" w:rsidRDefault="000F2E07">
            <w:pPr>
              <w:pStyle w:val="Compact"/>
              <w:jc w:val="left"/>
            </w:pPr>
            <w:r>
              <w:t>MFH level (MFH1/2/3)</w:t>
            </w:r>
          </w:p>
        </w:tc>
        <w:tc>
          <w:tcPr>
            <w:tcW w:w="0" w:type="auto"/>
            <w:tcBorders>
              <w:top w:val="nil"/>
              <w:left w:val="nil"/>
              <w:bottom w:val="nil"/>
              <w:right w:val="nil"/>
            </w:tcBorders>
          </w:tcPr>
          <w:p w14:paraId="0C803A17" w14:textId="77777777" w:rsidR="004D355D" w:rsidRDefault="000F2E07">
            <w:pPr>
              <w:pStyle w:val="Compact"/>
              <w:jc w:val="left"/>
            </w:pPr>
            <w:r>
              <w:t xml:space="preserve">Parametric bootstrap, </w:t>
            </w:r>
            <m:oMath>
              <m:r>
                <w:rPr>
                  <w:rFonts w:ascii="Cambria Math" w:hAnsi="Cambria Math"/>
                </w:rPr>
                <m:t>B</m:t>
              </m:r>
              <m:r>
                <w:rPr>
                  <w:rFonts w:ascii="Cambria Math" w:hAnsi="Cambria Math"/>
                </w:rPr>
                <m:t>=50</m:t>
              </m:r>
            </m:oMath>
          </w:p>
        </w:tc>
        <w:tc>
          <w:tcPr>
            <w:tcW w:w="0" w:type="auto"/>
            <w:tcBorders>
              <w:top w:val="nil"/>
              <w:left w:val="nil"/>
              <w:bottom w:val="nil"/>
              <w:right w:val="nil"/>
            </w:tcBorders>
          </w:tcPr>
          <w:p w14:paraId="0C803A18" w14:textId="77777777" w:rsidR="004D355D" w:rsidRDefault="000F2E07">
            <w:pPr>
              <w:pStyle w:val="Compact"/>
              <w:jc w:val="left"/>
            </w:pPr>
            <w:r>
              <w:t xml:space="preserve">Parametric bootstrap with re-benchmarking inside each replicate, </w:t>
            </w:r>
            <m:oMath>
              <m:r>
                <w:rPr>
                  <w:rFonts w:ascii="Cambria Math" w:hAnsi="Cambria Math"/>
                </w:rPr>
                <m:t>B</m:t>
              </m:r>
              <m:r>
                <w:rPr>
                  <w:rFonts w:ascii="Cambria Math" w:hAnsi="Cambria Math"/>
                </w:rPr>
                <m:t>=200</m:t>
              </m:r>
            </m:oMath>
            <w:r>
              <w:t xml:space="preserve"> (</w:t>
            </w:r>
            <w:r>
              <w:rPr>
                <w:rStyle w:val="VerbatimChar"/>
                <w:rFonts w:ascii="Times New Roman" w:hAnsi="Times New Roman"/>
              </w:rPr>
              <w:t>bench_nB</w:t>
            </w:r>
            <w:r>
              <w:t>)</w:t>
            </w:r>
          </w:p>
        </w:tc>
      </w:tr>
      <w:tr w:rsidR="004D355D" w14:paraId="0C803A1D" w14:textId="77777777">
        <w:tc>
          <w:tcPr>
            <w:tcW w:w="0" w:type="auto"/>
            <w:tcBorders>
              <w:top w:val="nil"/>
              <w:left w:val="nil"/>
              <w:bottom w:val="single" w:sz="12" w:space="0" w:color="auto"/>
              <w:right w:val="nil"/>
            </w:tcBorders>
          </w:tcPr>
          <w:p w14:paraId="0C803A1A" w14:textId="77777777" w:rsidR="004D355D" w:rsidRDefault="000F2E07">
            <w:pPr>
              <w:pStyle w:val="Compact"/>
              <w:jc w:val="left"/>
            </w:pPr>
            <w:r>
              <w:t xml:space="preserve">MFH change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p>
        </w:tc>
        <w:tc>
          <w:tcPr>
            <w:tcW w:w="0" w:type="auto"/>
            <w:tcBorders>
              <w:top w:val="nil"/>
              <w:left w:val="nil"/>
              <w:bottom w:val="single" w:sz="12" w:space="0" w:color="auto"/>
              <w:right w:val="nil"/>
            </w:tcBorders>
          </w:tcPr>
          <w:p w14:paraId="0C803A1B" w14:textId="77777777" w:rsidR="004D355D" w:rsidRDefault="000F2E07">
            <w:pPr>
              <w:pStyle w:val="Compact"/>
              <w:jc w:val="left"/>
            </w:pPr>
            <w:r>
              <w:t xml:space="preserve"> </w:t>
            </w:r>
            <m:oMath>
              <m:sSub>
                <m:sSubPr>
                  <m:ctrlPr>
                    <w:rPr>
                      <w:rFonts w:ascii="Cambria Math" w:hAnsi="Cambria Math"/>
                    </w:rPr>
                  </m:ctrlPr>
                </m:sSubPr>
                <m:e>
                  <m:r>
                    <m:rPr>
                      <m:sty m:val="p"/>
                    </m:rPr>
                    <w:rPr>
                      <w:rFonts w:ascii="Cambria Math" w:hAnsi="Cambria Math"/>
                    </w:rPr>
                    <m:t>MSE</m:t>
                  </m:r>
                </m:e>
                <m:sub>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m:rPr>
                      <m:sty m:val="p"/>
                    </m:rPr>
                    <w:rPr>
                      <w:rFonts w:ascii="Cambria Math" w:hAnsi="Cambria Math"/>
                    </w:rPr>
                    <m:t>MSE</m:t>
                  </m:r>
                </m:e>
                <m:sub>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-2 </m:t>
              </m:r>
              <m:r>
                <m:rPr>
                  <m:sty m:val="p"/>
                </m:rPr>
                <w:rPr>
                  <w:rFonts w:ascii="Cambria Math" w:hAnsi="Cambria Math"/>
                </w:rPr>
                <m:t>MCPE</m:t>
              </m:r>
            </m:oMath>
            <w:r>
              <w:t xml:space="preserve"> via </w:t>
            </w:r>
            <w:r>
              <w:rPr>
                <w:rStyle w:val="VerbatimChar"/>
                <w:rFonts w:ascii="Times New Roman" w:hAnsi="Times New Roman"/>
              </w:rPr>
              <w:t>compare_mfh()</w:t>
            </w:r>
          </w:p>
        </w:tc>
        <w:tc>
          <w:tcPr>
            <w:tcW w:w="0" w:type="auto"/>
            <w:tcBorders>
              <w:top w:val="nil"/>
              <w:left w:val="nil"/>
              <w:bottom w:val="single" w:sz="12" w:space="0" w:color="auto"/>
              <w:right w:val="nil"/>
            </w:tcBorders>
          </w:tcPr>
          <w:p w14:paraId="0C803A1C" w14:textId="77777777" w:rsidR="004D355D" w:rsidRDefault="000F2E07">
            <w:pPr>
              <w:pStyle w:val="Compact"/>
              <w:jc w:val="left"/>
            </w:pPr>
            <w:r>
              <w:t>Same formula, same guard, fed by benchmarked MSE/MCPE</w:t>
            </w:r>
          </w:p>
        </w:tc>
      </w:tr>
    </w:tbl>
    <w:p w14:paraId="0C803A1E" w14:textId="77777777" w:rsidR="004D355D" w:rsidRDefault="000F2E07">
      <w:pPr>
        <w:pStyle w:val="BodyText"/>
      </w:pPr>
      <w:r>
        <w:t xml:space="preserve">In all bootstrap cases, the “truth” in the error formula is the unbenchmarked synthetic value </w:t>
      </w:r>
      <m:oMath>
        <m:sSup>
          <m:sSupPr>
            <m:ctrlPr>
              <w:rPr>
                <w:rFonts w:ascii="Cambria Math" w:hAnsi="Cambria Math"/>
              </w:rPr>
            </m:ctrlPr>
          </m:sSupPr>
          <m:e>
            <m:r>
              <w:rPr>
                <w:rFonts w:ascii="Cambria Math" w:hAnsi="Cambria Math"/>
              </w:rPr>
              <m:t>θ</m:t>
            </m:r>
          </m:e>
          <m:sup>
            <m:r>
              <w:rPr>
                <w:rFonts w:ascii="Cambria Math" w:hAnsi="Cambria Math"/>
              </w:rPr>
              <m:t>(</m:t>
            </m:r>
            <m:r>
              <w:rPr>
                <w:rFonts w:ascii="Cambria Math" w:hAnsi="Cambria Math"/>
              </w:rPr>
              <m:t>b</m:t>
            </m:r>
            <m:r>
              <w:rPr>
                <w:rFonts w:ascii="Cambria Math" w:hAnsi="Cambria Math"/>
              </w:rPr>
              <m:t>)</m:t>
            </m:r>
          </m:sup>
        </m:sSup>
      </m:oMath>
      <w:r>
        <w:t>, the divisor is the number of successful replicates, and any benchmarking step is repeated inside each replicate.</w:t>
      </w:r>
    </w:p>
    <w:p w14:paraId="0C803A1F" w14:textId="77777777" w:rsidR="004D355D" w:rsidRDefault="000F2E07">
      <w:pPr>
        <w:pStyle w:val="Heading1"/>
      </w:pPr>
      <w:bookmarkStart w:id="11" w:name="practical-notes-and-observations"/>
      <w:r>
        <w:lastRenderedPageBreak/>
        <w:t>Practical Notes and Observations</w:t>
      </w:r>
      <w:bookmarkEnd w:id="11"/>
    </w:p>
    <w:p w14:paraId="0C803A20" w14:textId="77777777" w:rsidR="004D355D" w:rsidRDefault="000F2E07">
      <w:pPr>
        <w:pStyle w:val="FirstParagraph"/>
      </w:pPr>
      <w:r>
        <w:t>Benchmarking redistributes information; it does not create it. Its value rests on the benchmark target being more reliable than the individual model estimates, which holds when the regional direct aggregate pools enough sampled units to be precise. Where a region–period cell contains only a few sampled domains, the direct benchmark is itself noisy and the ratio adjustment transmits that noise to every domain in the cell; a coarser benchmark geography or an external official total is then preferable. Because</w:t>
      </w:r>
      <w:r>
        <w:t xml:space="preserve"> the adjustment factors </w:t>
      </w:r>
      <m:oMath>
        <m:sSub>
          <m:sSubPr>
            <m:ctrlPr>
              <w:rPr>
                <w:rFonts w:ascii="Cambria Math" w:hAnsi="Cambria Math"/>
              </w:rPr>
            </m:ctrlPr>
          </m:sSubPr>
          <m:e>
            <m:r>
              <w:rPr>
                <w:rFonts w:ascii="Cambria Math" w:hAnsi="Cambria Math"/>
              </w:rPr>
              <m:t>λ</m:t>
            </m:r>
          </m:e>
          <m:sub>
            <m:r>
              <w:rPr>
                <w:rFonts w:ascii="Cambria Math" w:hAnsi="Cambria Math"/>
              </w:rPr>
              <m:t>rt</m:t>
            </m:r>
          </m:sub>
        </m:sSub>
      </m:oMath>
      <w:r>
        <w:t xml:space="preserve"> are computed independently across periods, volatile direct regional aggregates can also inject artificial volatility into the estimated trend even when the model estimates are stable.</w:t>
      </w:r>
    </w:p>
    <w:p w14:paraId="0C803A21" w14:textId="77777777" w:rsidR="004D355D" w:rsidRDefault="000F2E07">
      <w:pPr>
        <w:pStyle w:val="BodyText"/>
      </w:pPr>
      <w:r>
        <w:t xml:space="preserve">The bootstrap MSEs are only as good as the assumption that the fitted model — its coefficients, variances, AR(1) coefficient, and sampling covariances — approximates the data-generating process; the AR(1) specification in particular is an approximation of the true temporal dependence. Convergence failures are counted in </w:t>
      </w:r>
      <w:r>
        <w:rPr>
          <w:rStyle w:val="VerbatimChar"/>
        </w:rPr>
        <w:t>fails</w:t>
      </w:r>
      <w:r>
        <w:t xml:space="preserve"> and the divisor is adjusted, but a region or period in which refits fail systematically deserves scrutiny rather than a silently smaller effective sample of replicates.</w:t>
      </w:r>
    </w:p>
    <w:p w14:paraId="0C803A22" w14:textId="77777777" w:rsidR="004D355D" w:rsidRDefault="000F2E07">
      <w:pPr>
        <w:pStyle w:val="BodyText"/>
      </w:pPr>
      <w:r>
        <w:t>Three implementation asymmetries between the benchmarked and unbenchmarked MFH paths are worth flagging for future revisions:</w:t>
      </w:r>
    </w:p>
    <w:p w14:paraId="0C803A23" w14:textId="77777777" w:rsidR="004D355D" w:rsidRDefault="000F2E07">
      <w:pPr>
        <w:numPr>
          <w:ilvl w:val="0"/>
          <w:numId w:val="5"/>
        </w:numPr>
      </w:pPr>
      <w:r>
        <w:rPr>
          <w:b/>
        </w:rPr>
        <w:t>Bootstrap size differs.</w:t>
      </w:r>
      <w:r>
        <w:t xml:space="preserve"> The unbenchmarked MFH bootstrap is hard-coded at </w:t>
      </w:r>
      <m:oMath>
        <m:r>
          <w:rPr>
            <w:rFonts w:ascii="Cambria Math" w:hAnsi="Cambria Math"/>
          </w:rPr>
          <m:t>B</m:t>
        </m:r>
        <m:r>
          <w:rPr>
            <w:rFonts w:ascii="Cambria Math" w:hAnsi="Cambria Math"/>
          </w:rPr>
          <m:t>=50</m:t>
        </m:r>
      </m:oMath>
      <w:r>
        <w:t xml:space="preserve"> while the benchmarked one defaults to </w:t>
      </w:r>
      <m:oMath>
        <m:r>
          <w:rPr>
            <w:rFonts w:ascii="Cambria Math" w:hAnsi="Cambria Math"/>
          </w:rPr>
          <m:t>B</m:t>
        </m:r>
        <m:r>
          <w:rPr>
            <w:rFonts w:ascii="Cambria Math" w:hAnsi="Cambria Math"/>
          </w:rPr>
          <m:t>=200</m:t>
        </m:r>
      </m:oMath>
      <w:r>
        <w:t>. The unbenchmarked change confidence intervals are therefore noisier and trigger the 1%-floor fallback more often; aligning the two via one configurable parameter would make the comparison cleaner.</w:t>
      </w:r>
    </w:p>
    <w:p w14:paraId="0C803A24" w14:textId="77777777" w:rsidR="004D355D" w:rsidRDefault="000F2E07">
      <w:pPr>
        <w:numPr>
          <w:ilvl w:val="0"/>
          <w:numId w:val="5"/>
        </w:numPr>
      </w:pPr>
      <w:r>
        <w:rPr>
          <w:b/>
        </w:rPr>
        <w:t>Refit tolerances differ.</w:t>
      </w:r>
      <w:r>
        <w:t xml:space="preserve"> The unbenchmarked bootstrap passes relaxed convergence settings to its refits; the benchmarked loop uses package defaults, so convergence behavior and failure rates across the two bootstraps are not strictly comparable.</w:t>
      </w:r>
    </w:p>
    <w:p w14:paraId="0C803A25" w14:textId="77777777" w:rsidR="004D355D" w:rsidRDefault="000F2E07">
      <w:pPr>
        <w:numPr>
          <w:ilvl w:val="0"/>
          <w:numId w:val="5"/>
        </w:numPr>
      </w:pPr>
      <w:r>
        <w:rPr>
          <w:b/>
        </w:rPr>
        <w:t>Replicates are not paired.</w:t>
      </w:r>
      <w:r>
        <w:t xml:space="preserve"> Both routines set </w:t>
      </w:r>
      <w:r>
        <w:rPr>
          <w:rStyle w:val="VerbatimChar"/>
        </w:rPr>
        <w:t>seed = 123</w:t>
      </w:r>
      <w:r>
        <w:t xml:space="preserve">, but because the code paths differ, the random draws are not common across the two bootstraps; differences between benchmarked and unbenchmarked MSEs therefore include independent simulation noise on top of the true benchmarking effect. Pairing the replicates (same </w:t>
      </w:r>
      <m:oMath>
        <m:sSup>
          <m:sSupPr>
            <m:ctrlPr>
              <w:rPr>
                <w:rFonts w:ascii="Cambria Math" w:hAnsi="Cambria Math"/>
              </w:rPr>
            </m:ctrlPr>
          </m:sSupPr>
          <m:e>
            <m:r>
              <w:rPr>
                <w:rFonts w:ascii="Cambria Math" w:hAnsi="Cambria Math"/>
              </w:rPr>
              <m:t>u</m:t>
            </m:r>
          </m:e>
          <m:sup>
            <m:r>
              <w:rPr>
                <w:rFonts w:ascii="Cambria Math" w:hAnsi="Cambria Math"/>
              </w:rPr>
              <m:t>(</m:t>
            </m:r>
            <m:r>
              <w:rPr>
                <w:rFonts w:ascii="Cambria Math" w:hAnsi="Cambria Math"/>
              </w:rPr>
              <m:t>b</m:t>
            </m:r>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b</m:t>
            </m:r>
            <m:r>
              <w:rPr>
                <w:rFonts w:ascii="Cambria Math" w:hAnsi="Cambria Math"/>
              </w:rPr>
              <m:t>)</m:t>
            </m:r>
          </m:sup>
        </m:sSup>
      </m:oMath>
      <w:r>
        <w:t xml:space="preserve"> draws) would isolate the benchmarking effect exactly.</w:t>
      </w:r>
    </w:p>
    <w:p w14:paraId="0C803A26" w14:textId="77777777" w:rsidR="004D355D" w:rsidRDefault="000F2E07">
      <w:pPr>
        <w:pStyle w:val="FirstParagraph"/>
      </w:pPr>
      <w:r>
        <w:t>Comparable-over-time small-area estimation is an active area of methodological work (Molina and Romero, 2025).</w:t>
      </w:r>
    </w:p>
    <w:p w14:paraId="0C803A27" w14:textId="77777777" w:rsidR="004D355D" w:rsidRDefault="000F2E07">
      <w:pPr>
        <w:pStyle w:val="Heading1"/>
      </w:pPr>
      <w:bookmarkStart w:id="12" w:name="references"/>
      <w:r>
        <w:t>References</w:t>
      </w:r>
      <w:bookmarkEnd w:id="12"/>
    </w:p>
    <w:p w14:paraId="0C803A28" w14:textId="77777777" w:rsidR="004D355D" w:rsidRDefault="000F2E07">
      <w:pPr>
        <w:pStyle w:val="FirstParagraph"/>
      </w:pPr>
      <w:r>
        <w:t xml:space="preserve">Bell, W. R., Datta, G. S., and Ghosh, M. (2013). Benchmarking small area estimators. </w:t>
      </w:r>
      <w:r>
        <w:rPr>
          <w:i/>
        </w:rPr>
        <w:t>Biometrika</w:t>
      </w:r>
      <w:r>
        <w:t>, 100(1), 189–202.</w:t>
      </w:r>
    </w:p>
    <w:p w14:paraId="0C803A29" w14:textId="77777777" w:rsidR="004D355D" w:rsidRDefault="000F2E07">
      <w:pPr>
        <w:pStyle w:val="BodyText"/>
      </w:pPr>
      <w:r>
        <w:t xml:space="preserve">Benavent, R. and Morales, D. (2016). Multivariate Fay–Herriot models for small area estimation. </w:t>
      </w:r>
      <w:r>
        <w:rPr>
          <w:i/>
        </w:rPr>
        <w:t>Computational Statistics &amp; Data Analysis</w:t>
      </w:r>
      <w:r>
        <w:t>, 94, 372–390.</w:t>
      </w:r>
    </w:p>
    <w:p w14:paraId="0C803A2A" w14:textId="77777777" w:rsidR="004D355D" w:rsidRDefault="000F2E07">
      <w:pPr>
        <w:pStyle w:val="BodyText"/>
      </w:pPr>
      <w:r>
        <w:t xml:space="preserve">Datta, G. S., Ghosh, M., Steorts, R., and Maples, J. (2011). Bayesian benchmarking with applications to small area estimation. </w:t>
      </w:r>
      <w:r>
        <w:rPr>
          <w:i/>
        </w:rPr>
        <w:t>Test</w:t>
      </w:r>
      <w:r>
        <w:t>, 20(3), 574–588.</w:t>
      </w:r>
    </w:p>
    <w:p w14:paraId="0C803A2B" w14:textId="77777777" w:rsidR="004D355D" w:rsidRDefault="000F2E07">
      <w:pPr>
        <w:pStyle w:val="BodyText"/>
      </w:pPr>
      <w:r>
        <w:lastRenderedPageBreak/>
        <w:t xml:space="preserve">Datta, G. S. and Lahiri, P. (2000). A unified measure of uncertainty of estimated best linear unbiased predictors in small area estimation problems. </w:t>
      </w:r>
      <w:r>
        <w:rPr>
          <w:i/>
        </w:rPr>
        <w:t>Statistica Sinica</w:t>
      </w:r>
      <w:r>
        <w:t>, 10(2), 613–627.</w:t>
      </w:r>
    </w:p>
    <w:p w14:paraId="0C803A2C" w14:textId="77777777" w:rsidR="004D355D" w:rsidRDefault="000F2E07">
      <w:pPr>
        <w:pStyle w:val="BodyText"/>
      </w:pPr>
      <w:r>
        <w:t xml:space="preserve">Duan, N. (1983). Smearing estimate: a nonparametric retransformation method. </w:t>
      </w:r>
      <w:r>
        <w:rPr>
          <w:i/>
        </w:rPr>
        <w:t>Journal of the American Statistical Association</w:t>
      </w:r>
      <w:r>
        <w:t>, 78(383), 605–610.</w:t>
      </w:r>
    </w:p>
    <w:p w14:paraId="0C803A2D" w14:textId="77777777" w:rsidR="004D355D" w:rsidRDefault="000F2E07">
      <w:pPr>
        <w:pStyle w:val="BodyText"/>
      </w:pPr>
      <w:r>
        <w:t xml:space="preserve">Fay, R. E. and Herriot, R. A. (1979). Estimates of income for small places: an application of James–Stein procedures to census data. </w:t>
      </w:r>
      <w:r>
        <w:rPr>
          <w:i/>
        </w:rPr>
        <w:t>Journal of the American Statistical Association</w:t>
      </w:r>
      <w:r>
        <w:t>, 74(366), 269–277.</w:t>
      </w:r>
    </w:p>
    <w:p w14:paraId="0C803A2E" w14:textId="77777777" w:rsidR="004D355D" w:rsidRDefault="000F2E07">
      <w:pPr>
        <w:pStyle w:val="BodyText"/>
      </w:pPr>
      <w:r>
        <w:t xml:space="preserve">Harmening, S., Kreutzmann, A.-K., Schmidt, S., Salvati, N., and Schmid, T. (2023). A Framework for Producing Small Area Estimates Based on Area-Level Models in R. </w:t>
      </w:r>
      <w:r>
        <w:rPr>
          <w:i/>
        </w:rPr>
        <w:t>The R Journal</w:t>
      </w:r>
      <w:r>
        <w:t>, 15(1), 316–341.</w:t>
      </w:r>
    </w:p>
    <w:p w14:paraId="0C803A2F" w14:textId="77777777" w:rsidR="004D355D" w:rsidRDefault="000F2E07">
      <w:pPr>
        <w:pStyle w:val="BodyText"/>
      </w:pPr>
      <w:r>
        <w:t xml:space="preserve">Kreutzmann, A.-K., Pannier, S., Rojas-Perilla, N., Schmid, T., Templ, M., and Tzavidis, N. (2019). The R package emdi for estimating and mapping regionally disaggregated indicators. </w:t>
      </w:r>
      <w:r>
        <w:rPr>
          <w:i/>
        </w:rPr>
        <w:t>Journal of Statistical Software</w:t>
      </w:r>
      <w:r>
        <w:t>, 91(7), 1–33.</w:t>
      </w:r>
    </w:p>
    <w:p w14:paraId="0C803A30" w14:textId="77777777" w:rsidR="004D355D" w:rsidRDefault="000F2E07">
      <w:pPr>
        <w:pStyle w:val="BodyText"/>
      </w:pPr>
      <w:r>
        <w:t>Molina, I. and Romero, E. (2025). Comparable Small Area Estimates over Time. Working document.</w:t>
      </w:r>
    </w:p>
    <w:p w14:paraId="0C803A31" w14:textId="77777777" w:rsidR="004D355D" w:rsidRDefault="000F2E07">
      <w:pPr>
        <w:pStyle w:val="BodyText"/>
      </w:pPr>
      <w:r>
        <w:t xml:space="preserve">Permatasari, N. and Ubaidillah, A. (2021). msae: an R package of multivariate Fay–Herriot models for small area estimation. </w:t>
      </w:r>
      <w:r>
        <w:rPr>
          <w:i/>
        </w:rPr>
        <w:t>The R Journal</w:t>
      </w:r>
      <w:r>
        <w:t>, 13(2), 111–122.</w:t>
      </w:r>
    </w:p>
    <w:p w14:paraId="0C803A32" w14:textId="77777777" w:rsidR="004D355D" w:rsidRDefault="000F2E07">
      <w:pPr>
        <w:pStyle w:val="BodyText"/>
      </w:pPr>
      <w:r>
        <w:t xml:space="preserve">Prasad, N. G. N. and Rao, J. N. K. (1990). The estimation of the mean squared error of small-area estimators. </w:t>
      </w:r>
      <w:r>
        <w:rPr>
          <w:i/>
        </w:rPr>
        <w:t>Journal of the American Statistical Association</w:t>
      </w:r>
      <w:r>
        <w:t>, 85(409), 163–171.</w:t>
      </w:r>
    </w:p>
    <w:p w14:paraId="0C803A33" w14:textId="77777777" w:rsidR="004D355D" w:rsidRDefault="000F2E07">
      <w:pPr>
        <w:pStyle w:val="BodyText"/>
      </w:pPr>
      <w:r>
        <w:t xml:space="preserve">Rao, J. N. K. and Molina, I. (2015). </w:t>
      </w:r>
      <w:r>
        <w:rPr>
          <w:i/>
        </w:rPr>
        <w:t>Small Area Estimation</w:t>
      </w:r>
      <w:r>
        <w:t>, 2nd edition. Wiley, Hoboken.</w:t>
      </w:r>
    </w:p>
    <w:sectPr w:rsidR="004D355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04FB3" w14:textId="77777777" w:rsidR="000F2E07" w:rsidRDefault="000F2E07">
      <w:pPr>
        <w:spacing w:after="0" w:line="240" w:lineRule="auto"/>
      </w:pPr>
      <w:r>
        <w:separator/>
      </w:r>
    </w:p>
  </w:endnote>
  <w:endnote w:type="continuationSeparator" w:id="0">
    <w:p w14:paraId="31FDDECF" w14:textId="77777777" w:rsidR="000F2E07" w:rsidRDefault="000F2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2B7D7" w14:textId="77777777" w:rsidR="000F2E07" w:rsidRDefault="000F2E07">
      <w:r>
        <w:separator/>
      </w:r>
    </w:p>
  </w:footnote>
  <w:footnote w:type="continuationSeparator" w:id="0">
    <w:p w14:paraId="08B68801" w14:textId="77777777" w:rsidR="000F2E07" w:rsidRDefault="000F2E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F0CA0E9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5C6ABFD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47261BAD"/>
    <w:multiLevelType w:val="multilevel"/>
    <w:tmpl w:val="4552B1D2"/>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3" w15:restartNumberingAfterBreak="0">
    <w:nsid w:val="71315DCA"/>
    <w:multiLevelType w:val="multilevel"/>
    <w:tmpl w:val="42BE0414"/>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 w16cid:durableId="444468888">
    <w:abstractNumId w:val="1"/>
  </w:num>
  <w:num w:numId="2" w16cid:durableId="10408631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4983577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996109557">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10314153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F2E07"/>
    <w:rsid w:val="004D355D"/>
    <w:rsid w:val="004E29B3"/>
    <w:rsid w:val="004E3921"/>
    <w:rsid w:val="00590D07"/>
    <w:rsid w:val="00784D58"/>
    <w:rsid w:val="008D6863"/>
    <w:rsid w:val="00B05154"/>
    <w:rsid w:val="00B5668C"/>
    <w:rsid w:val="00B66B5C"/>
    <w:rsid w:val="00B86B75"/>
    <w:rsid w:val="00BC48D5"/>
    <w:rsid w:val="00C36279"/>
    <w:rsid w:val="00E315A3"/>
    <w:rsid w:val="00EC0AF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039CB"/>
  <w15:docId w15:val="{C06CE5D3-B747-446E-95DC-9ACF861D7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8" w:lineRule="auto"/>
      <w:jc w:val="both"/>
    </w:pPr>
    <w:rPr>
      <w:rFonts w:ascii="Times New Roman" w:eastAsia="Times New Roman" w:hAnsi="Times New Roman" w:cs="Times New Roman"/>
      <w:sz w:val="22"/>
      <w:szCs w:val="22"/>
    </w:rPr>
  </w:style>
  <w:style w:type="paragraph" w:styleId="Heading1">
    <w:name w:val="heading 1"/>
    <w:basedOn w:val="Normal"/>
    <w:next w:val="BodyText"/>
    <w:uiPriority w:val="9"/>
    <w:qFormat/>
    <w:pPr>
      <w:keepNext/>
      <w:keepLines/>
      <w:spacing w:before="480" w:after="240"/>
      <w:jc w:val="center"/>
      <w:outlineLvl w:val="0"/>
    </w:pPr>
    <w:rPr>
      <w:b/>
      <w:bCs/>
      <w:sz w:val="24"/>
      <w:szCs w:val="24"/>
    </w:rPr>
  </w:style>
  <w:style w:type="paragraph" w:styleId="Heading2">
    <w:name w:val="heading 2"/>
    <w:basedOn w:val="Normal"/>
    <w:next w:val="BodyText"/>
    <w:uiPriority w:val="9"/>
    <w:unhideWhenUsed/>
    <w:qFormat/>
    <w:pPr>
      <w:keepNext/>
      <w:keepLines/>
      <w:spacing w:before="280"/>
      <w:jc w:val="left"/>
      <w:outlineLvl w:val="1"/>
    </w:pPr>
    <w:rPr>
      <w:b/>
      <w:bCs/>
      <w:i/>
      <w:iCs/>
    </w:rPr>
  </w:style>
  <w:style w:type="paragraph" w:styleId="Heading3">
    <w:name w:val="heading 3"/>
    <w:basedOn w:val="Normal"/>
    <w:next w:val="BodyText"/>
    <w:uiPriority w:val="9"/>
    <w:unhideWhenUsed/>
    <w:qFormat/>
    <w:pPr>
      <w:keepNext/>
      <w:keepLines/>
      <w:spacing w:before="200" w:after="80"/>
      <w:jc w:val="left"/>
      <w:outlineLvl w:val="2"/>
    </w:pPr>
    <w:rPr>
      <w:i/>
      <w:i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2409</Words>
  <Characters>14797</Characters>
  <Application>Microsoft Office Word</Application>
  <DocSecurity>0</DocSecurity>
  <Lines>242</Lines>
  <Paragraphs>125</Paragraphs>
  <ScaleCrop>false</ScaleCrop>
  <Company/>
  <LinksUpToDate>false</LinksUpToDate>
  <CharactersWithSpaces>17081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Estimation of Mean Squared Errors in the EU SAE Poverty Mapping Package</dc:title>
  <dc:creator/>
  <cp:keywords/>
  <cp:lastModifiedBy>Nobuo Yoshida</cp:lastModifiedBy>
  <cp:revision>5</cp:revision>
  <dcterms:created xsi:type="dcterms:W3CDTF">2026-06-10T14:39:00Z</dcterms:created>
  <dcterms:modified xsi:type="dcterms:W3CDTF">2026-06-10T14:44:00Z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10, 2026</vt:lpwstr>
  </property>
  <property fmtid="{D5CDD505-2E9C-101B-9397-08002B2CF9AE}" pid="3" name="subtitle">
    <vt:lpwstr>Levels and Changes, with and without Benchmarking</vt:lpwstr>
  </property>
  <property fmtid="{D5CDD505-2E9C-101B-9397-08002B2CF9AE}" pid="4" name="GrammarlyDocumentId">
    <vt:lpwstr>14bce5f9-cb33-49ef-ab3f-7981f58992de</vt:lpwstr>
  </property>
</Properties>
</file>