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635F" w14:textId="77777777" w:rsidR="008E4EBD" w:rsidRDefault="00483AC6">
      <w:pPr>
        <w:spacing w:after="200"/>
        <w:jc w:val="center"/>
      </w:pPr>
      <w:r>
        <w:rPr>
          <w:b/>
          <w:sz w:val="28"/>
        </w:rPr>
        <w:t>What Does Fay–Herriot Predict? BLUPs, Covariance Misspecification, and Missing Direct Estimates</w:t>
      </w:r>
    </w:p>
    <w:p w14:paraId="247E6360" w14:textId="77777777" w:rsidR="008E4EBD" w:rsidRDefault="00483AC6">
      <w:pPr>
        <w:spacing w:after="360"/>
        <w:jc w:val="center"/>
      </w:pPr>
      <w:r>
        <w:t>By Nobuo Yoshida (World Bank)</w:t>
      </w:r>
    </w:p>
    <w:p w14:paraId="3C5B1D44" w14:textId="77777777" w:rsidR="0022340A" w:rsidRPr="0022340A" w:rsidRDefault="0022340A" w:rsidP="0022340A">
      <w:pPr>
        <w:pStyle w:val="FirstParagraph"/>
      </w:pPr>
      <w:r w:rsidRPr="0022340A">
        <w:rPr>
          <w:b/>
          <w:bCs/>
        </w:rPr>
        <w:t xml:space="preserve">Abstract. </w:t>
      </w:r>
      <w:r w:rsidRPr="0022340A">
        <w:t xml:space="preserve">This paper examines two issues in Fay–Herriot small area estimation: the impact of </w:t>
      </w:r>
      <w:proofErr w:type="spellStart"/>
      <w:r w:rsidRPr="0022340A">
        <w:t>misspecifying</w:t>
      </w:r>
      <w:proofErr w:type="spellEnd"/>
      <w:r w:rsidRPr="0022340A">
        <w:t xml:space="preserve"> the covariance matrices of the area random effects and sampling errors, and the consequences of missing direct estimates for some areas or area-years. Because the Fay–Herriot predictor depends directly on the assumed covariance structure, misspecification can prevent the predictor from converging to the true BLUP. The paper formalizes this argument for univariate and multivariate Fay–Herriot models and highlights two key limitations of the univariate Fay–Herriot approach: if sampling errors are autocorrelated, UFH generally does not converge to the true BLUP; and if an area-year has no direct estimate, UFH collapses to a synthetic prediction. The paper then shows when multivariate Fay–Herriot models can produce BLUP-type predictions for area-years without direct estimates, and when the resulting estimates are only synthetic. Monte Carlo evidence shows that ignoring relevant covariance, </w:t>
      </w:r>
      <w:proofErr w:type="gramStart"/>
      <w:r w:rsidRPr="0022340A">
        <w:t>especially</w:t>
      </w:r>
      <w:proofErr w:type="gramEnd"/>
      <w:r w:rsidRPr="0022340A">
        <w:t xml:space="preserve"> design-induced autocorrelation in sampling errors, can substantially increase MSE and move area-level point estimates away from the oracle BLUP, even when average prediction bias is small. In some scenarios, a </w:t>
      </w:r>
      <w:proofErr w:type="spellStart"/>
      <w:r w:rsidRPr="0022340A">
        <w:t>misspecified</w:t>
      </w:r>
      <w:proofErr w:type="spellEnd"/>
      <w:r w:rsidRPr="0022340A">
        <w:t xml:space="preserve"> multivariate Fay–Herriot estimator is less accurate than a univariate estimator. The results provide practical guidance for poverty mapping with repeated surveys and incomplete direct-estimate coverage.</w:t>
      </w:r>
    </w:p>
    <w:p w14:paraId="247E6361" w14:textId="09E54A2C" w:rsidR="008E4EBD" w:rsidRDefault="008E4EBD">
      <w:pPr>
        <w:pStyle w:val="FirstParagraph"/>
      </w:pPr>
    </w:p>
    <w:p w14:paraId="247E6362" w14:textId="77777777" w:rsidR="008E4EBD" w:rsidRDefault="00483AC6">
      <w:pPr>
        <w:pStyle w:val="BodyText"/>
      </w:pPr>
      <w:r>
        <w:rPr>
          <w:b/>
        </w:rPr>
        <w:t>Keywords:</w:t>
      </w:r>
      <w:r>
        <w:t xml:space="preserve"> Small area estimation; Fay–Herriot model; BLUP; EBLUP; covariance misspecification; sampling-error autocorrelation; multivariate Fay–Herriot; missing direct estimates.</w:t>
      </w:r>
    </w:p>
    <w:p w14:paraId="247E6363" w14:textId="77777777" w:rsidR="008E4EBD" w:rsidRDefault="00483AC6">
      <w:pPr>
        <w:pStyle w:val="BodyText"/>
      </w:pPr>
      <w:r>
        <w:rPr>
          <w:b/>
        </w:rPr>
        <w:t>JEL classification:</w:t>
      </w:r>
      <w:r>
        <w:t xml:space="preserve"> C13; C31; C53; I32.</w:t>
      </w:r>
    </w:p>
    <w:p w14:paraId="247E6364" w14:textId="77777777" w:rsidR="008E4EBD" w:rsidRDefault="00483AC6">
      <w:pPr>
        <w:pStyle w:val="Heading1"/>
      </w:pPr>
      <w:bookmarkStart w:id="0" w:name="introduction"/>
      <w:r>
        <w:t>1. Introduction</w:t>
      </w:r>
      <w:bookmarkEnd w:id="0"/>
    </w:p>
    <w:p w14:paraId="247E6365" w14:textId="77777777" w:rsidR="008E4EBD" w:rsidRDefault="00483AC6">
      <w:pPr>
        <w:pStyle w:val="FirstParagraph"/>
      </w:pPr>
      <w:r>
        <w:t xml:space="preserve">Small area estimation (SAE) methods are now a standard component of official poverty measurement. When direct survey estimates are available for some domains but are too imprecise to publish, area-level models in the tradition of Fay and Herriot (1979) combine direct estimates with auxiliary information to produce estimates with improved precision. The literature on these methods is extensive: Rao and Molina (2015) provide a comprehensive treatment, and Pfeffermann (2013) and Jiang and Lahiri (2006) survey </w:t>
      </w:r>
      <w:r>
        <w:t>the theory of mixed-model prediction on which the methods rest.</w:t>
      </w:r>
    </w:p>
    <w:p w14:paraId="247E6366" w14:textId="77777777" w:rsidR="008E4EBD" w:rsidRDefault="00483AC6">
      <w:pPr>
        <w:pStyle w:val="BodyText"/>
      </w:pPr>
      <w:r>
        <w:t xml:space="preserve">Despite the maturity of this literature, a basic conceptual point is frequently blurred in applied work: the Fay–Herriot approach is a </w:t>
      </w:r>
      <w:r>
        <w:rPr>
          <w:i/>
        </w:rPr>
        <w:t>prediction</w:t>
      </w:r>
      <w:r>
        <w:t xml:space="preserve"> method for realized area-specific quantities, not merely a </w:t>
      </w:r>
      <w:r>
        <w:rPr>
          <w:i/>
        </w:rPr>
        <w:t>regression</w:t>
      </w:r>
      <w:r>
        <w:t xml:space="preserve"> method for estimating conditional means. The distinction matters because the statistical properties of estimators of fixed regression coefficients and predictors of realized random effects respond very differently to misspecification of the covariance structure. A generalized least squares (GLS) estimator of the regression coefficients can remain consistent under a misspecified working covariance matrix, provided the mean model</w:t>
      </w:r>
      <w:r>
        <w:t xml:space="preserve"> is correct; the cost of misspecification is then mainly a loss of efficiency and </w:t>
      </w:r>
      <w:r>
        <w:lastRenderedPageBreak/>
        <w:t xml:space="preserve">invalid conventional standard errors. The best linear unbiased predictor (BLUP) of a realized area effect, by contrast, is </w:t>
      </w:r>
      <w:r>
        <w:rPr>
          <w:i/>
        </w:rPr>
        <w:t>defined</w:t>
      </w:r>
      <w:r>
        <w:t xml:space="preserve"> by the covariance structure: the covariance matrices of the random effects and the sampling errors determine the prediction weights. If the working covariance is wrong, the predictor converges to the BLUP under the working model, which is generally not the BLUP under the true model. Covariance miss</w:t>
      </w:r>
      <w:r>
        <w:t>pecification therefore changes the target of prediction itself.</w:t>
      </w:r>
    </w:p>
    <w:p w14:paraId="247E6367" w14:textId="77777777" w:rsidR="008E4EBD" w:rsidRDefault="00483AC6">
      <w:pPr>
        <w:pStyle w:val="BodyText"/>
      </w:pPr>
      <w:r>
        <w:t>This paper develops the argument in detail and traces its consequences for three questions that arise constantly in the production of small area poverty estimates. First, when is the univariate Fay–Herriot (UFH) estimator adequate, and what exactly does it converge to when the true error structure exhibits autocorrelation over time or spatial correlation across areas? Second, what does the multivariate Fay–Herriot (MFH) model of Benavent and Morales (2016)—and, more generally, the time-series and spatio-tem</w:t>
      </w:r>
      <w:r>
        <w:t xml:space="preserve">poral extensions of Rao and Yu (1994), Pratesi and Salvati (2008), and Marhuenda, Molina, and Morales (2013)—add, and under what conditions does it deliver a predictor that converges to the BLUP implied by the true covariance structure? Third, and most practically, what can and cannot be said about areas or area-years </w:t>
      </w:r>
      <w:r>
        <w:rPr>
          <w:i/>
        </w:rPr>
        <w:t>without</w:t>
      </w:r>
      <w:r>
        <w:t xml:space="preserve"> direct estimates, for which the usual FH shrinkage formula cannot even be evaluated?</w:t>
      </w:r>
    </w:p>
    <w:p w14:paraId="247E6368" w14:textId="77777777" w:rsidR="008E4EBD" w:rsidRDefault="00483AC6">
      <w:pPr>
        <w:pStyle w:val="BodyText"/>
      </w:pPr>
      <w:r>
        <w:t xml:space="preserve">The answers we develop are as follows. The FH target is the realized area parameter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a realized random effect; predicting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requires a covariance-based adjustment that exploits the direct estimate. A purely synthetic prediction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may be a consistent estimator of the conditional mean, but it is not, in general, the BLUP of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and should not be labeled as such. When the true covariance structure links a given area-year to other years or neighboring areas, the UFH predictor uses the wrong prediction weights: it converges to the BLUP under its univariate working model rather than to the true BLUP. The MFH model addresses this by jointly modeling a vector of direct estimates; when its covariance structure is correctly specified and consistently estimated, the MFH empirical BLUP (EBLUP) converges to the BLUP under the multivariate m</w:t>
      </w:r>
      <w:r>
        <w:t>odel. Most importantly for practice, the partitioned form of the multivariate predictor shows precisely when an area-year without a direct estimate can receive a genuine BLUP-type prediction—namely, when it is connected to observed direct estimates through nonzero model covariance—and when the prediction is irreducibly synthetic.</w:t>
      </w:r>
    </w:p>
    <w:p w14:paraId="247E6369" w14:textId="77777777" w:rsidR="008E4EBD" w:rsidRDefault="00483AC6">
      <w:pPr>
        <w:pStyle w:val="BodyText"/>
      </w:pPr>
      <w:r>
        <w:t xml:space="preserve">A further theme, developed at length in the simulation study, is that the issue is not simply UFH versus MFH. The BLUP is defined by the </w:t>
      </w:r>
      <w:r>
        <w:rPr>
          <w:i/>
        </w:rPr>
        <w:t>full</w:t>
      </w:r>
      <w:r>
        <w:t xml:space="preserve"> covariance structure of the data, which has two components: the covariance of the realized area effects, </w:t>
      </w:r>
      <m:oMath>
        <m:r>
          <w:rPr>
            <w:rFonts w:ascii="Cambria Math" w:hAnsi="Cambria Math"/>
          </w:rPr>
          <m:t>G</m:t>
        </m:r>
      </m:oMath>
      <w:r>
        <w:t xml:space="preserve">, and the covariance of the sampling errors,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These two components have very different epistemic status in practice. The covariance of the area effects is a model object: it is unknown and must be specified and estimated. The covariance of the sampling errors, by contrast, is often known or estimable from the survey design—in repeated surveys, rotating panels, or settings where the same households or primary sampling units contribute to direct estimates in multiple years,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can be computed or estimated directly, just as the diagonal sampling variances are routinely treated as known following Fay and Herriot (1979). UFH is a special working model that sets all cross-time and cross-area covariances—in both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zero. MFH improves on UFH only to the extent that it includes the relevant covariance components. If the sampling errors are autocorrelated and this autocorrelation is ignored, an MFH estimator that models </w:t>
      </w:r>
      <m:oMath>
        <m:r>
          <w:rPr>
            <w:rFonts w:ascii="Cambria Math" w:hAnsi="Cambria Math"/>
          </w:rPr>
          <m:t>G</m:t>
        </m:r>
      </m:oMath>
      <w:r>
        <w:t xml:space="preserve"> but assumes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also fails to converge to the true BLUP: it converges only to the BLUP under its misspecified working covariance, and can be less accurate than UFH itself.</w:t>
      </w:r>
    </w:p>
    <w:p w14:paraId="247E636A" w14:textId="77777777" w:rsidR="008E4EBD" w:rsidRDefault="00483AC6">
      <w:pPr>
        <w:pStyle w:val="BodyText"/>
      </w:pPr>
      <w:r>
        <w:lastRenderedPageBreak/>
        <w:t>These points are implicit in the classical theory of mixed-model prediction going back to Henderson (1975), and several of them are noted in the SAE literature (Rao and Molina, 2015, Ch. 5–8). Our contribution is to assemble them into a single self-contained argument oriented toward applied poverty mapping, to state the non-convergence result for UFH under dependence explicitly, to derive the missing-area-year predictor in a form that maps directly into software, and to quantify the practical stakes in a Mo</w:t>
      </w:r>
      <w:r>
        <w:t>nte Carlo experiment that varies the autocorrelation of the area effects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and of the sampling errors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separately. The simulation results indicate that when the intertemporal correlation of area effects is strong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independent sampling errors), correctly specified MFH reduces the mean squared error (MSE) of predictions by about 25 percent for observed area-years relative to UFH, and by about 38 percent for missing area-years relative to synthetic prediction—with essentially no penalty when the correlation is in fact zero. They also show that the gains are conditional on getting the sampling-error covariance right: when sampling errors are strongly autocorrelated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and the analyst models the area-effect covariance but assumes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MFH estimator absorbs the sampling-error correlation into a spurious estimate of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xml:space="preserve">, fails to converge to the true BLUP, and produces MSEs up to 66 percent </w:t>
      </w:r>
      <w:r>
        <w:rPr>
          <w:i/>
        </w:rPr>
        <w:t>higher</w:t>
      </w:r>
      <w:r>
        <w:t xml:space="preserve"> than UFH for observed area-years and 33 percent higher than synthetic prediction for missing ones, while MFH with the correct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tracks the oracle BLUP throughout.</w:t>
      </w:r>
    </w:p>
    <w:p w14:paraId="247E636B" w14:textId="77777777" w:rsidR="008E4EBD" w:rsidRDefault="00483AC6">
      <w:pPr>
        <w:pStyle w:val="BodyText"/>
      </w:pPr>
      <w:r>
        <w:t>The remainder of the paper is organized as follows. Section 2 reviews the relevant literature and clarifies the position of this paper relative to classical mixed-model prediction, area-level SAE, unit-level poverty mapping, and multivariate or spatio-temporal FH models. Section 3 distinguishes estimation of conditional means from prediction of realized area parameters. Section 4 reviews BLUP and EBLUP in the general linear mixed model. Section 5 formalizes the behavior of predictors under covariance misspe</w:t>
      </w:r>
      <w:r>
        <w:t>cification. Sections 6 and 7 treat the univariate FH model and its behavior under temporal and spatial dependence. Section 8 discusses UFH for area-years without direct estimates. Sections 9 and 10 develop the MFH model and the partitioned predictor for missing area-years. Section 11 reports the Monte Carlo study. Section 12 draws implications for uncertainty reporting and the production of estimates, and Section 13 concludes.</w:t>
      </w:r>
    </w:p>
    <w:p w14:paraId="247E636C" w14:textId="77777777" w:rsidR="008E4EBD" w:rsidRDefault="00483AC6">
      <w:pPr>
        <w:pStyle w:val="Heading1"/>
      </w:pPr>
      <w:bookmarkStart w:id="1" w:name="literature-review"/>
      <w:r>
        <w:t>2. Literature review</w:t>
      </w:r>
      <w:bookmarkEnd w:id="1"/>
    </w:p>
    <w:p w14:paraId="247E636D" w14:textId="77777777" w:rsidR="008E4EBD" w:rsidRDefault="00483AC6">
      <w:pPr>
        <w:pStyle w:val="FirstParagraph"/>
      </w:pPr>
      <w:r>
        <w:t>This paper sits at the intersection of four strands of literature: classical mixed-model prediction, area-level small area estimation, unit-level poverty mapping, and multivariate or spatio-temporal extensions of the Fay–Herriot model. The common object across these strands is borrowing strength, but the target of borrowing differs. Some methods estimate a conditional mean or a model-implied distribution; others predict a realized random effect or a realized finite-population quantity. The distinction is ce</w:t>
      </w:r>
      <w:r>
        <w:t>ntral for understanding why covariance specification matters for FH and MFH predictors.</w:t>
      </w:r>
    </w:p>
    <w:p w14:paraId="247E636E" w14:textId="77777777" w:rsidR="008E4EBD" w:rsidRDefault="00483AC6">
      <w:pPr>
        <w:pStyle w:val="Heading2"/>
      </w:pPr>
      <w:bookmarkStart w:id="2" w:name="X80f51f819b4525847f707400808cb0b594c5838"/>
      <w:r>
        <w:t>2.1. Mixed-model prediction and the meaning of BLUP</w:t>
      </w:r>
      <w:bookmarkEnd w:id="2"/>
    </w:p>
    <w:p w14:paraId="247E636F" w14:textId="77777777" w:rsidR="008E4EBD" w:rsidRDefault="00483AC6">
      <w:pPr>
        <w:pStyle w:val="FirstParagraph"/>
      </w:pPr>
      <w:r>
        <w:t>The first foundation is the mixed-model prediction literature. Henderson (1975) formalized best linear unbiased prediction for linear mixed models, and Robinson (1991) emphasized why BLUP is a prediction device for realized random effects rather than simply an estimator of fixed regression coefficients. In this framework, the covariance matrix is not a nuisance weighting matrix only; it defines the projection of the unobserved random component on the observed data. Kackar and Harville (1984), Prasad and Rao</w:t>
      </w:r>
      <w:r>
        <w:t xml:space="preserve"> (1990), </w:t>
      </w:r>
      <w:r>
        <w:lastRenderedPageBreak/>
        <w:t>and Datta and Lahiri (2000) then developed key results for empirical BLUPs, including the effect of estimating variance components and the resulting MSE approximations. This literature provides the formal basis for the paper's central claim: covariance misspecification affects prediction weights and therefore changes the BLUP that the empirical predictor approximates.</w:t>
      </w:r>
    </w:p>
    <w:p w14:paraId="247E6370" w14:textId="77777777" w:rsidR="008E4EBD" w:rsidRDefault="00483AC6">
      <w:pPr>
        <w:pStyle w:val="Heading2"/>
      </w:pPr>
      <w:bookmarkStart w:id="3" w:name="area-level-small-area-estimation"/>
      <w:r>
        <w:t>2.2. Area-level small area estimation</w:t>
      </w:r>
      <w:bookmarkEnd w:id="3"/>
    </w:p>
    <w:p w14:paraId="247E6371" w14:textId="77777777" w:rsidR="008E4EBD" w:rsidRDefault="00483AC6">
      <w:pPr>
        <w:pStyle w:val="FirstParagraph"/>
      </w:pPr>
      <w:r>
        <w:t xml:space="preserve">The second strand is area-level SAE. Fay and Herriot (1979) introduced the canonical area-level model for combining noisy direct estimates with auxiliary covariates, thereby adapting James-Stein shrinkage to official statistics. Ghosh and Rao (1994), Jiang and Lahiri (2006), Pfeffermann (2013), and Rao and Molina (2015) review the subsequent development of the theory and practice of SAE. In this literature, the direct estimate is treated as an observation on a latent area parameter plus sampling error; the </w:t>
      </w:r>
      <w:r>
        <w:t>FH predictor then combines the direct estimate and the regression-synthetic estimator through a shrinkage factor determined by the model variance and the sampling variance. Much of applied poverty mapping uses this structure, but the interpretation is sometimes blurred: the FH EBLUP is not simply a smoothed regression fitted value. It is a predictor of a realized area parameter, and the area effect is predicted conditionally on the direct estimate.</w:t>
      </w:r>
    </w:p>
    <w:p w14:paraId="247E6372" w14:textId="77777777" w:rsidR="008E4EBD" w:rsidRDefault="00483AC6">
      <w:pPr>
        <w:pStyle w:val="BodyText"/>
      </w:pPr>
      <w:r>
        <w:t>This distinction also clarifies why a correct mean model is not enough. If the goal were only to estimate E[y_i | x_i], GLS-type fitted values would be natural and covariance misspecification would primarily affect efficiency. The FH goal is instead to predict theta_i = x_i' beta + u_i. The term u_i is a realized area effect, and its conditional prediction is governed by the covariance between the target and the observed direct estimates. This is the point that motivates the formal treatment of predictors u</w:t>
      </w:r>
      <w:r>
        <w:t>nder misspecified working covariance matrices below.</w:t>
      </w:r>
    </w:p>
    <w:p w14:paraId="247E6373" w14:textId="77777777" w:rsidR="008E4EBD" w:rsidRDefault="00483AC6">
      <w:pPr>
        <w:pStyle w:val="Heading2"/>
      </w:pPr>
      <w:bookmarkStart w:id="4" w:name="X3c388bf97bd7ccf0f073d678e2158e950afe6a8"/>
      <w:r>
        <w:t>2.3. Unit-level poverty mapping and empirical best prediction</w:t>
      </w:r>
      <w:bookmarkEnd w:id="4"/>
    </w:p>
    <w:p w14:paraId="247E6374" w14:textId="77777777" w:rsidR="008E4EBD" w:rsidRDefault="00483AC6">
      <w:pPr>
        <w:pStyle w:val="FirstParagraph"/>
      </w:pPr>
      <w:r>
        <w:t>A third strand concerns unit-level poverty mapping. Battese, Harter, and Fuller (1988) introduced a nested error regression model for small area prediction using survey and satellite data. Elbers, Lanjouw, and Lanjouw (2003) developed the influential ELL approach to poverty mapping by estimating a household welfare model in a survey, applying it to census covariates, simulating disturbances, and aggregating simulated welfare to poverty and inequality measures. The ELL approach is extremely important in appl</w:t>
      </w:r>
      <w:r>
        <w:t>ied poverty mapping, but its standard interpretation differs from FH. ELL generally simulates random components from their model distribution and estimates area poverty measures implied by census covariates and the estimated welfare model. It is therefore closer to estimating a model-implied distribution of welfare conditional on covariates than to predicting a realized area effect using a direct estimate for that same area.</w:t>
      </w:r>
    </w:p>
    <w:p w14:paraId="247E6375" w14:textId="77777777" w:rsidR="008E4EBD" w:rsidRDefault="00483AC6">
      <w:pPr>
        <w:pStyle w:val="BodyText"/>
      </w:pPr>
      <w:r>
        <w:t>Molina and Rao (2010) moved the unit-level poverty mapping literature closer to mixed-model prediction by proposing empirical best prediction for nonlinear poverty indicators under a nested error model. Their approach conditions on sample observations from the target area to predict the realized finite-population poverty indicator. In this sense, Molina-Rao is conceptually closer to FH than to purely synthetic imputation: the model assumes that area effects have zero mean ex ante, but the conditional mean o</w:t>
      </w:r>
      <w:r>
        <w:t xml:space="preserve">f the realized area effect is generally nonzero after observing area-specific sample information. This paper focuses on area-level FH and MFH rather than unit-level empirical best prediction, but the same </w:t>
      </w:r>
      <w:r>
        <w:lastRenderedPageBreak/>
        <w:t>conceptual distinction applies: estimating the mean component is not the same as predicting the realized area-specific component.</w:t>
      </w:r>
    </w:p>
    <w:p w14:paraId="247E6376" w14:textId="77777777" w:rsidR="008E4EBD" w:rsidRDefault="00483AC6">
      <w:pPr>
        <w:pStyle w:val="Heading2"/>
      </w:pPr>
      <w:bookmarkStart w:id="5" w:name="X38ae33556ee80c0ce460236fe2ffb0a8bdcf902"/>
      <w:r>
        <w:t>2.4. Temporal, spatial, and multivariate Fay–Herriot models</w:t>
      </w:r>
      <w:bookmarkEnd w:id="5"/>
    </w:p>
    <w:p w14:paraId="247E6377" w14:textId="77777777" w:rsidR="008E4EBD" w:rsidRDefault="00483AC6">
      <w:pPr>
        <w:pStyle w:val="FirstParagraph"/>
      </w:pPr>
      <w:r>
        <w:t xml:space="preserve">The fourth strand extends FH beyond independent area-year models. Rao and Yu (1994) combined time-series and cross-sectional information by allowing autocorrelated random effects and sampling errors, directly addressing the fact that repeated survey estimates for the same area are often correlated. Esteban, Morales, Pérez, and Santamaría (2012) applied area-level time models to poverty proportions. Pratesi and Salvati (2008) and Marhuenda, Molina, and Morales (2013) developed spatial and spatio-temporal FH </w:t>
      </w:r>
      <w:r>
        <w:t>models in which neighboring areas and adjacent periods provide additional sources of borrowing strength. Benavent and Morales (2016) formulated multivariate FH models for multiple related indicators, while González-Manteiga et al. (2008) studied analytic and bootstrap approximations for prediction errors under a multivariate FH model. Ybarra and Lohr (2008) addressed a related complication: auxiliary variables measured with error.</w:t>
      </w:r>
    </w:p>
    <w:p w14:paraId="247E6378" w14:textId="77777777" w:rsidR="008E4EBD" w:rsidRDefault="00483AC6">
      <w:pPr>
        <w:pStyle w:val="BodyText"/>
      </w:pPr>
      <w:r>
        <w:t>These extensions all share the same logic. They enlarge the information set used to predict the target by specifying nonzero covariance between the target area-year and other observed direct estimates. Consequently, the BLUP changes when temporal, spatial, or cross-outcome covariance is introduced. A UFH predictor that ignores these covariance links is not merely less efficient; it answers a different prediction question. The literature contains the ingredients for this conclusion, but applied guidance ofte</w:t>
      </w:r>
      <w:r>
        <w:t>n stops short of stating the consequence explicitly for areas without direct estimates. The contribution of this paper is to make that implication transparent: if an area-year has no direct estimate, UFH collapses to synthetic prediction, while MFH or spatial MFH can still produce a genuine BLUP-type predictor only when the missing target is connected to observed direct estimates through a correctly specified covariance model.</w:t>
      </w:r>
    </w:p>
    <w:p w14:paraId="247E6379" w14:textId="77777777" w:rsidR="008E4EBD" w:rsidRDefault="00483AC6">
      <w:pPr>
        <w:pStyle w:val="Heading1"/>
      </w:pPr>
      <w:bookmarkStart w:id="6" w:name="Xd0ee781d20ffffd88ab4fdd19dd0ffa683a49c8"/>
      <w:r>
        <w:t>3. What is being estimated: conditional mean versus realized area parameter</w:t>
      </w:r>
      <w:bookmarkEnd w:id="6"/>
    </w:p>
    <w:p w14:paraId="247E637A" w14:textId="77777777" w:rsidR="008E4EBD" w:rsidRDefault="00483AC6">
      <w:pPr>
        <w:pStyle w:val="FirstParagraph"/>
      </w:pPr>
      <w:r>
        <w:t>It is useful to begin with the elementary contrast. In an ordinary regression or GLS setting, the target is often the conditional mean,</w:t>
      </w:r>
    </w:p>
    <w:p w14:paraId="247E637B" w14:textId="77777777" w:rsidR="008E4EBD" w:rsidRDefault="00483AC6">
      <w:pPr>
        <w:pStyle w:val="BodyText"/>
        <w:spacing w:before="0" w:after="160" w:line="240" w:lineRule="atLeast"/>
        <w:jc w:val="center"/>
      </w:pPr>
      <m:oMathPara>
        <m:oMathParaPr>
          <m:jc m:val="center"/>
        </m:oMathParaP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oMath>
      </m:oMathPara>
    </w:p>
    <w:p w14:paraId="247E637C" w14:textId="77777777" w:rsidR="008E4EBD" w:rsidRDefault="00483AC6">
      <w:pPr>
        <w:pStyle w:val="BodyText"/>
      </w:pPr>
      <w:r>
        <w:t xml:space="preserve">A GLS estimator based on a working covariance matrix </w:t>
      </w:r>
      <m:oMath>
        <m:r>
          <w:rPr>
            <w:rFonts w:ascii="Cambria Math" w:hAnsi="Cambria Math"/>
          </w:rPr>
          <m:t>W</m:t>
        </m:r>
      </m:oMath>
      <w:r>
        <w:t xml:space="preserve"> has the form</w:t>
      </w:r>
    </w:p>
    <w:p w14:paraId="247E637D"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WX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r>
            <w:rPr>
              <w:rFonts w:ascii="Cambria Math" w:hAnsi="Cambria Math"/>
            </w:rPr>
            <m:t>'</m:t>
          </m:r>
          <m:r>
            <w:rPr>
              <w:rFonts w:ascii="Cambria Math" w:hAnsi="Cambria Math"/>
            </w:rPr>
            <m:t>Wy</m:t>
          </m:r>
          <m:r>
            <w:rPr>
              <w:rFonts w:ascii="Cambria Math" w:hAnsi="Cambria Math"/>
            </w:rPr>
            <m:t>.</m:t>
          </m:r>
        </m:oMath>
      </m:oMathPara>
    </w:p>
    <w:p w14:paraId="247E637E" w14:textId="77777777" w:rsidR="008E4EBD" w:rsidRDefault="00483AC6">
      <w:pPr>
        <w:pStyle w:val="BodyText"/>
      </w:pPr>
      <w:r>
        <w:t xml:space="preserve">If the mean model is correctly specified and the usual regularity conditions hold,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oMath>
      <w:r>
        <w:t xml:space="preserve"> is consistent for </w:t>
      </w:r>
      <m:oMath>
        <m:r>
          <w:rPr>
            <w:rFonts w:ascii="Cambria Math" w:hAnsi="Cambria Math"/>
          </w:rPr>
          <m:t>β</m:t>
        </m:r>
      </m:oMath>
      <w:r>
        <w:t xml:space="preserve"> even when </w:t>
      </w:r>
      <m:oMath>
        <m:r>
          <w:rPr>
            <w:rFonts w:ascii="Cambria Math" w:hAnsi="Cambria Math"/>
          </w:rPr>
          <m:t>W</m:t>
        </m:r>
      </m:oMath>
      <w:r>
        <w:t xml:space="preserve"> is not the inverse of the true covariance matrix of </w:t>
      </w:r>
      <m:oMath>
        <m:r>
          <w:rPr>
            <w:rFonts w:ascii="Cambria Math" w:hAnsi="Cambria Math"/>
          </w:rPr>
          <m:t>y</m:t>
        </m:r>
      </m:oMath>
      <w:r>
        <w:t xml:space="preserve">. In that case, the fitted value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oMath>
      <w:r>
        <w:t xml:space="preserve"> is a consistent estimator of </w:t>
      </w: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and the consequence of covariance misspecification is primarily a loss of efficiency, along with incorrect conventional standard errors, which can be addressed with sandwich-type variance estimators. This robustness property underlies much of applied regression practice.</w:t>
      </w:r>
    </w:p>
    <w:p w14:paraId="247E637F" w14:textId="77777777" w:rsidR="008E4EBD" w:rsidRDefault="00483AC6">
      <w:pPr>
        <w:pStyle w:val="BodyText"/>
      </w:pPr>
      <w:r>
        <w:t>The FH target is different. The usual area-level target is the realized area parameter</w:t>
      </w:r>
    </w:p>
    <w:p w14:paraId="247E638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247E6381" w14:textId="77777777" w:rsidR="008E4EBD" w:rsidRDefault="00483AC6">
      <w:pPr>
        <w:pStyle w:val="BodyText"/>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realized area effect for area </w:t>
      </w:r>
      <m:oMath>
        <m:r>
          <w:rPr>
            <w:rFonts w:ascii="Cambria Math" w:hAnsi="Cambria Math"/>
          </w:rPr>
          <m:t>i</m:t>
        </m:r>
      </m:oMath>
      <w:r>
        <w:t xml:space="preserve">. The model assumes </w:t>
      </w: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oMath>
      <w:r>
        <w:t xml:space="preserve"> </w:t>
      </w:r>
      <w:r>
        <w:rPr>
          <w:i/>
        </w:rPr>
        <w:t>before</w:t>
      </w:r>
      <w:r>
        <w:t xml:space="preserve"> observing area-specific information, but once a direct estimate for area </w:t>
      </w:r>
      <m:oMath>
        <m:r>
          <w:rPr>
            <w:rFonts w:ascii="Cambria Math" w:hAnsi="Cambria Math"/>
          </w:rPr>
          <m:t>i</m:t>
        </m:r>
      </m:oMath>
      <w:r>
        <w:t xml:space="preserve"> is observed, the conditional expectation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given that estimate is generally nonzero. The FH problem is therefore not just to estimate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oMath>
      <w:r>
        <w:t xml:space="preserve">; it is to predict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where the second component is a realized draw of a random variable about which the data are informative.</w:t>
      </w:r>
    </w:p>
    <w:p w14:paraId="247E6382" w14:textId="77777777" w:rsidR="008E4EBD" w:rsidRDefault="00483AC6">
      <w:pPr>
        <w:pStyle w:val="BodyText"/>
      </w:pPr>
      <w:r>
        <w:t xml:space="preserve">This distinction between estimating a fixed parameter and predicting a realized random quantity is classical—it is the same distinction that separates the estimation of variance components from the prediction of breeding values in Henderson’s (1975) work, and it is the organizing principle of the mixed-model prediction theory surveyed by Robinson (1991). A synthetic predictor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estimates the mean component only. It does not, by itself, predict the realized area effect. The BLUP adds a covariance-based adjustment that uses the direct estimate to infer the realized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Everything that follows flows from the structure of that adjustment.</w:t>
      </w:r>
    </w:p>
    <w:p w14:paraId="247E6383" w14:textId="77777777" w:rsidR="008E4EBD" w:rsidRDefault="00483AC6">
      <w:pPr>
        <w:pStyle w:val="BodyText"/>
      </w:pPr>
      <w:r>
        <w:t xml:space="preserve">Two remarks sharpen the point. First, the difference between the targets is not small. Under the basic FH model, the variance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model variance </w:t>
      </w:r>
      <m:oMath>
        <m:r>
          <w:rPr>
            <w:rFonts w:ascii="Cambria Math" w:hAnsi="Cambria Math"/>
          </w:rPr>
          <m:t>A</m:t>
        </m:r>
      </m:oMath>
      <w:r>
        <w:t xml:space="preserve">, which in applications is frequently of the same order as the sampling variance of the direct estimate, ignoring the realized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means accepting a prediction error of variance </w:t>
      </w:r>
      <m:oMath>
        <m:r>
          <w:rPr>
            <w:rFonts w:ascii="Cambria Math" w:hAnsi="Cambria Math"/>
          </w:rPr>
          <m:t>A</m:t>
        </m:r>
      </m:oMath>
      <w:r>
        <w:t xml:space="preserve"> even with infinite data on </w:t>
      </w:r>
      <m:oMath>
        <m:r>
          <w:rPr>
            <w:rFonts w:ascii="Cambria Math" w:hAnsi="Cambria Math"/>
          </w:rPr>
          <m:t>β</m:t>
        </m:r>
      </m:oMath>
      <w:r>
        <w:t xml:space="preserve">. Second, the difference is not curable by a better estimation of </w:t>
      </w:r>
      <m:oMath>
        <m:r>
          <w:rPr>
            <w:rFonts w:ascii="Cambria Math" w:hAnsi="Cambria Math"/>
          </w:rPr>
          <m:t>β</m:t>
        </m:r>
      </m:oMath>
      <w:r>
        <w:t xml:space="preserve">. As the number of areas grows, </w:t>
      </w: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β</m:t>
        </m:r>
      </m:oMath>
      <w:r>
        <w:t xml:space="preserve">, but the synthetic prediction error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does not shrink: the only way to reduce it is to condition on area-specific information through the covariance structure.</w:t>
      </w:r>
    </w:p>
    <w:p w14:paraId="247E6384" w14:textId="77777777" w:rsidR="008E4EBD" w:rsidRDefault="00483AC6">
      <w:pPr>
        <w:pStyle w:val="Heading1"/>
      </w:pPr>
      <w:bookmarkStart w:id="7" w:name="the-general-mixed-model-blup-and-eblup"/>
      <w:r>
        <w:t>4. The general mixed-model BLUP and EBLUP</w:t>
      </w:r>
      <w:bookmarkEnd w:id="7"/>
    </w:p>
    <w:p w14:paraId="247E6385" w14:textId="77777777" w:rsidR="008E4EBD" w:rsidRDefault="00483AC6">
      <w:pPr>
        <w:pStyle w:val="FirstParagraph"/>
      </w:pPr>
      <w:r>
        <w:t xml:space="preserve">The logic is most transparent in the general linear mixed model. Suppose the observed direct-estimate vector </w:t>
      </w:r>
      <m:oMath>
        <m:r>
          <w:rPr>
            <w:rFonts w:ascii="Cambria Math" w:hAnsi="Cambria Math"/>
          </w:rPr>
          <m:t>y</m:t>
        </m:r>
      </m:oMath>
      <w:r>
        <w:t xml:space="preserve"> satisfies</w:t>
      </w:r>
    </w:p>
    <w:p w14:paraId="247E6386" w14:textId="77777777" w:rsidR="008E4EBD" w:rsidRDefault="00483AC6">
      <w:pPr>
        <w:pStyle w:val="BodyText"/>
        <w:spacing w:before="0" w:after="160" w:line="240" w:lineRule="atLeast"/>
        <w:jc w:val="center"/>
      </w:pPr>
      <m:oMathPara>
        <m:oMathParaPr>
          <m:jc m:val="center"/>
        </m:oMathParaPr>
        <m:oMath>
          <m:r>
            <w:rPr>
              <w:rFonts w:ascii="Cambria Math" w:hAnsi="Cambria Math"/>
            </w:rPr>
            <m:t>y</m:t>
          </m:r>
          <m:r>
            <w:rPr>
              <w:rFonts w:ascii="Cambria Math" w:hAnsi="Cambria Math"/>
            </w:rPr>
            <m:t>=</m:t>
          </m:r>
          <m:r>
            <w:rPr>
              <w:rFonts w:ascii="Cambria Math" w:hAnsi="Cambria Math"/>
            </w:rPr>
            <m:t>Xβ</m:t>
          </m:r>
          <m:r>
            <w:rPr>
              <w:rFonts w:ascii="Cambria Math" w:hAnsi="Cambria Math"/>
            </w:rPr>
            <m:t>+</m:t>
          </m:r>
          <m:r>
            <w:rPr>
              <w:rFonts w:ascii="Cambria Math" w:hAnsi="Cambria Math"/>
            </w:rPr>
            <m:t>Zv</m:t>
          </m:r>
          <m:r>
            <w:rPr>
              <w:rFonts w:ascii="Cambria Math" w:hAnsi="Cambria Math"/>
            </w:rPr>
            <m:t>+</m:t>
          </m:r>
          <m:r>
            <w:rPr>
              <w:rFonts w:ascii="Cambria Math" w:hAnsi="Cambria Math"/>
            </w:rPr>
            <m:t>e</m:t>
          </m:r>
          <m:r>
            <w:rPr>
              <w:rFonts w:ascii="Cambria Math" w:hAnsi="Cambria Math"/>
            </w:rPr>
            <m:t>,  </m:t>
          </m:r>
          <m:r>
            <w:rPr>
              <w:rFonts w:ascii="Cambria Math" w:hAnsi="Cambria Math"/>
            </w:rPr>
            <m:t>E</m:t>
          </m:r>
          <m:r>
            <w:rPr>
              <w:rFonts w:ascii="Cambria Math" w:hAnsi="Cambria Math"/>
            </w:rPr>
            <m:t>[</m:t>
          </m:r>
          <m:r>
            <w:rPr>
              <w:rFonts w:ascii="Cambria Math" w:hAnsi="Cambria Math"/>
            </w:rPr>
            <m:t>v</m:t>
          </m:r>
          <m:r>
            <w:rPr>
              <w:rFonts w:ascii="Cambria Math" w:hAnsi="Cambria Math"/>
            </w:rPr>
            <m:t>]=0,  </m:t>
          </m:r>
          <m:r>
            <w:rPr>
              <w:rFonts w:ascii="Cambria Math" w:hAnsi="Cambria Math"/>
            </w:rPr>
            <m:t>E</m:t>
          </m:r>
          <m:r>
            <w:rPr>
              <w:rFonts w:ascii="Cambria Math" w:hAnsi="Cambria Math"/>
            </w:rPr>
            <m:t>[</m:t>
          </m:r>
          <m:r>
            <w:rPr>
              <w:rFonts w:ascii="Cambria Math" w:hAnsi="Cambria Math"/>
            </w:rPr>
            <m:t>e</m:t>
          </m:r>
          <m:r>
            <w:rPr>
              <w:rFonts w:ascii="Cambria Math" w:hAnsi="Cambria Math"/>
            </w:rPr>
            <m:t>]=0,</m:t>
          </m:r>
        </m:oMath>
      </m:oMathPara>
    </w:p>
    <w:p w14:paraId="247E6387"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r>
            <w:rPr>
              <w:rFonts w:ascii="Cambria Math" w:hAnsi="Cambria Math"/>
            </w:rPr>
            <m:t>v</m:t>
          </m:r>
          <m:r>
            <w:rPr>
              <w:rFonts w:ascii="Cambria Math" w:hAnsi="Cambria Math"/>
            </w:rPr>
            <m:t>)=</m:t>
          </m:r>
          <m:r>
            <w:rPr>
              <w:rFonts w:ascii="Cambria Math" w:hAnsi="Cambria Math"/>
            </w:rPr>
            <m:t>G</m:t>
          </m:r>
          <m:r>
            <w:rPr>
              <w:rFonts w:ascii="Cambria Math" w:hAnsi="Cambria Math"/>
            </w:rPr>
            <m:t>,  </m:t>
          </m:r>
          <m:r>
            <m:rPr>
              <m:nor/>
            </m:rPr>
            <m:t>Var</m:t>
          </m:r>
          <m:r>
            <w:rPr>
              <w:rFonts w:ascii="Cambria Math" w:hAnsi="Cambria Math"/>
            </w:rPr>
            <m:t>(</m:t>
          </m:r>
          <m:r>
            <w:rPr>
              <w:rFonts w:ascii="Cambria Math" w:hAnsi="Cambria Math"/>
            </w:rPr>
            <m:t>e</m:t>
          </m:r>
          <m:r>
            <w:rPr>
              <w:rFonts w:ascii="Cambria Math" w:hAnsi="Cambria Math"/>
            </w:rPr>
            <m:t>)=</m:t>
          </m:r>
          <m:r>
            <w:rPr>
              <w:rFonts w:ascii="Cambria Math" w:hAnsi="Cambria Math"/>
            </w:rPr>
            <m:t>R</m:t>
          </m:r>
          <m:r>
            <w:rPr>
              <w:rFonts w:ascii="Cambria Math" w:hAnsi="Cambria Math"/>
            </w:rPr>
            <m:t>,  </m:t>
          </m:r>
          <m:r>
            <m:rPr>
              <m:nor/>
            </m:rPr>
            <m:t>Var</m:t>
          </m:r>
          <m:r>
            <w:rPr>
              <w:rFonts w:ascii="Cambria Math" w:hAnsi="Cambria Math"/>
            </w:rPr>
            <m:t>(</m:t>
          </m:r>
          <m:r>
            <w:rPr>
              <w:rFonts w:ascii="Cambria Math" w:hAnsi="Cambria Math"/>
            </w:rPr>
            <m:t>y</m:t>
          </m:r>
          <m:r>
            <w:rPr>
              <w:rFonts w:ascii="Cambria Math" w:hAnsi="Cambria Math"/>
            </w:rPr>
            <m:t>)=</m:t>
          </m:r>
          <m:r>
            <w:rPr>
              <w:rFonts w:ascii="Cambria Math" w:hAnsi="Cambria Math"/>
            </w:rPr>
            <m:t>V</m:t>
          </m:r>
          <m:r>
            <w:rPr>
              <w:rFonts w:ascii="Cambria Math" w:hAnsi="Cambria Math"/>
            </w:rPr>
            <m:t>=</m:t>
          </m:r>
          <m:r>
            <w:rPr>
              <w:rFonts w:ascii="Cambria Math" w:hAnsi="Cambria Math"/>
            </w:rPr>
            <m:t>ZGZ</m:t>
          </m:r>
          <m:r>
            <w:rPr>
              <w:rFonts w:ascii="Cambria Math" w:hAnsi="Cambria Math"/>
            </w:rPr>
            <m:t>'+</m:t>
          </m:r>
          <m:r>
            <w:rPr>
              <w:rFonts w:ascii="Cambria Math" w:hAnsi="Cambria Math"/>
            </w:rPr>
            <m:t>R</m:t>
          </m:r>
          <m:r>
            <w:rPr>
              <w:rFonts w:ascii="Cambria Math" w:hAnsi="Cambria Math"/>
            </w:rPr>
            <m:t>,</m:t>
          </m:r>
        </m:oMath>
      </m:oMathPara>
    </w:p>
    <w:p w14:paraId="247E6388" w14:textId="77777777" w:rsidR="008E4EBD" w:rsidRDefault="00483AC6">
      <w:pPr>
        <w:pStyle w:val="BodyText"/>
      </w:pPr>
      <w:r>
        <w:t xml:space="preserve">with </w:t>
      </w:r>
      <m:oMath>
        <m:r>
          <w:rPr>
            <w:rFonts w:ascii="Cambria Math" w:hAnsi="Cambria Math"/>
          </w:rPr>
          <m:t>v</m:t>
        </m:r>
      </m:oMath>
      <w:r>
        <w:t xml:space="preserve"> and </w:t>
      </w:r>
      <m:oMath>
        <m:r>
          <w:rPr>
            <w:rFonts w:ascii="Cambria Math" w:hAnsi="Cambria Math"/>
          </w:rPr>
          <m:t>e</m:t>
        </m:r>
      </m:oMath>
      <w:r>
        <w:t xml:space="preserve"> uncorrelated. Suppose the target is a linear combination of the fixed and random components,</w:t>
      </w:r>
    </w:p>
    <w:p w14:paraId="247E6389" w14:textId="77777777" w:rsidR="008E4EBD" w:rsidRDefault="00483AC6">
      <w:pPr>
        <w:pStyle w:val="BodyText"/>
        <w:spacing w:before="0" w:after="160" w:line="240" w:lineRule="atLeast"/>
        <w:jc w:val="center"/>
      </w:pPr>
      <m:oMathPara>
        <m:oMathParaPr>
          <m:jc m:val="center"/>
        </m:oMathParaPr>
        <m:oMath>
          <m:r>
            <w:rPr>
              <w:rFonts w:ascii="Cambria Math" w:hAnsi="Cambria Math"/>
            </w:rPr>
            <m:t>θ</m:t>
          </m:r>
          <m:r>
            <w:rPr>
              <w:rFonts w:ascii="Cambria Math" w:hAnsi="Cambria Math"/>
            </w:rPr>
            <m:t>=</m:t>
          </m:r>
          <m:r>
            <w:rPr>
              <w:rFonts w:ascii="Cambria Math" w:hAnsi="Cambria Math"/>
            </w:rPr>
            <m:t>Lβ</m:t>
          </m:r>
          <m:r>
            <w:rPr>
              <w:rFonts w:ascii="Cambria Math" w:hAnsi="Cambria Math"/>
            </w:rPr>
            <m:t>+</m:t>
          </m:r>
          <m:r>
            <w:rPr>
              <w:rFonts w:ascii="Cambria Math" w:hAnsi="Cambria Math"/>
            </w:rPr>
            <m:t>Mv</m:t>
          </m:r>
          <m:r>
            <w:rPr>
              <w:rFonts w:ascii="Cambria Math" w:hAnsi="Cambria Math"/>
            </w:rPr>
            <m:t>.</m:t>
          </m:r>
        </m:oMath>
      </m:oMathPara>
    </w:p>
    <w:p w14:paraId="247E638A" w14:textId="77777777" w:rsidR="008E4EBD" w:rsidRDefault="00483AC6">
      <w:pPr>
        <w:pStyle w:val="BodyText"/>
      </w:pPr>
      <w:r>
        <w:t xml:space="preserve">If </w:t>
      </w:r>
      <m:oMath>
        <m:r>
          <w:rPr>
            <w:rFonts w:ascii="Cambria Math" w:hAnsi="Cambria Math"/>
          </w:rPr>
          <m:t>G</m:t>
        </m:r>
      </m:oMath>
      <w:r>
        <w:t xml:space="preserve"> and </w:t>
      </w:r>
      <m:oMath>
        <m:r>
          <w:rPr>
            <w:rFonts w:ascii="Cambria Math" w:hAnsi="Cambria Math"/>
          </w:rPr>
          <m:t>R</m:t>
        </m:r>
      </m:oMath>
      <w:r>
        <w:t xml:space="preserve"> are known, the GLS estimator of </w:t>
      </w:r>
      <m:oMath>
        <m:r>
          <w:rPr>
            <w:rFonts w:ascii="Cambria Math" w:hAnsi="Cambria Math"/>
          </w:rPr>
          <m:t>β</m:t>
        </m:r>
      </m:oMath>
      <w:r>
        <w:t xml:space="preserve"> is</w:t>
      </w:r>
    </w:p>
    <w:p w14:paraId="247E638B"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y</m:t>
          </m:r>
          <m:r>
            <w:rPr>
              <w:rFonts w:ascii="Cambria Math" w:hAnsi="Cambria Math"/>
            </w:rPr>
            <m:t>,</m:t>
          </m:r>
        </m:oMath>
      </m:oMathPara>
    </w:p>
    <w:p w14:paraId="247E638C" w14:textId="77777777" w:rsidR="008E4EBD" w:rsidRDefault="00483AC6">
      <w:pPr>
        <w:pStyle w:val="BodyText"/>
      </w:pPr>
      <w:r>
        <w:t xml:space="preserve">and the BLUP of </w:t>
      </w:r>
      <m:oMath>
        <m:r>
          <w:rPr>
            <w:rFonts w:ascii="Cambria Math" w:hAnsi="Cambria Math"/>
          </w:rPr>
          <m:t>θ</m:t>
        </m:r>
      </m:oMath>
      <w:r>
        <w:t xml:space="preserve"> (Henderson, 1975) is</w:t>
      </w:r>
    </w:p>
    <w:p w14:paraId="247E638D" w14:textId="77777777" w:rsidR="008E4EBD" w:rsidRDefault="00483AC6">
      <w:pPr>
        <w:pStyle w:val="BodyText"/>
        <w:spacing w:before="0" w:after="160" w:line="240" w:lineRule="atLeast"/>
        <w:jc w:val="center"/>
      </w:pPr>
      <m:oMathPara>
        <m:oMathParaPr>
          <m:jc m:val="center"/>
        </m:oMathParaPr>
        <m:oMath>
          <m:acc>
            <m:accPr>
              <m:chr m:val="̃"/>
              <m:ctrlPr>
                <w:rPr>
                  <w:rFonts w:ascii="Cambria Math" w:hAnsi="Cambria Math"/>
                </w:rPr>
              </m:ctrlPr>
            </m:accPr>
            <m:e>
              <m:r>
                <w:rPr>
                  <w:rFonts w:ascii="Cambria Math" w:hAnsi="Cambria Math"/>
                </w:rPr>
                <m:t>θ</m:t>
              </m:r>
            </m:e>
          </m:acc>
          <m:r>
            <w:rPr>
              <w:rFonts w:ascii="Cambria Math" w:hAnsi="Cambria Math"/>
            </w:rPr>
            <m:t>=</m:t>
          </m:r>
          <m:r>
            <w:rPr>
              <w:rFonts w:ascii="Cambria Math" w:hAnsi="Cambria Math"/>
            </w:rPr>
            <m:t>L</m:t>
          </m:r>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8E" w14:textId="77777777" w:rsidR="008E4EBD" w:rsidRDefault="00483AC6">
      <w:pPr>
        <w:pStyle w:val="BodyText"/>
      </w:pPr>
      <w:r>
        <w:t xml:space="preserve">The first term, </w:t>
      </w:r>
      <m:oMath>
        <m:r>
          <w:rPr>
            <w:rFonts w:ascii="Cambria Math" w:hAnsi="Cambria Math"/>
          </w:rPr>
          <m:t>L</m:t>
        </m:r>
        <m:acc>
          <m:accPr>
            <m:ctrlPr>
              <w:rPr>
                <w:rFonts w:ascii="Cambria Math" w:hAnsi="Cambria Math"/>
              </w:rPr>
            </m:ctrlPr>
          </m:accPr>
          <m:e>
            <m:r>
              <w:rPr>
                <w:rFonts w:ascii="Cambria Math" w:hAnsi="Cambria Math"/>
              </w:rPr>
              <m:t>β</m:t>
            </m:r>
          </m:e>
        </m:acc>
      </m:oMath>
      <w:r>
        <w:t xml:space="preserve">, is the regression-synthetic component. The second term,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oMath>
      <w:r>
        <w:t xml:space="preserve">, is the predicted random-effect component: it regresses the unobserved </w:t>
      </w:r>
      <m:oMath>
        <m:r>
          <m:rPr>
            <m:nor/>
          </m:rPr>
          <m:t>Mv</m:t>
        </m:r>
      </m:oMath>
      <w:r>
        <w:t xml:space="preserve"> on the observed GLS residual vector, with regression coefficient </w:t>
      </w:r>
      <m:oMath>
        <m:r>
          <m:rPr>
            <m:nor/>
          </m:rPr>
          <m:t>Cov</m:t>
        </m:r>
        <m:r>
          <w:rPr>
            <w:rFonts w:ascii="Cambria Math" w:hAnsi="Cambria Math"/>
          </w:rPr>
          <m:t>(</m:t>
        </m:r>
        <m:r>
          <w:rPr>
            <w:rFonts w:ascii="Cambria Math" w:hAnsi="Cambria Math"/>
          </w:rPr>
          <m:t>Mv</m:t>
        </m:r>
        <m:r>
          <w:rPr>
            <w:rFonts w:ascii="Cambria Math" w:hAnsi="Cambria Math"/>
          </w:rPr>
          <m:t>,</m:t>
        </m:r>
        <m:r>
          <w:rPr>
            <w:rFonts w:ascii="Cambria Math" w:hAnsi="Cambria Math"/>
          </w:rPr>
          <m:t>y</m:t>
        </m:r>
        <m:r>
          <w:rPr>
            <w:rFonts w:ascii="Cambria Math" w:hAnsi="Cambria Math"/>
          </w:rPr>
          <m:t>) </m:t>
        </m:r>
        <m:r>
          <m:rPr>
            <m:nor/>
          </m:rPr>
          <m:t>Var</m:t>
        </m:r>
        <m:r>
          <w:rPr>
            <w:rFonts w:ascii="Cambria Math" w:hAnsi="Cambria Math"/>
          </w:rPr>
          <m:t>(</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This second term is what makes the FH </w:t>
      </w:r>
      <w:r>
        <w:lastRenderedPageBreak/>
        <w:t xml:space="preserve">predictor different from a GLS fitted value, and it is determined entirely by the covariance matrices </w:t>
      </w:r>
      <m:oMath>
        <m:r>
          <w:rPr>
            <w:rFonts w:ascii="Cambria Math" w:hAnsi="Cambria Math"/>
          </w:rPr>
          <m:t>G</m:t>
        </m:r>
      </m:oMath>
      <w:r>
        <w:t xml:space="preserve"> and </w:t>
      </w:r>
      <m:oMath>
        <m:r>
          <w:rPr>
            <w:rFonts w:ascii="Cambria Math" w:hAnsi="Cambria Math"/>
          </w:rPr>
          <m:t>R</m:t>
        </m:r>
      </m:oMath>
      <w:r>
        <w:t>.</w:t>
      </w:r>
    </w:p>
    <w:p w14:paraId="247E638F" w14:textId="77777777" w:rsidR="008E4EBD" w:rsidRDefault="00483AC6">
      <w:pPr>
        <w:pStyle w:val="BodyText"/>
      </w:pPr>
      <w:r>
        <w:t xml:space="preserve">Three properties of </w:t>
      </w:r>
      <m:oMath>
        <m:acc>
          <m:accPr>
            <m:chr m:val="̃"/>
            <m:ctrlPr>
              <w:rPr>
                <w:rFonts w:ascii="Cambria Math" w:hAnsi="Cambria Math"/>
              </w:rPr>
            </m:ctrlPr>
          </m:accPr>
          <m:e>
            <m:r>
              <w:rPr>
                <w:rFonts w:ascii="Cambria Math" w:hAnsi="Cambria Math"/>
              </w:rPr>
              <m:t>θ</m:t>
            </m:r>
          </m:e>
        </m:acc>
      </m:oMath>
      <w:r>
        <w:t xml:space="preserve"> are worth recording. First, it is unbiased in the prediction sense, </w:t>
      </w:r>
      <m:oMath>
        <m:r>
          <w:rPr>
            <w:rFonts w:ascii="Cambria Math" w:hAnsi="Cambria Math"/>
          </w:rPr>
          <m:t>E</m:t>
        </m:r>
        <m:r>
          <w:rPr>
            <w:rFonts w:ascii="Cambria Math" w:hAnsi="Cambria Math"/>
          </w:rPr>
          <m:t>[</m:t>
        </m:r>
        <m:acc>
          <m:accPr>
            <m:chr m:val="̃"/>
            <m:ctrlPr>
              <w:rPr>
                <w:rFonts w:ascii="Cambria Math" w:hAnsi="Cambria Math"/>
              </w:rPr>
            </m:ctrlPr>
          </m:accPr>
          <m:e>
            <m:r>
              <w:rPr>
                <w:rFonts w:ascii="Cambria Math" w:hAnsi="Cambria Math"/>
              </w:rPr>
              <m:t>θ</m:t>
            </m:r>
          </m:e>
        </m:acc>
        <m:r>
          <w:rPr>
            <w:rFonts w:ascii="Cambria Math" w:hAnsi="Cambria Math"/>
          </w:rPr>
          <m:t>-</m:t>
        </m:r>
        <m:r>
          <w:rPr>
            <w:rFonts w:ascii="Cambria Math" w:hAnsi="Cambria Math"/>
          </w:rPr>
          <m:t>θ</m:t>
        </m:r>
        <m:r>
          <w:rPr>
            <w:rFonts w:ascii="Cambria Math" w:hAnsi="Cambria Math"/>
          </w:rPr>
          <m:t>]=0</m:t>
        </m:r>
      </m:oMath>
      <w:r>
        <w:t xml:space="preserve">, where the expectation is over both </w:t>
      </w:r>
      <m:oMath>
        <m:r>
          <w:rPr>
            <w:rFonts w:ascii="Cambria Math" w:hAnsi="Cambria Math"/>
          </w:rPr>
          <m:t>v</m:t>
        </m:r>
      </m:oMath>
      <w:r>
        <w:t xml:space="preserve"> and </w:t>
      </w:r>
      <m:oMath>
        <m:r>
          <w:rPr>
            <w:rFonts w:ascii="Cambria Math" w:hAnsi="Cambria Math"/>
          </w:rPr>
          <m:t>e</m:t>
        </m:r>
      </m:oMath>
      <w:r>
        <w:t xml:space="preserve">. Second, among linear unbiased predictors, it minimizes the MSE matrix; under joint normality, it coincides with the conditional expectation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y</m:t>
        </m:r>
        <m:r>
          <w:rPr>
            <w:rFonts w:ascii="Cambria Math" w:hAnsi="Cambria Math"/>
          </w:rPr>
          <m:t>]</m:t>
        </m:r>
      </m:oMath>
      <w:r>
        <w:t xml:space="preserve"> up to the substitution of </w:t>
      </w:r>
      <m:oMath>
        <m:acc>
          <m:accPr>
            <m:ctrlPr>
              <w:rPr>
                <w:rFonts w:ascii="Cambria Math" w:hAnsi="Cambria Math"/>
              </w:rPr>
            </m:ctrlPr>
          </m:accPr>
          <m:e>
            <m:r>
              <w:rPr>
                <w:rFonts w:ascii="Cambria Math" w:hAnsi="Cambria Math"/>
              </w:rPr>
              <m:t>β</m:t>
            </m:r>
          </m:e>
        </m:acc>
      </m:oMath>
      <w:r>
        <w:t xml:space="preserve"> for </w:t>
      </w:r>
      <m:oMath>
        <m:r>
          <w:rPr>
            <w:rFonts w:ascii="Cambria Math" w:hAnsi="Cambria Math"/>
          </w:rPr>
          <m:t>β</m:t>
        </m:r>
      </m:oMath>
      <w:r>
        <w:t xml:space="preserve">. Third—and centrally for this paper—the weights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are functions of </w:t>
      </w:r>
      <m:oMath>
        <m:r>
          <w:rPr>
            <w:rFonts w:ascii="Cambria Math" w:hAnsi="Cambria Math"/>
          </w:rPr>
          <m:t>(</m:t>
        </m:r>
        <m:r>
          <w:rPr>
            <w:rFonts w:ascii="Cambria Math" w:hAnsi="Cambria Math"/>
          </w:rPr>
          <m:t>G</m:t>
        </m:r>
        <m:r>
          <w:rPr>
            <w:rFonts w:ascii="Cambria Math" w:hAnsi="Cambria Math"/>
          </w:rPr>
          <m:t>,</m:t>
        </m:r>
        <m:r>
          <w:rPr>
            <w:rFonts w:ascii="Cambria Math" w:hAnsi="Cambria Math"/>
          </w:rPr>
          <m:t>R</m:t>
        </m:r>
        <m:r>
          <w:rPr>
            <w:rFonts w:ascii="Cambria Math" w:hAnsi="Cambria Math"/>
          </w:rPr>
          <m:t>)</m:t>
        </m:r>
      </m:oMath>
      <w:r>
        <w:t xml:space="preserve"> alone; the BLUP is a </w:t>
      </w:r>
      <w:r>
        <w:rPr>
          <w:i/>
        </w:rPr>
        <w:t>covariance-defined</w:t>
      </w:r>
      <w:r>
        <w:t xml:space="preserve"> object.</w:t>
      </w:r>
    </w:p>
    <w:p w14:paraId="247E6390" w14:textId="77777777" w:rsidR="008E4EBD" w:rsidRDefault="00483AC6">
      <w:pPr>
        <w:pStyle w:val="BodyText"/>
      </w:pPr>
      <w:r>
        <w:t xml:space="preserve">In practice </w:t>
      </w:r>
      <m:oMath>
        <m:r>
          <w:rPr>
            <w:rFonts w:ascii="Cambria Math" w:hAnsi="Cambria Math"/>
          </w:rPr>
          <m:t>G</m:t>
        </m:r>
      </m:oMath>
      <w:r>
        <w:t xml:space="preserve"> and </w:t>
      </w:r>
      <m:oMath>
        <m:r>
          <w:rPr>
            <w:rFonts w:ascii="Cambria Math" w:hAnsi="Cambria Math"/>
          </w:rPr>
          <m:t>R</m:t>
        </m:r>
      </m:oMath>
      <w:r>
        <w:t xml:space="preserve"> contain unknown variance and covariance parameters. If these are replaced by consistent estimates (maximum likelihood, restricted maximum likelihood, or method-of-moments), the resulting predictor is the empirical BLUP, or EBLUP:</w:t>
      </w:r>
    </w:p>
    <w:p w14:paraId="247E6391" w14:textId="77777777" w:rsidR="008E4EBD" w:rsidRDefault="00483AC6">
      <w:pPr>
        <w:pStyle w:val="BodyText"/>
        <w:spacing w:before="0" w:after="160" w:line="240" w:lineRule="atLeas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nor/>
                </m:rPr>
                <m:t>EBLUP</m:t>
              </m:r>
            </m:sup>
          </m:sSup>
          <m:r>
            <w:rPr>
              <w:rFonts w:ascii="Cambria Math" w:hAnsi="Cambria Math"/>
            </w:rPr>
            <m:t>=</m:t>
          </m:r>
          <m:r>
            <w:rPr>
              <w:rFonts w:ascii="Cambria Math" w:hAnsi="Cambria Math"/>
            </w:rPr>
            <m:t>L</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r>
            <w:rPr>
              <w:rFonts w:ascii="Cambria Math" w:hAnsi="Cambria Math"/>
            </w:rPr>
            <m:t>M</m:t>
          </m:r>
          <m:acc>
            <m:accPr>
              <m:ctrlPr>
                <w:rPr>
                  <w:rFonts w:ascii="Cambria Math" w:hAnsi="Cambria Math"/>
                </w:rPr>
              </m:ctrlPr>
            </m:accPr>
            <m:e>
              <m:r>
                <w:rPr>
                  <w:rFonts w:ascii="Cambria Math" w:hAnsi="Cambria Math"/>
                </w:rPr>
                <m:t>G</m:t>
              </m:r>
            </m:e>
          </m:acc>
          <m:r>
            <w:rPr>
              <w:rFonts w:ascii="Cambria Math" w:hAnsi="Cambria Math"/>
            </w:rPr>
            <m:t>Z</m:t>
          </m:r>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-1</m:t>
              </m:r>
            </m:sup>
          </m:sSup>
          <m:d>
            <m:dPr>
              <m:begChr m:val="["/>
              <m:endChr m:val="]"/>
              <m:ctrlPr>
                <w:rPr>
                  <w:rFonts w:ascii="Cambria Math" w:hAnsi="Cambria Math"/>
                </w:rPr>
              </m:ctrlPr>
            </m:dPr>
            <m:e>
              <m:r>
                <w:rPr>
                  <w:rFonts w:ascii="Cambria Math" w:hAnsi="Cambria Math"/>
                </w:rPr>
                <m:t> </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 </m:t>
              </m:r>
            </m:e>
          </m:d>
          <m:r>
            <w:rPr>
              <w:rFonts w:ascii="Cambria Math" w:hAnsi="Cambria Math"/>
            </w:rPr>
            <m:t>.</m:t>
          </m:r>
        </m:oMath>
      </m:oMathPara>
    </w:p>
    <w:p w14:paraId="247E6392" w14:textId="77777777" w:rsidR="008E4EBD" w:rsidRDefault="00483AC6">
      <w:pPr>
        <w:pStyle w:val="BodyText"/>
      </w:pPr>
      <w:r>
        <w:t>Kackar and Harville (1984) show that under symmetric distributions of the random components and even, translation-invariant variance-component estimators, the EBLUP remains unbiased; Prasad and Rao (1990) and Datta and Lahiri (2000) develop second-order approximations to its MSE that account for the additional variability from estimating the variance components. We return to MSE estimation in Section 12.</w:t>
      </w:r>
    </w:p>
    <w:p w14:paraId="247E6393" w14:textId="77777777" w:rsidR="008E4EBD" w:rsidRDefault="00483AC6">
      <w:pPr>
        <w:pStyle w:val="Heading1"/>
      </w:pPr>
      <w:bookmarkStart w:id="8" w:name="X2217130b2d6cb0984f81c6361ba811de19b6519"/>
      <w:r>
        <w:t>5. Covariance misspecification and the working-model BLUP</w:t>
      </w:r>
      <w:bookmarkEnd w:id="8"/>
    </w:p>
    <w:p w14:paraId="247E6394" w14:textId="77777777" w:rsidR="008E4EBD" w:rsidRDefault="00483AC6">
      <w:pPr>
        <w:pStyle w:val="FirstParagraph"/>
      </w:pPr>
      <w:r>
        <w:t xml:space="preserve">Suppose now that the analyst works with covariance matrices </w:t>
      </w:r>
      <m:oMath>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oMath>
      <w:r>
        <w:t xml:space="preserve"> —and hence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—that differ from the true </w:t>
      </w:r>
      <m:oMath>
        <m:r>
          <w:rPr>
            <w:rFonts w:ascii="Cambria Math" w:hAnsi="Cambria Math"/>
          </w:rPr>
          <m:t>(</m:t>
        </m:r>
        <m:r>
          <w:rPr>
            <w:rFonts w:ascii="Cambria Math" w:hAnsi="Cambria Math"/>
          </w:rPr>
          <m:t>G</m:t>
        </m:r>
        <m:r>
          <w:rPr>
            <w:rFonts w:ascii="Cambria Math" w:hAnsi="Cambria Math"/>
          </w:rPr>
          <m:t>,</m:t>
        </m:r>
        <m:r>
          <w:rPr>
            <w:rFonts w:ascii="Cambria Math" w:hAnsi="Cambria Math"/>
          </w:rPr>
          <m:t>R</m:t>
        </m:r>
        <m:r>
          <w:rPr>
            <w:rFonts w:ascii="Cambria Math" w:hAnsi="Cambria Math"/>
          </w:rPr>
          <m:t>)</m:t>
        </m:r>
      </m:oMath>
      <w:r>
        <w:t>. The resulting predictor,</w:t>
      </w:r>
    </w:p>
    <w:p w14:paraId="247E6395" w14:textId="77777777" w:rsidR="008E4EBD" w:rsidRDefault="00483AC6">
      <w:pPr>
        <w:pStyle w:val="BodyText"/>
        <w:spacing w:before="0" w:after="160" w:line="240" w:lineRule="atLeast"/>
        <w:jc w:val="center"/>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m:t>
              </m:r>
            </m:sup>
          </m:sSup>
          <m:r>
            <w:rPr>
              <w:rFonts w:ascii="Cambria Math" w:hAnsi="Cambria Math"/>
            </w:rPr>
            <m:t>=</m:t>
          </m:r>
          <m:r>
            <w:rPr>
              <w:rFonts w:ascii="Cambria Math" w:hAnsi="Cambria Math"/>
            </w:rPr>
            <m:t>L</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m:t>
          </m:r>
        </m:oMath>
      </m:oMathPara>
    </w:p>
    <w:p w14:paraId="247E6396" w14:textId="77777777" w:rsidR="008E4EBD" w:rsidRDefault="00483AC6">
      <w:pPr>
        <w:pStyle w:val="BodyText"/>
      </w:pPr>
      <w:r>
        <w:t xml:space="preserve">is simply the BLUP under the working model, evaluated at data generated by the true model. Its properties under the true model are easily characterized. Because </w:t>
      </w:r>
      <m:oMath>
        <m:r>
          <w:rPr>
            <w:rFonts w:ascii="Cambria Math" w:hAnsi="Cambria Math"/>
          </w:rPr>
          <m:t>E</m:t>
        </m:r>
        <m:r>
          <w:rPr>
            <w:rFonts w:ascii="Cambria Math" w:hAnsi="Cambria Math"/>
          </w:rPr>
          <m:t>[</m:t>
        </m:r>
        <m:r>
          <w:rPr>
            <w:rFonts w:ascii="Cambria Math" w:hAnsi="Cambria Math"/>
          </w:rPr>
          <m:t>y</m:t>
        </m:r>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]=0</m:t>
        </m:r>
      </m:oMath>
      <w:r>
        <w:t xml:space="preserve"> whenever the mean model is correct, this working-model predictor remains unbiased in the prediction sense. But its prediction weights, </w:t>
      </w:r>
      <m:oMath>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differ from the optimal weights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so it is no longer </w:t>
      </w:r>
      <w:r>
        <w:rPr>
          <w:i/>
        </w:rPr>
        <w:t>best</w:t>
      </w:r>
      <w:r>
        <w:t>: its MSE exceeds that of the true BLUP, and the excess does not vanish as the number of areas grows, because the weights converge to the wrong limits.</w:t>
      </w:r>
    </w:p>
    <w:p w14:paraId="247E6397" w14:textId="77777777" w:rsidR="008E4EBD" w:rsidRDefault="00483AC6">
      <w:pPr>
        <w:pStyle w:val="BodyText"/>
      </w:pPr>
      <w:r>
        <w:t xml:space="preserve">It is worth being precise about what fails and what does not. Consistency of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oMath>
      <w:r>
        <w:t xml:space="preserve"> for </w:t>
      </w:r>
      <m:oMath>
        <m:r>
          <w:rPr>
            <w:rFonts w:ascii="Cambria Math" w:hAnsi="Cambria Math"/>
          </w:rPr>
          <m:t>β</m:t>
        </m:r>
      </m:oMath>
      <w:r>
        <w:t xml:space="preserve"> is preserved (under standard conditions), and prediction unbiasedness is preserved. What fails is convergence to the true BLUP: when the variance parameters of the working model are estimated consistently for the working model, the EBLUP converges to </w:t>
      </w:r>
      <m:oMath>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m:t>
            </m:r>
          </m:sup>
        </m:sSup>
      </m:oMath>
      <w:r>
        <w:t xml:space="preserve">, the BLUP under the working model, not to the true BLUP </w:t>
      </w:r>
      <m:oMath>
        <m:acc>
          <m:accPr>
            <m:chr m:val="̃"/>
            <m:ctrlPr>
              <w:rPr>
                <w:rFonts w:ascii="Cambria Math" w:hAnsi="Cambria Math"/>
              </w:rPr>
            </m:ctrlPr>
          </m:accPr>
          <m:e>
            <m:r>
              <w:rPr>
                <w:rFonts w:ascii="Cambria Math" w:hAnsi="Cambria Math"/>
              </w:rPr>
              <m:t>θ</m:t>
            </m:r>
          </m:e>
        </m:acc>
      </m:oMath>
      <w:r>
        <w:t>. The estimator targets the wrong prediction rule. Statements in applied work to the effect that covariance misspecification “breaks unbiasedness” are therefore imprecise; the accurate statement is that it changes the predictor’s probability limit away from the optimal predictor. The practical magnitude of the resulting MSE inflation depends on how far the working weights are from the optimal ones, which is an empirical question that the Monte Carlo study of Section 11 addresses.</w:t>
      </w:r>
    </w:p>
    <w:p w14:paraId="247E6398" w14:textId="45FEF4B3" w:rsidR="008E4EBD" w:rsidRDefault="00483AC6">
      <w:pPr>
        <w:pStyle w:val="BodyText"/>
      </w:pPr>
      <w:r>
        <w:lastRenderedPageBreak/>
        <w:t xml:space="preserve">Note, finally, that the misspecification may originate in either covariance component. The working pair </w:t>
      </w:r>
      <m:oMath>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oMath>
      <w:r>
        <w:t xml:space="preserve"> can be wrong because the model for the random effects is wrong (</w:t>
      </w: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w:rPr>
            <w:rFonts w:ascii="Cambria Math" w:hAnsi="Cambria Math"/>
          </w:rPr>
          <m:t>G</m:t>
        </m:r>
      </m:oMath>
      <w:r>
        <w:t>), because the assumed sampling-error covariance is wrong (</w:t>
      </w:r>
      <m:oMath>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r>
          <w:rPr>
            <w:rFonts w:ascii="Cambria Math" w:hAnsi="Cambria Math"/>
          </w:rPr>
          <m:t>R</m:t>
        </m:r>
      </m:oMath>
      <w:r>
        <w:t xml:space="preserve">), or both. In the FH context, </w:t>
      </w:r>
      <m:oMath>
        <m:r>
          <w:rPr>
            <w:rFonts w:ascii="Cambria Math" w:hAnsi="Cambria Math"/>
          </w:rPr>
          <m:t>R</m:t>
        </m:r>
      </m:oMath>
      <w:r>
        <w:t xml:space="preserve"> is the covariance matrix of the sampling errors. Applied practice routinely treats its diagonal—the sampling variances—as known from the survey, but then sets all off-diagonal terms to zero by default. When direct estimates for the same area in different years share </w:t>
      </w:r>
      <w:r w:rsidR="00C54403">
        <w:t xml:space="preserve">a </w:t>
      </w:r>
      <w:r>
        <w:t xml:space="preserve">sample (rotating panels, overlapping samples of primary sampling units), that default is itself a covariance misspecification, and it prevents convergence to the true BLUP in exactly the sense just described, even if </w:t>
      </w:r>
      <m:oMath>
        <m:r>
          <w:rPr>
            <w:rFonts w:ascii="Cambria Math" w:hAnsi="Cambria Math"/>
          </w:rPr>
          <m:t>G</m:t>
        </m:r>
      </m:oMath>
      <w:r>
        <w:t xml:space="preserve"> is modeled flexibly and estimated well. Section 11 quantifies this case.</w:t>
      </w:r>
    </w:p>
    <w:p w14:paraId="247E6399" w14:textId="77777777" w:rsidR="008E4EBD" w:rsidRDefault="00483AC6">
      <w:pPr>
        <w:pStyle w:val="BodyText"/>
      </w:pPr>
      <w:r>
        <w:t xml:space="preserve">The same logic explains why the issue is far more serious for prediction than for mean estimation. In the conditional-mean problem, the covariance matrix enters only as a weighting device, and any fixed positive definite weighting yields a consistent estimator of </w:t>
      </w:r>
      <m:oMath>
        <m:r>
          <w:rPr>
            <w:rFonts w:ascii="Cambria Math" w:hAnsi="Cambria Math"/>
          </w:rPr>
          <m:t>β</m:t>
        </m:r>
      </m:oMath>
      <w:r>
        <w:t xml:space="preserve">. In the prediction problem, the covariance matrix enters the </w:t>
      </w:r>
      <w:r>
        <w:rPr>
          <w:i/>
        </w:rPr>
        <w:t>definition</w:t>
      </w:r>
      <w:r>
        <w:t xml:space="preserve"> of the target rule: the BLUP is a projection of the realized random effect on the data, and the projection coefficients are covariances. There is no analog of the sandwich correction that restores optimality after the fact.</w:t>
      </w:r>
    </w:p>
    <w:p w14:paraId="247E639A" w14:textId="77777777" w:rsidR="008E4EBD" w:rsidRDefault="00483AC6">
      <w:pPr>
        <w:pStyle w:val="Heading1"/>
      </w:pPr>
      <w:bookmarkStart w:id="9" w:name="the-univariate-fayherriot-model"/>
      <w:r>
        <w:t>6. The univariate Fay–Herriot model</w:t>
      </w:r>
      <w:bookmarkEnd w:id="9"/>
    </w:p>
    <w:p w14:paraId="247E639B" w14:textId="77777777" w:rsidR="008E4EBD" w:rsidRDefault="00483AC6">
      <w:pPr>
        <w:pStyle w:val="FirstParagraph"/>
      </w:pPr>
      <w:r>
        <w:t>For a single time period, the univariate Fay–Herriot model is</w:t>
      </w:r>
    </w:p>
    <w:p w14:paraId="247E639C"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r>
            <w:rPr>
              <w:rFonts w:ascii="Cambria Math" w:hAnsi="Cambria Math"/>
            </w:rPr>
            <m:t>i</m:t>
          </m:r>
          <m:r>
            <w:rPr>
              <w:rFonts w:ascii="Cambria Math" w:hAnsi="Cambria Math"/>
            </w:rPr>
            <m:t>=1,…,</m:t>
          </m:r>
          <m:r>
            <w:rPr>
              <w:rFonts w:ascii="Cambria Math" w:hAnsi="Cambria Math"/>
            </w:rPr>
            <m:t>m</m:t>
          </m:r>
          <m:r>
            <w:rPr>
              <w:rFonts w:ascii="Cambria Math" w:hAnsi="Cambria Math"/>
            </w:rPr>
            <m:t>,</m:t>
          </m:r>
        </m:oMath>
      </m:oMathPara>
    </w:p>
    <w:p w14:paraId="247E639D"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nor/>
            </m:rPr>
            <m:t>Cov</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m:oMathPara>
    </w:p>
    <w:p w14:paraId="247E639E" w14:textId="77777777" w:rsidR="008E4EBD" w:rsidRDefault="00483AC6">
      <w:pPr>
        <w:pStyle w:val="Body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direct estimate for area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its sampling variance (treated as known, following Fay and Herriot, 1979), and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area parameter. This is the special case of the general model of Section 4 with </w:t>
      </w:r>
      <m:oMath>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w:t>
      </w:r>
      <m:oMath>
        <m:r>
          <w:rPr>
            <w:rFonts w:ascii="Cambria Math" w:hAnsi="Cambria Math"/>
          </w:rPr>
          <m:t>G</m:t>
        </m:r>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and </w:t>
      </w:r>
      <m:oMath>
        <m:r>
          <w:rPr>
            <w:rFonts w:ascii="Cambria Math" w:hAnsi="Cambria Math"/>
          </w:rPr>
          <m:t>R</m:t>
        </m:r>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oMath>
      <w:r>
        <w:t xml:space="preserve">. With </w:t>
      </w:r>
      <m:oMath>
        <m:r>
          <w:rPr>
            <w:rFonts w:ascii="Cambria Math" w:hAnsi="Cambria Math"/>
          </w:rPr>
          <m:t>A</m:t>
        </m:r>
      </m:oMath>
      <w:r>
        <w:t xml:space="preserve"> known, the BLUP specializes to the familiar shrinkage form</w:t>
      </w:r>
    </w:p>
    <w:p w14:paraId="247E639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247E63A0" w14:textId="77777777" w:rsidR="008E4EBD" w:rsidRDefault="00483AC6">
      <w:pPr>
        <w:pStyle w:val="BodyText"/>
      </w:pPr>
      <w:r>
        <w:t>or equivalently</w:t>
      </w:r>
    </w:p>
    <w:p w14:paraId="247E63A1"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oMath>
      </m:oMathPara>
    </w:p>
    <w:p w14:paraId="247E63A2" w14:textId="77777777" w:rsidR="008E4EBD" w:rsidRDefault="00483AC6">
      <w:pPr>
        <w:pStyle w:val="BodyText"/>
      </w:pPr>
      <w:r>
        <w:t xml:space="preserve">The EBLUP replaces </w:t>
      </w:r>
      <m:oMath>
        <m:r>
          <w:rPr>
            <w:rFonts w:ascii="Cambria Math" w:hAnsi="Cambria Math"/>
          </w:rPr>
          <m:t>A</m:t>
        </m:r>
      </m:oMath>
      <w:r>
        <w:t xml:space="preserve"> by an estimate </w:t>
      </w:r>
      <m:oMath>
        <m:acc>
          <m:accPr>
            <m:ctrlPr>
              <w:rPr>
                <w:rFonts w:ascii="Cambria Math" w:hAnsi="Cambria Math"/>
              </w:rPr>
            </m:ctrlPr>
          </m:accPr>
          <m:e>
            <m:r>
              <w:rPr>
                <w:rFonts w:ascii="Cambria Math" w:hAnsi="Cambria Math"/>
              </w:rPr>
              <m:t>A</m:t>
            </m:r>
          </m:e>
        </m:acc>
      </m:oMath>
      <w:r>
        <w:t xml:space="preserve"> (moment, ML, or REML) and </w:t>
      </w:r>
      <m:oMath>
        <m:r>
          <w:rPr>
            <w:rFonts w:ascii="Cambria Math" w:hAnsi="Cambria Math"/>
          </w:rPr>
          <m:t>β</m:t>
        </m:r>
      </m:oMath>
      <w:r>
        <w:t xml:space="preserve"> by the corresponding GLS estimate:</w:t>
      </w:r>
    </w:p>
    <w:p w14:paraId="247E63A3"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UFH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A</m:t>
                  </m:r>
                </m:e>
              </m:acc>
            </m:num>
            <m:den>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oMath>
      </m:oMathPara>
    </w:p>
    <w:p w14:paraId="247E63A4" w14:textId="77777777" w:rsidR="008E4EBD" w:rsidRDefault="00483AC6">
      <w:pPr>
        <w:pStyle w:val="BodyText"/>
      </w:pPr>
      <w:r>
        <w:t xml:space="preserve">The shrinkage factor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is the heart of the method, and it is a pure covariance object: it depends only on the model variance </w:t>
      </w:r>
      <m:oMath>
        <m:r>
          <w:rPr>
            <w:rFonts w:ascii="Cambria Math" w:hAnsi="Cambria Math"/>
          </w:rPr>
          <m:t>A</m:t>
        </m:r>
      </m:oMath>
      <w:r>
        <w:t xml:space="preserve"> and the sampling variance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Areas with precise direct estimates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small) receive predictions close to the direct estimate; areas with imprecise direct estimates are shrunk toward the regression-synthetic value. The leading term of the prediction MSE is </w:t>
      </w: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lastRenderedPageBreak/>
        <w:t xml:space="preserve">which is bounded above by both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second-order terms </w:t>
      </w:r>
      <m:oMath>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i</m:t>
            </m:r>
          </m:sub>
        </m:sSub>
      </m:oMath>
      <w:r>
        <w:t xml:space="preserve"> of Prasad and Rao (1990) account for the estimation of </w:t>
      </w:r>
      <m:oMath>
        <m:r>
          <w:rPr>
            <w:rFonts w:ascii="Cambria Math" w:hAnsi="Cambria Math"/>
          </w:rPr>
          <m:t>β</m:t>
        </m:r>
      </m:oMath>
      <w:r>
        <w:t xml:space="preserve"> and </w:t>
      </w:r>
      <m:oMath>
        <m:r>
          <w:rPr>
            <w:rFonts w:ascii="Cambria Math" w:hAnsi="Cambria Math"/>
          </w:rPr>
          <m:t>A</m:t>
        </m:r>
      </m:oMath>
      <w:r>
        <w:t xml:space="preserve"> respectively.</w:t>
      </w:r>
    </w:p>
    <w:p w14:paraId="247E63A5" w14:textId="77777777" w:rsidR="008E4EBD" w:rsidRDefault="00483AC6">
      <w:pPr>
        <w:pStyle w:val="BodyText"/>
      </w:pPr>
      <w:r>
        <w:t xml:space="preserve">When the UFH assumptions are correct and </w:t>
      </w:r>
      <m:oMath>
        <m:acc>
          <m:accPr>
            <m:ctrlPr>
              <w:rPr>
                <w:rFonts w:ascii="Cambria Math" w:hAnsi="Cambria Math"/>
              </w:rPr>
            </m:ctrlPr>
          </m:accPr>
          <m:e>
            <m:r>
              <w:rPr>
                <w:rFonts w:ascii="Cambria Math" w:hAnsi="Cambria Math"/>
              </w:rPr>
              <m:t>A</m:t>
            </m:r>
          </m:e>
        </m:acc>
      </m:oMath>
      <w:r>
        <w:t xml:space="preserve"> is consistent,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UFH</m:t>
            </m:r>
          </m:sup>
        </m:sSubSup>
      </m:oMath>
      <w:r>
        <w:t xml:space="preserve"> converges to the UFH BLUP. But this statement is model-specific: it means convergence to the BLUP under the univariate model that assumes no relevant intertemporal or spatial covariance beyond the scalar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structure. Whether that BLUP is the </w:t>
      </w:r>
      <w:r>
        <w:rPr>
          <w:i/>
        </w:rPr>
        <w:t>true</w:t>
      </w:r>
      <w:r>
        <w:t xml:space="preserve"> BLUP depends on whether those assumptions hold, which is the subject of the next section.</w:t>
      </w:r>
    </w:p>
    <w:p w14:paraId="247E63A6" w14:textId="77777777" w:rsidR="008E4EBD" w:rsidRDefault="00483AC6">
      <w:pPr>
        <w:pStyle w:val="Heading1"/>
      </w:pPr>
      <w:bookmarkStart w:id="10" w:name="Xb512269242b75ddf7366ec01a72d119981d02c2"/>
      <w:r>
        <w:t>7. UFH under autocorrelation or spatial correlation</w:t>
      </w:r>
      <w:bookmarkEnd w:id="10"/>
    </w:p>
    <w:p w14:paraId="247E63A7" w14:textId="77777777" w:rsidR="008E4EBD" w:rsidRDefault="00483AC6">
      <w:pPr>
        <w:pStyle w:val="FirstParagraph"/>
      </w:pPr>
      <w:r>
        <w:t xml:space="preserve">The UFH shrinkage factor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uses only the variance of the area effect and the sampling variance of the </w:t>
      </w:r>
      <w:r>
        <w:rPr>
          <w:i/>
        </w:rPr>
        <w:t>same</w:t>
      </w:r>
      <w:r>
        <w:t xml:space="preserve"> area-year direct estimate. It ignores information from other years and from neighboring areas. If the true covariance structure links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to other observed direct estimates, the true BLUP is not the UFH formula.</w:t>
      </w:r>
    </w:p>
    <w:p w14:paraId="247E63A8" w14:textId="77777777" w:rsidR="008E4EBD" w:rsidRDefault="00483AC6">
      <w:pPr>
        <w:pStyle w:val="BodyText"/>
      </w:pPr>
      <w:r>
        <w:t xml:space="preserve">To see this concretely, suppose the target is </w:t>
      </w:r>
      <m:oMath>
        <m:sSub>
          <m:sSubPr>
            <m:ctrlPr>
              <w:rPr>
                <w:rFonts w:ascii="Cambria Math" w:hAnsi="Cambria Math"/>
              </w:rPr>
            </m:ctrlPr>
          </m:sSubPr>
          <m:e>
            <m:r>
              <w:rPr>
                <w:rFonts w:ascii="Cambria Math" w:hAnsi="Cambria Math"/>
              </w:rPr>
              <m:t>θ</m:t>
            </m:r>
          </m:e>
          <m:sub>
            <m:r>
              <m:rPr>
                <m:nor/>
              </m:rPr>
              <m:t>it</m:t>
            </m:r>
          </m:sub>
        </m:sSub>
      </m:oMath>
      <w:r>
        <w:t xml:space="preserve">, the parameter for area </w:t>
      </w:r>
      <m:oMath>
        <m:r>
          <w:rPr>
            <w:rFonts w:ascii="Cambria Math" w:hAnsi="Cambria Math"/>
          </w:rPr>
          <m:t>i</m:t>
        </m:r>
      </m:oMath>
      <w:r>
        <w:t xml:space="preserve"> in year </w:t>
      </w:r>
      <m:oMath>
        <m:r>
          <w:rPr>
            <w:rFonts w:ascii="Cambria Math" w:hAnsi="Cambria Math"/>
          </w:rPr>
          <m:t>t</m:t>
        </m:r>
      </m:oMath>
      <w:r>
        <w:t xml:space="preserve">, and the available observed direct estimates form a vector </w:t>
      </w:r>
      <m:oMath>
        <m:sSub>
          <m:sSubPr>
            <m:ctrlPr>
              <w:rPr>
                <w:rFonts w:ascii="Cambria Math" w:hAnsi="Cambria Math"/>
              </w:rPr>
            </m:ctrlPr>
          </m:sSubPr>
          <m:e>
            <m:r>
              <w:rPr>
                <w:rFonts w:ascii="Cambria Math" w:hAnsi="Cambria Math"/>
              </w:rPr>
              <m:t>y</m:t>
            </m:r>
          </m:e>
          <m:sub>
            <m:r>
              <m:rPr>
                <m:nor/>
              </m:rPr>
              <m:t>obs</m:t>
            </m:r>
          </m:sub>
        </m:sSub>
      </m:oMath>
      <w:r>
        <w:t xml:space="preserve"> containing estimates for other years and areas as well. The true BLUP has the generic conditional-prediction form</w:t>
      </w:r>
    </w:p>
    <w:p w14:paraId="247E63A9"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true</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sSup>
            <m:sSupPr>
              <m:ctrlPr>
                <w:rPr>
                  <w:rFonts w:ascii="Cambria Math" w:hAnsi="Cambria Math"/>
                </w:rPr>
              </m:ctrlPr>
            </m:sSupPr>
            <m:e>
              <m:r>
                <w:rPr>
                  <w:rFonts w:ascii="Cambria Math" w:hAnsi="Cambria Math"/>
                </w:rPr>
                <m:t>)</m:t>
              </m:r>
            </m:e>
            <m:sup>
              <m:r>
                <w:rPr>
                  <w:rFonts w:ascii="Cambria Math" w:hAnsi="Cambria Math"/>
                </w:rPr>
                <m:t>-1</m:t>
              </m:r>
            </m:sup>
          </m:s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 </m:t>
              </m:r>
            </m:e>
          </m:d>
          <m:r>
            <w:rPr>
              <w:rFonts w:ascii="Cambria Math" w:hAnsi="Cambria Math"/>
            </w:rPr>
            <m:t>.</m:t>
          </m:r>
        </m:oMath>
      </m:oMathPara>
    </w:p>
    <w:p w14:paraId="247E63AA" w14:textId="77777777" w:rsidR="008E4EBD" w:rsidRDefault="00483AC6">
      <w:pPr>
        <w:pStyle w:val="BodyText"/>
      </w:pPr>
      <w:r>
        <w:t xml:space="preserve">UFH instead uses only the same area-year direct estimate </w:t>
      </w:r>
      <m:oMath>
        <m:sSub>
          <m:sSubPr>
            <m:ctrlPr>
              <w:rPr>
                <w:rFonts w:ascii="Cambria Math" w:hAnsi="Cambria Math"/>
              </w:rPr>
            </m:ctrlPr>
          </m:sSubPr>
          <m:e>
            <m:r>
              <w:rPr>
                <w:rFonts w:ascii="Cambria Math" w:hAnsi="Cambria Math"/>
              </w:rPr>
              <m:t>y</m:t>
            </m:r>
          </m:e>
          <m:sub>
            <m:r>
              <m:rPr>
                <m:nor/>
              </m:rPr>
              <m:t>it</m:t>
            </m:r>
          </m:sub>
        </m:sSub>
      </m:oMath>
      <w:r>
        <w:t>:</w:t>
      </w:r>
    </w:p>
    <w:p w14:paraId="247E63AB"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UFH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sSup>
            <m:sSupPr>
              <m:ctrlPr>
                <w:rPr>
                  <w:rFonts w:ascii="Cambria Math" w:hAnsi="Cambria Math"/>
                </w:rPr>
              </m:ctrlPr>
            </m:sSupPr>
            <m:e>
              <m:r>
                <w:rPr>
                  <w:rFonts w:ascii="Cambria Math" w:hAnsi="Cambria Math"/>
                </w:rPr>
                <m:t>)</m:t>
              </m:r>
            </m:e>
            <m:sup>
              <m:r>
                <w:rPr>
                  <w:rFonts w:ascii="Cambria Math" w:hAnsi="Cambria Math"/>
                </w:rPr>
                <m:t>-1</m:t>
              </m:r>
            </m:sup>
          </m:s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e>
          </m:d>
          <m:r>
            <w:rPr>
              <w:rFonts w:ascii="Cambria Math" w:hAnsi="Cambria Math"/>
            </w:rPr>
            <m:t>.</m:t>
          </m:r>
        </m:oMath>
      </m:oMathPara>
    </w:p>
    <w:p w14:paraId="247E63AC" w14:textId="7C5CF3DB" w:rsidR="008E4EBD" w:rsidRDefault="00483AC6">
      <w:pPr>
        <w:pStyle w:val="BodyText"/>
      </w:pPr>
      <w:r>
        <w:t xml:space="preserve">These two predictors coincide only under restrictive conditions—for example, when </w:t>
      </w:r>
      <m:oMath>
        <m:sSub>
          <m:sSubPr>
            <m:ctrlPr>
              <w:rPr>
                <w:rFonts w:ascii="Cambria Math" w:hAnsi="Cambria Math"/>
              </w:rPr>
            </m:ctrlPr>
          </m:sSubPr>
          <m:e>
            <m:r>
              <w:rPr>
                <w:rFonts w:ascii="Cambria Math" w:hAnsi="Cambria Math"/>
              </w:rPr>
              <m:t>θ</m:t>
            </m:r>
          </m:e>
          <m:sub>
            <m:r>
              <m:rPr>
                <m:nor/>
              </m:rPr>
              <m:t>it</m:t>
            </m:r>
          </m:sub>
        </m:sSub>
      </m:oMath>
      <w:r>
        <w:t xml:space="preserve"> is conditionally uncorrelated with all other observed direct estimates given </w:t>
      </w:r>
      <m:oMath>
        <m:sSub>
          <m:sSubPr>
            <m:ctrlPr>
              <w:rPr>
                <w:rFonts w:ascii="Cambria Math" w:hAnsi="Cambria Math"/>
              </w:rPr>
            </m:ctrlPr>
          </m:sSubPr>
          <m:e>
            <m:r>
              <w:rPr>
                <w:rFonts w:ascii="Cambria Math" w:hAnsi="Cambria Math"/>
              </w:rPr>
              <m:t>y</m:t>
            </m:r>
          </m:e>
          <m:sub>
            <m:r>
              <m:rPr>
                <m:nor/>
              </m:rPr>
              <m:t>it</m:t>
            </m:r>
          </m:sub>
        </m:sSub>
      </m:oMath>
      <w:r>
        <w:t xml:space="preserve">, or when the omitted covariance terms are exactly zero. If sampling errors are autocorrelated over time (as </w:t>
      </w:r>
      <w:r w:rsidR="0035735F">
        <w:t>in rotating panel designs), or if area effects are serially correlated (because the unobserved determinants of poverty evolve slowly) or spatially correlated (Pratesi and Salvati, 2008), the</w:t>
      </w:r>
      <w:r>
        <w:t xml:space="preserve"> omitted covariance terms are generally nonzero. Therefore</w:t>
      </w:r>
      <w:r w:rsidR="0035735F">
        <w:t>,</w:t>
      </w:r>
      <w:r>
        <w:t xml:space="preserve"> UFH converges </w:t>
      </w:r>
      <w:proofErr w:type="gramStart"/>
      <w:r>
        <w:t>to</w:t>
      </w:r>
      <w:proofErr w:type="gramEnd"/>
      <w:r>
        <w:t xml:space="preserve"> the BLUP under the UFH working covariance, not </w:t>
      </w:r>
      <w:proofErr w:type="gramStart"/>
      <w:r>
        <w:t>to</w:t>
      </w:r>
      <w:proofErr w:type="gramEnd"/>
      <w:r>
        <w:t xml:space="preserve"> the true BLUP.</w:t>
      </w:r>
    </w:p>
    <w:p w14:paraId="247E63AD" w14:textId="3F8A07D4" w:rsidR="008E4EBD" w:rsidRDefault="00483AC6">
      <w:pPr>
        <w:pStyle w:val="BodyText"/>
      </w:pPr>
      <w:r>
        <w:t xml:space="preserve">The point is not that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becomes inconsistent for the conditional mean—it generally does not. The problem is that the target is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 xml:space="preserve">, and prediction of </w:t>
      </w:r>
      <m:oMath>
        <m:sSub>
          <m:sSubPr>
            <m:ctrlPr>
              <w:rPr>
                <w:rFonts w:ascii="Cambria Math" w:hAnsi="Cambria Math"/>
              </w:rPr>
            </m:ctrlPr>
          </m:sSubPr>
          <m:e>
            <m:r>
              <w:rPr>
                <w:rFonts w:ascii="Cambria Math" w:hAnsi="Cambria Math"/>
              </w:rPr>
              <m:t>u</m:t>
            </m:r>
          </m:e>
          <m:sub>
            <m:r>
              <m:rPr>
                <m:nor/>
              </m:rPr>
              <m:t>it</m:t>
            </m:r>
          </m:sub>
        </m:sSub>
      </m:oMath>
      <w:r>
        <w:t xml:space="preserve"> depends on the true covariance between the target and </w:t>
      </w:r>
      <w:r>
        <w:rPr>
          <w:i/>
        </w:rPr>
        <w:t>all</w:t>
      </w:r>
      <w:r>
        <w:t xml:space="preserve"> observed direct estimates. UFH uses </w:t>
      </w:r>
      <w:r w:rsidR="0035735F">
        <w:t>incorrect prediction weights when</w:t>
      </w:r>
      <w:r>
        <w:t xml:space="preserve"> the true covariance structure is multivariate. This is precisely the situation analyzed by Rao and Yu (1994) for combined time-series and cross-sectional data, and it motivates the temporal, spatial, and spatio-temporal extensions of the FH model (Marhuenda, Molina, and Morales, 2013; Esteban, Morales, Pérez, and Santamaría, 2012).</w:t>
      </w:r>
    </w:p>
    <w:p w14:paraId="77482D4A" w14:textId="3CACDA81" w:rsidR="009221FB" w:rsidRPr="009221FB" w:rsidRDefault="009221FB" w:rsidP="009221FB">
      <w:pPr>
        <w:pStyle w:val="BodyText"/>
      </w:pPr>
      <w:r w:rsidRPr="009221FB">
        <w:t xml:space="preserve">It is useful to separate the two channels through which intertemporal dependence can arise, because they differ both conceptually and operationally. Temporal correlation in the area effects </w:t>
      </w:r>
      <w:proofErr w:type="gramStart"/>
      <w:r w:rsidRPr="009221FB">
        <w:t>reflects</w:t>
      </w:r>
      <w:proofErr w:type="gramEnd"/>
      <w:r w:rsidRPr="009221FB">
        <w:t xml:space="preserve"> persistence in the unobserved determinants of poverty. It is a feature of the underlying population process</w:t>
      </w:r>
      <w:r>
        <w:t xml:space="preserve"> that is not observed directly</w:t>
      </w:r>
      <w:r w:rsidRPr="009221FB">
        <w:t xml:space="preserve"> and must therefore be specified, modeled, and estimated. Temporal correlation in the sampling errors has a different status. It reflects the survey design: when direct estimates for area </w:t>
      </w:r>
      <m:oMath>
        <m:r>
          <w:rPr>
            <w:rFonts w:ascii="Cambria Math" w:hAnsi="Cambria Math"/>
          </w:rPr>
          <m:t>i</m:t>
        </m:r>
      </m:oMath>
      <w:r>
        <w:t xml:space="preserve"> </w:t>
      </w:r>
      <w:r w:rsidRPr="009221FB">
        <w:t xml:space="preserve">in successive years are based on overlapping samples, rotating panels, or repeated use of the same primary </w:t>
      </w:r>
      <w:r w:rsidRPr="009221FB">
        <w:lastRenderedPageBreak/>
        <w:t xml:space="preserve">sampling units, the sampling errors are correlated by construction. In such cases, the magnitude of the correlation can often be computed or estimated from the survey design, much like the sampling variances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9221FB">
        <w:t>that are routinely supplied to the Fay–Herriot model as known inputs.</w:t>
      </w:r>
    </w:p>
    <w:p w14:paraId="26FE5DA8" w14:textId="7D7203F4" w:rsidR="009221FB" w:rsidRPr="009221FB" w:rsidRDefault="009221FB" w:rsidP="009221FB">
      <w:pPr>
        <w:pStyle w:val="BodyText"/>
      </w:pPr>
      <w:r w:rsidRPr="009221FB">
        <w:t xml:space="preserve">UFH ignores both channels. This matters because the two channels have different implications for prediction. Correlation in </w:t>
      </w:r>
      <w:r>
        <w:t>area effects yields information that can be borrowed across years for both observed and missing area-years: a direct estimate from one year is informative about the realized area effect in another</w:t>
      </w:r>
      <w:r w:rsidRPr="009221FB">
        <w:t>. Correlation in the sampling errors, by contrast, affects the optimal weights assigned to observed direct estimates because it changes the covariance matrix of the observation vector. But by itself</w:t>
      </w:r>
      <w:r>
        <w:t>,</w:t>
      </w:r>
      <w:r w:rsidRPr="009221FB">
        <w:t xml:space="preserve"> it does not create information about a missing area-year target, since sampling errors are not part of the target </w:t>
      </w:r>
      <m:oMath>
        <m:sSub>
          <m:sSubPr>
            <m:ctrlPr>
              <w:rPr>
                <w:rFonts w:ascii="Cambria Math" w:hAnsi="Cambria Math"/>
              </w:rPr>
            </m:ctrlPr>
          </m:sSubPr>
          <m:e>
            <m:r>
              <w:rPr>
                <w:rFonts w:ascii="Cambria Math" w:hAnsi="Cambria Math"/>
              </w:rPr>
              <m:t>θ</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m:t>
            </m:r>
          </m:sub>
          <m:sup>
            <m:r>
              <m:rPr>
                <m:sty m:val="p"/>
              </m:rPr>
              <w:rPr>
                <w:rFonts w:ascii="Cambria Math" w:hAnsi="Cambria Math"/>
              </w:rPr>
              <m:t>'</m:t>
            </m:r>
          </m:sup>
        </m:sSubSup>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it</m:t>
            </m:r>
          </m:sub>
        </m:sSub>
      </m:oMath>
      <w:r w:rsidRPr="009221FB">
        <w:t>. For missing area-years, sampling-error correlation matters indirectly when there is also dependence in the area effects, because it changes the precision and weighting of the observed signals used to predict the missing realized effect.</w:t>
      </w:r>
    </w:p>
    <w:p w14:paraId="075BAD8F" w14:textId="77777777" w:rsidR="009221FB" w:rsidRPr="009221FB" w:rsidRDefault="009221FB" w:rsidP="009221FB">
      <w:pPr>
        <w:pStyle w:val="BodyText"/>
      </w:pPr>
      <w:r w:rsidRPr="009221FB">
        <w:t xml:space="preserve">A useful way to summarize the issue is the following. UFH answers the question: “What is the best prediction given this area-year’s direct estimate alone, under independence?” If the data </w:t>
      </w:r>
      <w:proofErr w:type="gramStart"/>
      <w:r w:rsidRPr="009221FB">
        <w:t>contain</w:t>
      </w:r>
      <w:proofErr w:type="gramEnd"/>
      <w:r w:rsidRPr="009221FB">
        <w:t xml:space="preserve"> additional correlated signals—such as the same area observed in earlier years, neighboring areas observed in the same year, or repeated survey estimates with correlated sampling errors—then UFH is no longer answering the prediction question implied by the true covariance structure.</w:t>
      </w:r>
    </w:p>
    <w:p w14:paraId="247E63B0" w14:textId="77777777" w:rsidR="008E4EBD" w:rsidRDefault="00483AC6">
      <w:pPr>
        <w:pStyle w:val="Heading1"/>
      </w:pPr>
      <w:bookmarkStart w:id="11" w:name="X035a9925984a6bfd9749c6f2c9fc57f25f264da"/>
      <w:r>
        <w:t>8. UFH and area-years without direct estimates</w:t>
      </w:r>
      <w:bookmarkEnd w:id="11"/>
    </w:p>
    <w:p w14:paraId="247E63B1" w14:textId="77777777" w:rsidR="008E4EBD" w:rsidRDefault="00483AC6">
      <w:pPr>
        <w:pStyle w:val="FirstParagraph"/>
      </w:pPr>
      <w:r>
        <w:t xml:space="preserve">The limitation becomes acute for areas or area-years without direct estimates. If area-year </w:t>
      </w:r>
      <m:oMath>
        <m:r>
          <w:rPr>
            <w:rFonts w:ascii="Cambria Math" w:hAnsi="Cambria Math"/>
          </w:rPr>
          <m:t>(</m:t>
        </m:r>
        <m:r>
          <w:rPr>
            <w:rFonts w:ascii="Cambria Math" w:hAnsi="Cambria Math"/>
          </w:rPr>
          <m:t>i</m:t>
        </m:r>
        <m:r>
          <w:rPr>
            <w:rFonts w:ascii="Cambria Math" w:hAnsi="Cambria Math"/>
          </w:rPr>
          <m:t>,</m:t>
        </m:r>
        <m:r>
          <w:rPr>
            <w:rFonts w:ascii="Cambria Math" w:hAnsi="Cambria Math"/>
          </w:rPr>
          <m:t>t</m:t>
        </m:r>
        <m:r>
          <w:rPr>
            <w:rFonts w:ascii="Cambria Math" w:hAnsi="Cambria Math"/>
          </w:rPr>
          <m:t>)</m:t>
        </m:r>
      </m:oMath>
      <w:r>
        <w:t xml:space="preserve"> has no direct estimate, UFH cannot form the usual FH shrinkage term: </w:t>
      </w:r>
      <m:oMath>
        <m:sSub>
          <m:sSubPr>
            <m:ctrlPr>
              <w:rPr>
                <w:rFonts w:ascii="Cambria Math" w:hAnsi="Cambria Math"/>
              </w:rPr>
            </m:ctrlPr>
          </m:sSubPr>
          <m:e>
            <m:r>
              <w:rPr>
                <w:rFonts w:ascii="Cambria Math" w:hAnsi="Cambria Math"/>
              </w:rPr>
              <m:t>y</m:t>
            </m:r>
          </m:e>
          <m:sub>
            <m:r>
              <m:rPr>
                <m:nor/>
              </m:rPr>
              <m:t>it</m:t>
            </m:r>
          </m:sub>
        </m:sSub>
      </m:oMath>
      <w:r>
        <w:t xml:space="preserve"> is missing and </w:t>
      </w:r>
      <m:oMath>
        <m:sSub>
          <m:sSubPr>
            <m:ctrlPr>
              <w:rPr>
                <w:rFonts w:ascii="Cambria Math" w:hAnsi="Cambria Math"/>
              </w:rPr>
            </m:ctrlPr>
          </m:sSubPr>
          <m:e>
            <m:r>
              <w:rPr>
                <w:rFonts w:ascii="Cambria Math" w:hAnsi="Cambria Math"/>
              </w:rPr>
              <m:t>D</m:t>
            </m:r>
          </m:e>
          <m:sub>
            <m:r>
              <m:rPr>
                <m:nor/>
              </m:rPr>
              <m:t>it</m:t>
            </m:r>
          </m:sub>
        </m:sSub>
      </m:oMath>
      <w:r>
        <w:t xml:space="preserve"> is not available as the variance of an observed direct estimate. The usual UFH predictor</w:t>
      </w:r>
    </w:p>
    <w:p w14:paraId="247E63B2"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γ</m:t>
              </m:r>
            </m:e>
            <m:sub>
              <m:r>
                <m:rPr>
                  <m:nor/>
                </m:rPr>
                <m:t>it</m:t>
              </m:r>
            </m:sub>
          </m:sSub>
          <m:r>
            <w:rPr>
              <w:rFonts w:ascii="Cambria Math" w:hAnsi="Cambria Math"/>
            </w:rPr>
            <m:t> (</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B3" w14:textId="77777777" w:rsidR="008E4EBD" w:rsidRDefault="00483AC6">
      <w:pPr>
        <w:pStyle w:val="BodyText"/>
      </w:pPr>
      <w:r>
        <w:t>cannot be evaluated. The only UFH quantity that can be produced is the synthetic prediction</w:t>
      </w:r>
    </w:p>
    <w:p w14:paraId="247E63B4"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it</m:t>
              </m:r>
            </m:sub>
            <m:sup>
              <m:r>
                <m:rPr>
                  <m:nor/>
                </m:rPr>
                <m:t>SYN</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B5" w14:textId="77777777" w:rsidR="008E4EBD" w:rsidRDefault="00483AC6">
      <w:pPr>
        <w:pStyle w:val="BodyText"/>
      </w:pPr>
      <w:r>
        <w:t xml:space="preserve">This synthetic prediction can be useful for producing a complete poverty map, but it is not the UFH shrinkage predictor of </w:t>
      </w:r>
      <m:oMath>
        <m:sSub>
          <m:sSubPr>
            <m:ctrlPr>
              <w:rPr>
                <w:rFonts w:ascii="Cambria Math" w:hAnsi="Cambria Math"/>
              </w:rPr>
            </m:ctrlPr>
          </m:sSubPr>
          <m:e>
            <m:r>
              <w:rPr>
                <w:rFonts w:ascii="Cambria Math" w:hAnsi="Cambria Math"/>
              </w:rPr>
              <m:t>θ</m:t>
            </m:r>
          </m:e>
          <m:sub>
            <m:r>
              <m:rPr>
                <m:nor/>
              </m:rPr>
              <m:t>it</m:t>
            </m:r>
          </m:sub>
        </m:sSub>
      </m:oMath>
      <w:r>
        <w:t xml:space="preserve">. It estimates the regression mean component, not the realized area effect; in terms of the general BLUP formula of Section 4, the covariance adjustment term is absent because UFH has no observed area-year direct estimate to condition on. Its prediction MSE therefore contains the full variance of the unpredicted area effect, in addition to the </w:t>
      </w:r>
      <m:oMath>
        <m:r>
          <w:rPr>
            <w:rFonts w:ascii="Cambria Math" w:hAnsi="Cambria Math"/>
          </w:rPr>
          <m:t>β</m:t>
        </m:r>
      </m:oMath>
      <w:r>
        <w:t xml:space="preserve"> -estimation component, and this should be reflected in reported uncertainty measures (see Section 12).</w:t>
      </w:r>
    </w:p>
    <w:p w14:paraId="247E63B6" w14:textId="77777777" w:rsidR="008E4EBD" w:rsidRDefault="00483AC6">
      <w:pPr>
        <w:pStyle w:val="BodyText"/>
      </w:pPr>
      <w:r>
        <w:t>This also sharpens the non-convergence point of Section 7. If the true model has temporal or spatial covariance, the true BLUP for a missing area-year conditions on observed direct estimates from the same area in other years, or from correlated neighboring areas. UFH cannot use those data: its univariate formulation contains no covariance links to them. Consequently, UFH synthetic predictions for missing area-years do not converge to the true BLUP unless the true covariance between the missing target and al</w:t>
      </w:r>
      <w:r>
        <w:t>l observed direct estimates is zero—exactly the case in which no model could do better.</w:t>
      </w:r>
    </w:p>
    <w:p w14:paraId="247E63B7" w14:textId="77777777" w:rsidR="008E4EBD" w:rsidRDefault="00483AC6">
      <w:pPr>
        <w:pStyle w:val="Heading1"/>
      </w:pPr>
      <w:bookmarkStart w:id="12" w:name="the-multivariate-fayherriot-model"/>
      <w:r>
        <w:lastRenderedPageBreak/>
        <w:t>9. The multivariate Fay–Herriot model</w:t>
      </w:r>
      <w:bookmarkEnd w:id="12"/>
    </w:p>
    <w:p w14:paraId="247E63B8" w14:textId="77777777" w:rsidR="008E4EBD" w:rsidRDefault="00483AC6">
      <w:pPr>
        <w:pStyle w:val="FirstParagraph"/>
      </w:pPr>
      <w:r>
        <w:t xml:space="preserve">The MFH model treats multiple estimates jointly. For each area </w:t>
      </w:r>
      <m:oMath>
        <m:r>
          <w:rPr>
            <w:rFonts w:ascii="Cambria Math" w:hAnsi="Cambria Math"/>
          </w:rPr>
          <m:t>i</m:t>
        </m:r>
      </m:oMath>
      <w:r>
        <w:t xml:space="preserve">, define a </w:t>
      </w:r>
      <m:oMath>
        <m:r>
          <w:rPr>
            <w:rFonts w:ascii="Cambria Math" w:hAnsi="Cambria Math"/>
          </w:rPr>
          <m:t>T</m:t>
        </m:r>
      </m:oMath>
      <w:r>
        <w:t xml:space="preserve"> -dimensional vector of direct estimates—the components may be years, related outcomes, or both:</w:t>
      </w:r>
    </w:p>
    <w:p w14:paraId="247E63B9"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oMath>
      </m:oMathPara>
    </w:p>
    <w:p w14:paraId="247E63BA" w14:textId="77777777" w:rsidR="008E4EBD" w:rsidRDefault="00483AC6">
      <w:pPr>
        <w:pStyle w:val="BodyText"/>
      </w:pPr>
      <w:r>
        <w:t>A basic MFH model (Benavent and Morales, 2016) is</w:t>
      </w:r>
    </w:p>
    <w:p w14:paraId="247E63BB"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3BC"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247E63BD" w14:textId="449475BB" w:rsidR="008E4EBD" w:rsidRDefault="00483AC6">
      <w:pPr>
        <w:pStyle w:val="BodyText"/>
      </w:pPr>
      <w:r>
        <w:t xml:space="preserve">Here </w:t>
      </w:r>
      <m:oMath>
        <m:r>
          <w:rPr>
            <w:rFonts w:ascii="Cambria Math" w:hAnsi="Cambria Math"/>
          </w:rPr>
          <m:t>G</m:t>
        </m:r>
      </m:oMath>
      <w:r>
        <w:t xml:space="preserve"> captures covariance among the true area effects across years or outcomes, while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sampling-error covariance matrix of the direct estimates;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may include autocorrelation of sampling errors arising from overlapping samples. In a spatial or spatio-temporal MFH model, the covariance structure can also link areas, not only years within </w:t>
      </w:r>
      <w:r w:rsidR="009E3E7E">
        <w:t xml:space="preserve">an </w:t>
      </w:r>
      <w:r>
        <w:t xml:space="preserve">area (Pratesi and Salvati, 2008; Marhuenda, Molina, and Morales, 2013). Parsimonious parameterizations of </w:t>
      </w:r>
      <m:oMath>
        <m:r>
          <w:rPr>
            <w:rFonts w:ascii="Cambria Math" w:hAnsi="Cambria Math"/>
          </w:rPr>
          <m:t>G</m:t>
        </m:r>
      </m:oMath>
      <w:r>
        <w:t xml:space="preserve"> —exchangeable, autoregressive of order one, or factor structures—keep the number of unknown parameters manageable when </w:t>
      </w:r>
      <m:oMath>
        <m:r>
          <w:rPr>
            <w:rFonts w:ascii="Cambria Math" w:hAnsi="Cambria Math"/>
          </w:rPr>
          <m:t>T</m:t>
        </m:r>
      </m:oMath>
      <w:r>
        <w:t xml:space="preserve"> is moderate.</w:t>
      </w:r>
    </w:p>
    <w:p w14:paraId="247E63BE" w14:textId="77777777" w:rsidR="008E4EBD" w:rsidRDefault="00483AC6">
      <w:pPr>
        <w:pStyle w:val="BodyText"/>
      </w:pPr>
      <w:r>
        <w:t xml:space="preserve">The two covariance components enter the model symmetrically but differ sharply in how they are obtained in practice. </w:t>
      </w:r>
      <m:oMath>
        <m:r>
          <w:rPr>
            <w:rFonts w:ascii="Cambria Math" w:hAnsi="Cambria Math"/>
          </w:rPr>
          <m:t>G</m:t>
        </m:r>
      </m:oMath>
      <w:r>
        <w:t xml:space="preserve"> is a model object: it must be specified up to a small number of parameters and estimated from the data.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at least in principle, a design object: its diagonal elements are the familiar sampling variances, and its off-diagonal elements are sampling covariances that can often be computed or estimated from the survey design when the same households or primary sampling units contribute to direct estimates in multiple years. The natural extension of the Fay–Herriot convention of treating sampling variances as known is therefore to treat the </w:t>
      </w:r>
      <w:r>
        <w:rPr>
          <w:i/>
        </w:rPr>
        <w:t>whole matrix</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terms, as known or externally estimated. A correctly specified MFH estimator does exactly this; an MFH estimator that models </w:t>
      </w:r>
      <m:oMath>
        <m:r>
          <w:rPr>
            <w:rFonts w:ascii="Cambria Math" w:hAnsi="Cambria Math"/>
          </w:rPr>
          <m:t>G</m:t>
        </m:r>
      </m:oMath>
      <w:r>
        <w:t xml:space="preserve"> but truncates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its diagonal discards design information and, as Sections 5 and 11 show, fails to converge to the true BLUP whenever the discarded covariances are nonzero.</w:t>
      </w:r>
    </w:p>
    <w:p w14:paraId="247E63BF" w14:textId="77777777" w:rsidR="008E4EBD" w:rsidRDefault="00483AC6">
      <w:pPr>
        <w:pStyle w:val="BodyText"/>
      </w:pPr>
      <w:r>
        <w:t xml:space="preserve">For a balanced setting in which all components of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are observed, the MFH BLUP of</w:t>
      </w:r>
    </w:p>
    <w:p w14:paraId="247E63C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47E63C1" w14:textId="77777777" w:rsidR="008E4EBD" w:rsidRDefault="00483AC6">
      <w:pPr>
        <w:pStyle w:val="BodyText"/>
      </w:pPr>
      <w:r>
        <w:t>is</w:t>
      </w:r>
    </w:p>
    <w:p w14:paraId="247E63C2"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i</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G</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C3" w14:textId="77777777" w:rsidR="008E4EBD" w:rsidRDefault="00483AC6">
      <w:pPr>
        <w:pStyle w:val="BodyText"/>
      </w:pPr>
      <w:r>
        <w:t>where</w:t>
      </w:r>
    </w:p>
    <w:p w14:paraId="247E63C4"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247E63C5" w14:textId="77777777" w:rsidR="008E4EBD" w:rsidRDefault="00483AC6">
      <w:pPr>
        <w:pStyle w:val="BodyText"/>
      </w:pPr>
      <w:r>
        <w:t xml:space="preserve">The EBLUP replaces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by estimated or externally supplied versions:</w:t>
      </w:r>
    </w:p>
    <w:p w14:paraId="247E63C6"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G</m:t>
              </m:r>
            </m:e>
          </m:acc>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sub>
            <m:sup>
              <m:r>
                <w:rPr>
                  <w:rFonts w:ascii="Cambria Math" w:hAnsi="Cambria Math"/>
                </w:rPr>
                <m:t>-1</m:t>
              </m:r>
            </m:sup>
          </m:sSub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 </m:t>
              </m:r>
            </m:e>
          </m:d>
          <m:r>
            <w:rPr>
              <w:rFonts w:ascii="Cambria Math" w:hAnsi="Cambria Math"/>
            </w:rPr>
            <m:t>.</m:t>
          </m:r>
        </m:oMath>
      </m:oMathPara>
    </w:p>
    <w:p w14:paraId="247E63C7" w14:textId="77777777" w:rsidR="008E4EBD" w:rsidRDefault="00483AC6">
      <w:pPr>
        <w:pStyle w:val="BodyText"/>
      </w:pPr>
      <w:r>
        <w:t xml:space="preserve">If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are correctly specified and consistently estimated, this EBLUP converges to the MFH BLUP. If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includes sampling-error autocorrelation and that autocorrelation is estimated or supplied correctly, </w:t>
      </w:r>
      <w:r>
        <w:lastRenderedPageBreak/>
        <w:t xml:space="preserve">MFH converges to the BLUP under the autocorrelated sampling-error model—something UFH cannot do, because it sets the relevant off-diagonal covariance terms to zero by construction. The matrix shrinkage operator </w:t>
      </w:r>
      <m:oMath>
        <m:r>
          <w:rPr>
            <w:rFonts w:ascii="Cambria Math" w:hAnsi="Cambria Math"/>
          </w:rPr>
          <m:t>G</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oMath>
      <w:r>
        <w:t xml:space="preserve"> generalizes the scalar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it shrinks the vector of direct estimates toward the synthetic vector along the directions and magnitudes dictated by the joint covariance structure, allowing a precise estimate in one year to inform the prediction for another year in the same area.</w:t>
      </w:r>
    </w:p>
    <w:p w14:paraId="247E63C8" w14:textId="77777777" w:rsidR="008E4EBD" w:rsidRDefault="00483AC6">
      <w:pPr>
        <w:pStyle w:val="BodyText"/>
      </w:pPr>
      <w:r>
        <w:t xml:space="preserve">Estimation of the covariance parameters proceeds by ML or REML on the stacked model, or by method-of-moments estimators; software implementations include the </w:t>
      </w:r>
      <w:r>
        <w:rPr>
          <w:rStyle w:val="VerbatimChar"/>
        </w:rPr>
        <w:t>msae</w:t>
      </w:r>
      <w:r>
        <w:t xml:space="preserve"> R package and related routines. As in the univariate case, Kackar–Harville unbiasedness carries over under symmetric distributions, and second-order MSE approximations or parametric bootstrap methods (González-Manteiga, Lombardía, Molina, Morales, and Santamaría, 2008) are available for uncertainty estimation.</w:t>
      </w:r>
    </w:p>
    <w:p w14:paraId="247E63C9" w14:textId="77777777" w:rsidR="008E4EBD" w:rsidRDefault="00483AC6">
      <w:pPr>
        <w:pStyle w:val="Heading1"/>
      </w:pPr>
      <w:bookmarkStart w:id="13" w:name="X85ca3be73687352b02609f82bea3d2657971258"/>
      <w:r>
        <w:t>10. MFH with missing area-years: the partitioned predictor</w:t>
      </w:r>
      <w:bookmarkEnd w:id="13"/>
    </w:p>
    <w:p w14:paraId="247E63CA" w14:textId="77777777" w:rsidR="008E4EBD" w:rsidRDefault="00483AC6">
      <w:pPr>
        <w:pStyle w:val="FirstParagraph"/>
      </w:pPr>
      <w:r>
        <w:t xml:space="preserve">The decisive advantage of the multivariate formulation appears with unbalanced data. MFH extends naturally by partitioning the vector for each area into observed and missing components. For area </w:t>
      </w:r>
      <m:oMath>
        <m:r>
          <w:rPr>
            <w:rFonts w:ascii="Cambria Math" w:hAnsi="Cambria Math"/>
          </w:rPr>
          <m:t>i</m:t>
        </m:r>
      </m:oMath>
      <w:r>
        <w:t>, write</w:t>
      </w:r>
    </w:p>
    <w:p w14:paraId="247E63CB"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y</m:t>
              </m:r>
            </m:e>
            <m:sub>
              <m:r>
                <m:rPr>
                  <m:nor/>
                </m:rPr>
                <m:t>im</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m:rPr>
                  <m:nor/>
                </m:rPr>
                <m:t>io</m:t>
              </m:r>
            </m:sub>
          </m:sSub>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oMath>
      </m:oMathPara>
    </w:p>
    <w:p w14:paraId="247E63CC" w14:textId="77777777" w:rsidR="008E4EBD" w:rsidRDefault="00483AC6">
      <w:pPr>
        <w:pStyle w:val="BodyText"/>
      </w:pPr>
      <w:r>
        <w:t xml:space="preserve">where </w:t>
      </w:r>
      <m:oMath>
        <m:r>
          <w:rPr>
            <w:rFonts w:ascii="Cambria Math" w:hAnsi="Cambria Math"/>
          </w:rPr>
          <m:t>o</m:t>
        </m:r>
      </m:oMath>
      <w:r>
        <w:t xml:space="preserve"> denotes observed area-years and </w:t>
      </w:r>
      <m:oMath>
        <m:r>
          <w:rPr>
            <w:rFonts w:ascii="Cambria Math" w:hAnsi="Cambria Math"/>
          </w:rPr>
          <m:t>m</m:t>
        </m:r>
      </m:oMath>
      <w:r>
        <w:t xml:space="preserve"> denotes missing area-years. The model-implied mean and covariance partition accordingly:</w:t>
      </w:r>
    </w:p>
    <w:p w14:paraId="247E63CD" w14:textId="77777777" w:rsidR="008E4EBD" w:rsidRDefault="00483AC6">
      <w:pPr>
        <w:pStyle w:val="BodyText"/>
        <w:spacing w:before="0" w:after="160" w:line="240" w:lineRule="atLeast"/>
        <w:jc w:val="center"/>
      </w:pPr>
      <m:oMathPara>
        <m:oMathParaPr>
          <m:jc m:val="center"/>
        </m:oMathParaP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r>
            <w:rPr>
              <w:rFonts w:ascii="Cambria Math" w:hAnsi="Cambria Math"/>
            </w:rPr>
            <m:t>β</m:t>
          </m:r>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,  </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oMath>
      </m:oMathPara>
    </w:p>
    <w:p w14:paraId="247E63CE" w14:textId="77777777" w:rsidR="008E4EBD" w:rsidRDefault="00483AC6">
      <w:pPr>
        <w:pStyle w:val="BodyText"/>
      </w:pPr>
      <w:r>
        <w:t xml:space="preserve">The BLUP of the missing area-year target </w:t>
      </w:r>
      <m:oMath>
        <m:sSub>
          <m:sSubPr>
            <m:ctrlPr>
              <w:rPr>
                <w:rFonts w:ascii="Cambria Math" w:hAnsi="Cambria Math"/>
              </w:rPr>
            </m:ctrlPr>
          </m:sSubPr>
          <m:e>
            <m:r>
              <w:rPr>
                <w:rFonts w:ascii="Cambria Math" w:hAnsi="Cambria Math"/>
              </w:rPr>
              <m:t>θ</m:t>
            </m:r>
          </m:e>
          <m:sub>
            <m:r>
              <m:rPr>
                <m:nor/>
              </m:rPr>
              <m:t>im</m:t>
            </m:r>
          </m:sub>
        </m:sSub>
      </m:oMath>
      <w:r>
        <w:t>, conditional on the observed direct estimates for that area, is</w:t>
      </w:r>
    </w:p>
    <w:p w14:paraId="247E63C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nor/>
                </m:rPr>
                <m:t>im</m:t>
              </m:r>
            </m:sub>
          </m:sSub>
          <m:r>
            <w:rPr>
              <w:rFonts w:ascii="Cambria Math" w:hAnsi="Cambria Math"/>
            </w:rPr>
            <m:t>=</m:t>
          </m:r>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0" w14:textId="77777777" w:rsidR="008E4EBD" w:rsidRDefault="00483AC6">
      <w:pPr>
        <w:pStyle w:val="BodyText"/>
      </w:pPr>
      <w:r>
        <w:t xml:space="preserve">This is the key formula of the paper. It shows exactly how MFH produces a prediction for an area-year without a direct estimate: the regression-synthetic component </w:t>
      </w:r>
      <m:oMath>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oMath>
      <w:r>
        <w:t xml:space="preserve"> plus a covariance adjustment based on observed direct estimates from related years or outcomes. The covariance adjustment is nonzero only if the missing target is correlated with the observed direct estimates; the strength of the adjustment—and the resulting MSE reduction relative to synthetic prediction—is governed entirely by </w:t>
      </w:r>
      <m:oMath>
        <m:sSub>
          <m:sSubPr>
            <m:ctrlPr>
              <w:rPr>
                <w:rFonts w:ascii="Cambria Math" w:hAnsi="Cambria Math"/>
              </w:rPr>
            </m:ctrlPr>
          </m:sSubPr>
          <m:e>
            <m:r>
              <w:rPr>
                <w:rFonts w:ascii="Cambria Math" w:hAnsi="Cambria Math"/>
              </w:rPr>
              <m:t>C</m:t>
            </m:r>
          </m:e>
          <m:sub>
            <m:r>
              <m:rPr>
                <m:nor/>
              </m:rPr>
              <m:t>mo</m:t>
            </m:r>
          </m:sub>
        </m:sSub>
      </m:oMath>
      <w:r>
        <w:t>.</w:t>
      </w:r>
    </w:p>
    <w:p w14:paraId="247E63D1" w14:textId="77777777" w:rsidR="008E4EBD" w:rsidRDefault="00483AC6">
      <w:pPr>
        <w:pStyle w:val="BodyText"/>
      </w:pPr>
      <w:r>
        <w:t xml:space="preserve">In the standard MFH model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the cross-covariance is</w:t>
      </w:r>
    </w:p>
    <w:p w14:paraId="247E63D2"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u</m:t>
              </m:r>
            </m:e>
            <m:sub>
              <m:r>
                <m:rPr>
                  <m:nor/>
                </m:rPr>
                <m:t>im</m:t>
              </m:r>
            </m:sub>
          </m:sSub>
          <m:r>
            <w:rPr>
              <w:rFonts w:ascii="Cambria Math" w:hAnsi="Cambria Math"/>
            </w:rPr>
            <m:t>, </m:t>
          </m:r>
          <m:sSub>
            <m:sSubPr>
              <m:ctrlPr>
                <w:rPr>
                  <w:rFonts w:ascii="Cambria Math" w:hAnsi="Cambria Math"/>
                </w:rPr>
              </m:ctrlPr>
            </m:sSubPr>
            <m:e>
              <m:r>
                <w:rPr>
                  <w:rFonts w:ascii="Cambria Math" w:hAnsi="Cambria Math"/>
                </w:rPr>
                <m:t>u</m:t>
              </m:r>
            </m:e>
            <m:sub>
              <m:r>
                <m:rPr>
                  <m:nor/>
                </m:rPr>
                <m:t>io</m:t>
              </m:r>
            </m:sub>
          </m:sSub>
          <m:r>
            <w:rPr>
              <w:rFonts w:ascii="Cambria Math" w:hAnsi="Cambria Math"/>
            </w:rPr>
            <m:t>+</m:t>
          </m:r>
          <m:sSub>
            <m:sSubPr>
              <m:ctrlPr>
                <w:rPr>
                  <w:rFonts w:ascii="Cambria Math" w:hAnsi="Cambria Math"/>
                </w:rPr>
              </m:ctrlPr>
            </m:sSubPr>
            <m:e>
              <m:r>
                <w:rPr>
                  <w:rFonts w:ascii="Cambria Math" w:hAnsi="Cambria Math"/>
                </w:rPr>
                <m:t>e</m:t>
              </m:r>
            </m:e>
            <m:sub>
              <m:r>
                <m:rPr>
                  <m:nor/>
                </m:rPr>
                <m:t>io</m:t>
              </m:r>
            </m:sub>
          </m:sSub>
          <m:r>
            <w:rPr>
              <w:rFonts w:ascii="Cambria Math" w:hAnsi="Cambria Math"/>
            </w:rPr>
            <m:t>),</m:t>
          </m:r>
        </m:oMath>
      </m:oMathPara>
    </w:p>
    <w:p w14:paraId="247E63D3" w14:textId="77777777" w:rsidR="008E4EBD" w:rsidRDefault="00483AC6">
      <w:pPr>
        <w:pStyle w:val="BodyText"/>
      </w:pPr>
      <w:r>
        <w:t xml:space="preserve">which, when area effects and sampling errors are independent, reduces to the relevant off-diagonal block of </w:t>
      </w:r>
      <m:oMath>
        <m:r>
          <w:rPr>
            <w:rFonts w:ascii="Cambria Math" w:hAnsi="Cambria Math"/>
          </w:rPr>
          <m:t>G</m:t>
        </m:r>
      </m:oMath>
      <w:r>
        <w:t>:</w:t>
      </w:r>
    </w:p>
    <w:p w14:paraId="247E63D4"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r>
            <w:rPr>
              <w:rFonts w:ascii="Cambria Math" w:hAnsi="Cambria Math"/>
            </w:rPr>
            <m:t>.</m:t>
          </m:r>
        </m:oMath>
      </m:oMathPara>
    </w:p>
    <w:p w14:paraId="247E63D5" w14:textId="77777777" w:rsidR="008E4EBD" w:rsidRDefault="00483AC6">
      <w:pPr>
        <w:pStyle w:val="BodyText"/>
      </w:pPr>
      <w:r>
        <w:t xml:space="preserve">If the target </w:t>
      </w:r>
      <m:oMath>
        <m:sSub>
          <m:sSubPr>
            <m:ctrlPr>
              <w:rPr>
                <w:rFonts w:ascii="Cambria Math" w:hAnsi="Cambria Math"/>
              </w:rPr>
            </m:ctrlPr>
          </m:sSubPr>
          <m:e>
            <m:r>
              <w:rPr>
                <w:rFonts w:ascii="Cambria Math" w:hAnsi="Cambria Math"/>
              </w:rPr>
              <m:t>θ</m:t>
            </m:r>
          </m:e>
          <m:sub>
            <m:r>
              <m:rPr>
                <m:nor/>
              </m:rPr>
              <m:t>im</m:t>
            </m:r>
          </m:sub>
        </m:sSub>
      </m:oMath>
      <w:r>
        <w:t xml:space="preserve"> is correlated with observed sampling errors through a more general design-based covariance structure, the corresponding terms must be added; the exact expression depends on the assumed joint covariance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247E63D6" w14:textId="77777777" w:rsidR="008E4EBD" w:rsidRDefault="00483AC6">
      <w:pPr>
        <w:pStyle w:val="BodyText"/>
      </w:pPr>
      <w:r>
        <w:lastRenderedPageBreak/>
        <w:t xml:space="preserve">The GLS estimator of </w:t>
      </w:r>
      <m:oMath>
        <m:r>
          <w:rPr>
            <w:rFonts w:ascii="Cambria Math" w:hAnsi="Cambria Math"/>
          </w:rPr>
          <m:t>β</m:t>
        </m:r>
      </m:oMath>
      <w:r>
        <w:t xml:space="preserve"> for unbalanced MFH uses only observed components:</w:t>
      </w:r>
    </w:p>
    <w:p w14:paraId="247E63D7"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m:rPr>
                      <m:nor/>
                    </m:rPr>
                    <m:t>io</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sSub>
            <m:sSubPr>
              <m:ctrlPr>
                <w:rPr>
                  <w:rFonts w:ascii="Cambria Math" w:hAnsi="Cambria Math"/>
                </w:rPr>
              </m:ctrlPr>
            </m:sSubPr>
            <m:e>
              <m:r>
                <w:rPr>
                  <w:rFonts w:ascii="Cambria Math" w:hAnsi="Cambria Math"/>
                </w:rPr>
                <m:t>X</m:t>
              </m:r>
            </m:e>
            <m:sub>
              <m:r>
                <m:rPr>
                  <m:nor/>
                </m:rPr>
                <m:t>io</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m:rPr>
                      <m:nor/>
                    </m:rPr>
                    <m:t>io</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oMath>
      </m:oMathPara>
    </w:p>
    <w:p w14:paraId="247E63D8" w14:textId="77777777" w:rsidR="008E4EBD" w:rsidRDefault="00483AC6">
      <w:pPr>
        <w:pStyle w:val="BodyText"/>
      </w:pPr>
      <w:r>
        <w:t>and the EBLUP for the missing component replaces unknown covariance parameters with estimates:</w:t>
      </w:r>
    </w:p>
    <w:p w14:paraId="247E63D9"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im</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A" w14:textId="2C556734" w:rsidR="008E4EBD" w:rsidRDefault="00483AC6">
      <w:pPr>
        <w:pStyle w:val="BodyText"/>
      </w:pPr>
      <w:r>
        <w:t xml:space="preserve">The same partitioned formula covers </w:t>
      </w:r>
      <w:r w:rsidR="00ED0F7F">
        <w:t xml:space="preserve">the </w:t>
      </w:r>
      <w:r>
        <w:t xml:space="preserve">prediction of observed components—with </w:t>
      </w:r>
      <m:oMath>
        <m:sSub>
          <m:sSubPr>
            <m:ctrlPr>
              <w:rPr>
                <w:rFonts w:ascii="Cambria Math" w:hAnsi="Cambria Math"/>
              </w:rPr>
            </m:ctrlPr>
          </m:sSubPr>
          <m:e>
            <m:r>
              <w:rPr>
                <w:rFonts w:ascii="Cambria Math" w:hAnsi="Cambria Math"/>
              </w:rPr>
              <m:t>C</m:t>
            </m:r>
          </m:e>
          <m:sub>
            <m:r>
              <m:rPr>
                <m:nor/>
              </m:rPr>
              <m:t>oo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io</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oMath>
      <w:r>
        <w:t xml:space="preserve">, the relevant diagonal block of </w:t>
      </w:r>
      <m:oMath>
        <m:r>
          <w:rPr>
            <w:rFonts w:ascii="Cambria Math" w:hAnsi="Cambria Math"/>
          </w:rPr>
          <m:t>G</m:t>
        </m:r>
      </m:oMath>
      <w:r>
        <w:t xml:space="preserve"> in the standard model—so that a single conditional-prediction expression</w:t>
      </w:r>
    </w:p>
    <w:p w14:paraId="247E63DB"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io</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oo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C" w14:textId="77777777" w:rsidR="008E4EBD" w:rsidRDefault="00483AC6">
      <w:pPr>
        <w:pStyle w:val="BodyText"/>
      </w:pPr>
      <w:r>
        <w:t>unifies the balanced and unbalanced cases. Ybarra and Lohr (2008) develop related ideas for the case in which the auxiliary variables themselves are measured with error; the common thread is that all such predictors are conditional expectations (under normality) computed from a joint covariance model, and they inherit their validity from that model.</w:t>
      </w:r>
    </w:p>
    <w:p w14:paraId="247E63DD" w14:textId="77777777" w:rsidR="008E4EBD" w:rsidRDefault="00483AC6">
      <w:pPr>
        <w:pStyle w:val="BodyText"/>
      </w:pPr>
      <w:r>
        <w:t xml:space="preserve">Finally, consider an area with no direct estimates in </w:t>
      </w:r>
      <w:r>
        <w:rPr>
          <w:i/>
        </w:rPr>
        <w:t>any</w:t>
      </w:r>
      <w:r>
        <w:t xml:space="preserve"> year. If the model links areas only through the common </w:t>
      </w:r>
      <m:oMath>
        <m:r>
          <w:rPr>
            <w:rFonts w:ascii="Cambria Math" w:hAnsi="Cambria Math"/>
          </w:rPr>
          <m:t>β</m:t>
        </m:r>
      </m:oMath>
      <w:r>
        <w:t xml:space="preserve"> and the within-area covariance </w:t>
      </w:r>
      <m:oMath>
        <m:r>
          <w:rPr>
            <w:rFonts w:ascii="Cambria Math" w:hAnsi="Cambria Math"/>
          </w:rPr>
          <m:t>G</m:t>
        </m:r>
      </m:oMath>
      <w:r>
        <w:t xml:space="preserve">, then </w:t>
      </w:r>
      <m:oMath>
        <m:sSub>
          <m:sSubPr>
            <m:ctrlPr>
              <w:rPr>
                <w:rFonts w:ascii="Cambria Math" w:hAnsi="Cambria Math"/>
              </w:rPr>
            </m:ctrlPr>
          </m:sSubPr>
          <m:e>
            <m:r>
              <w:rPr>
                <w:rFonts w:ascii="Cambria Math" w:hAnsi="Cambria Math"/>
              </w:rPr>
              <m:t>y</m:t>
            </m:r>
          </m:e>
          <m:sub>
            <m:r>
              <m:rPr>
                <m:nor/>
              </m:rPr>
              <m:t>io</m:t>
            </m:r>
          </m:sub>
        </m:sSub>
      </m:oMath>
      <w:r>
        <w:t xml:space="preserve"> is empty, the covariance adjustment disappears, and the MFH predictor degenerates to the synthetic prediction</w:t>
      </w:r>
    </w:p>
    <w:p w14:paraId="247E63DE"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F" w14:textId="77777777" w:rsidR="008E4EBD" w:rsidRDefault="00483AC6">
      <w:pPr>
        <w:pStyle w:val="BodyText"/>
      </w:pPr>
      <w:r>
        <w:t xml:space="preserve">If, however, the model includes spatial or spatio-temporal correlation across areas, even an area with no direct estimates may be connected to observed neighboring areas. Defining </w:t>
      </w:r>
      <m:oMath>
        <m:sSub>
          <m:sSubPr>
            <m:ctrlPr>
              <w:rPr>
                <w:rFonts w:ascii="Cambria Math" w:hAnsi="Cambria Math"/>
              </w:rPr>
            </m:ctrlPr>
          </m:sSubPr>
          <m:e>
            <m:r>
              <w:rPr>
                <w:rFonts w:ascii="Cambria Math" w:hAnsi="Cambria Math"/>
              </w:rPr>
              <m:t>y</m:t>
            </m:r>
          </m:e>
          <m:sub>
            <m:r>
              <w:rPr>
                <w:rFonts w:ascii="Cambria Math" w:hAnsi="Cambria Math"/>
              </w:rPr>
              <m:t>o</m:t>
            </m:r>
          </m:sub>
        </m:sSub>
      </m:oMath>
      <w:r>
        <w:t xml:space="preserve"> as the full vector of observed direct estimates across all areas and years, and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as the target vector for missing areas or area-years, the general MFH/spatial BLUP is</w:t>
      </w:r>
    </w:p>
    <w:p w14:paraId="247E63E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E1" w14:textId="77777777" w:rsidR="008E4EBD" w:rsidRDefault="00483AC6">
      <w:pPr>
        <w:pStyle w:val="BodyText"/>
      </w:pPr>
      <w:r>
        <w:t xml:space="preserve">This formula makes transparent when prediction beyond the synthetic level is possible: if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)=0</m:t>
        </m:r>
      </m:oMath>
      <w:r>
        <w:t>, the predictor is synthetic, and no reweighting can change that; if the covariance is nonzero because of temporal or spatial structure, the model can borrow strength from observed areas and years, provided—as always—that the covariance structure is correctly specified and estimable.</w:t>
      </w:r>
    </w:p>
    <w:p w14:paraId="247E63E2" w14:textId="77777777" w:rsidR="008E4EBD" w:rsidRDefault="00483AC6">
      <w:pPr>
        <w:pStyle w:val="Heading1"/>
      </w:pPr>
      <w:bookmarkStart w:id="14" w:name="monte-carlo-evidence"/>
      <w:r>
        <w:t>11. Monte Carlo evidence</w:t>
      </w:r>
      <w:bookmarkEnd w:id="14"/>
    </w:p>
    <w:p w14:paraId="247E63E3" w14:textId="26226BD4" w:rsidR="008E4EBD" w:rsidRDefault="00483AC6">
      <w:pPr>
        <w:pStyle w:val="FirstParagraph"/>
      </w:pPr>
      <w:r>
        <w:t xml:space="preserve">We quantify the practical stakes with a simulation experiment designed to mirror the situations discussed above. The design separates the two sources of covariance that define the BLUP: the covariance of the realized area effects, which in practice must be modeled, and the covariance of the sampling errors, which may be known or estimable from the survey design. </w:t>
      </w:r>
      <w:r w:rsidR="00ED0F7F">
        <w:t xml:space="preserve">Each comparison below isolates the role of one or both </w:t>
      </w:r>
      <w:r>
        <w:t>components.</w:t>
      </w:r>
    </w:p>
    <w:p w14:paraId="247E63E4" w14:textId="77777777" w:rsidR="008E4EBD" w:rsidRDefault="00483AC6">
      <w:pPr>
        <w:pStyle w:val="Heading2"/>
      </w:pPr>
      <w:bookmarkStart w:id="15" w:name="why-sampling-error-covariance-matters"/>
      <w:r>
        <w:lastRenderedPageBreak/>
        <w:t>11.1. Why sampling-error covariance matters</w:t>
      </w:r>
      <w:bookmarkEnd w:id="15"/>
    </w:p>
    <w:p w14:paraId="247E63E5" w14:textId="6AB52D37" w:rsidR="008E4EBD" w:rsidRDefault="00483AC6">
      <w:pPr>
        <w:pStyle w:val="FirstParagraph"/>
      </w:pPr>
      <w:r>
        <w:t xml:space="preserve">Before describing the design, it is worth stating precisely why the covariance of the sampling errors matters at all, given that </w:t>
      </w:r>
      <w:r w:rsidR="00ED0F7F">
        <w:t>sampling errors are</w:t>
      </w:r>
      <w:r>
        <w:t xml:space="preserve"> not part of the prediction target. For a balanced area </w:t>
      </w:r>
      <m:oMath>
        <m:r>
          <w:rPr>
            <w:rFonts w:ascii="Cambria Math" w:hAnsi="Cambria Math"/>
          </w:rPr>
          <m:t>i</m:t>
        </m:r>
      </m:oMath>
      <w:r>
        <w:t xml:space="preserve"> with target</w:t>
      </w:r>
    </w:p>
    <w:p w14:paraId="247E63E6"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247E63E7" w14:textId="77777777" w:rsidR="008E4EBD" w:rsidRDefault="00483AC6">
      <w:pPr>
        <w:pStyle w:val="BodyText"/>
      </w:pPr>
      <w:r>
        <w:t>the true BLUP under the MFH model of Section 9 is</w:t>
      </w:r>
    </w:p>
    <w:p w14:paraId="247E63E8"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r>
            <w:rPr>
              <w:rFonts w:ascii="Cambria Math" w:hAnsi="Cambria Math"/>
            </w:rPr>
            <m:t>G</m:t>
          </m:r>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oMath>
      </m:oMathPara>
    </w:p>
    <w:p w14:paraId="247E63E9" w14:textId="77777777" w:rsidR="008E4EBD" w:rsidRDefault="00483AC6">
      <w:pPr>
        <w:pStyle w:val="BodyText"/>
      </w:pPr>
      <w:r>
        <w:t xml:space="preserve">The target excludes the sampling error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indeed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never appears in the cross-covariance term: with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independent,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G</m:t>
        </m:r>
      </m:oMath>
      <w:r>
        <w:t xml:space="preserve"> regardless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But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enters the predictor all the same, because it enters the variance of the data,</w:t>
      </w:r>
    </w:p>
    <w:p w14:paraId="247E63EA"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247E63EB" w14:textId="77777777" w:rsidR="008E4EBD" w:rsidRDefault="00483AC6">
      <w:pPr>
        <w:pStyle w:val="BodyText"/>
      </w:pPr>
      <w:r>
        <w:t xml:space="preserve">Ignoring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changes the inverse matrix </w:t>
      </w:r>
      <m:oMath>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and therefore changes the prediction weights assigned to </w:t>
      </w:r>
      <w:r>
        <w:rPr>
          <w:i/>
        </w:rPr>
        <w:t>every</w:t>
      </w:r>
      <w:r>
        <w:t xml:space="preserve"> direct estimate in the vector. This is why assuming zero autocorrelation of sampling errors is not innocuous: the assumption operates on the weighting matrix even though it never touches the target.</w:t>
      </w:r>
    </w:p>
    <w:p w14:paraId="247E63EC" w14:textId="77777777" w:rsidR="008E4EBD" w:rsidRDefault="00483AC6">
      <w:pPr>
        <w:pStyle w:val="BodyText"/>
      </w:pPr>
      <w:r>
        <w:t xml:space="preserve">Two further consequences follow and are verified in the simulation. First, for </w:t>
      </w:r>
      <w:r>
        <w:rPr>
          <w:i/>
        </w:rPr>
        <w:t>observed</w:t>
      </w:r>
      <w:r>
        <w:t xml:space="preserve"> area-years, autocorrelated sampling errors are a genuine source of information even when the area effects are independent over time.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&gt;0</m:t>
        </m:r>
      </m:oMath>
      <w:r>
        <w:t xml:space="preserve">, the direct estimates from adjacent years are informative about the sampling error embedded in the current year’s direct estimate, and the true BLUP uses them to partially remove it; a working model with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cannot. Worse, when </w:t>
      </w:r>
      <m:oMath>
        <m:r>
          <w:rPr>
            <w:rFonts w:ascii="Cambria Math" w:hAnsi="Cambria Math"/>
          </w:rPr>
          <m:t>G</m:t>
        </m:r>
      </m:oMath>
      <w:r>
        <w:t xml:space="preserve"> is estimated, a working model with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misattributes the observed cross-year correlation of the residuals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to the area effects, distorting both </w:t>
      </w:r>
      <m:oMath>
        <m:acc>
          <m:accPr>
            <m:ctrlPr>
              <w:rPr>
                <w:rFonts w:ascii="Cambria Math" w:hAnsi="Cambria Math"/>
              </w:rPr>
            </m:ctrlPr>
          </m:accPr>
          <m:e>
            <m:r>
              <w:rPr>
                <w:rFonts w:ascii="Cambria Math" w:hAnsi="Cambria Math"/>
              </w:rPr>
              <m:t>G</m:t>
            </m:r>
          </m:e>
        </m:acc>
      </m:oMath>
      <w:r>
        <w:t xml:space="preserve"> and the weights built from it. Second, for </w:t>
      </w:r>
      <w:r>
        <w:rPr>
          <w:i/>
        </w:rPr>
        <w:t>missing</w:t>
      </w:r>
      <w:r>
        <w:t xml:space="preserve"> area-years, autocorrelated sampling errors alone create no information about the missing target: in the partitioned predictor of Section 10, </w:t>
      </w: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oMath>
      <w:r>
        <w:t xml:space="preserve"> does not involve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so if the area effects are independent over time (</w:t>
      </w:r>
      <m:oMath>
        <m:sSub>
          <m:sSubPr>
            <m:ctrlPr>
              <w:rPr>
                <w:rFonts w:ascii="Cambria Math" w:hAnsi="Cambria Math"/>
              </w:rPr>
            </m:ctrlPr>
          </m:sSubPr>
          <m:e>
            <m:r>
              <w:rPr>
                <w:rFonts w:ascii="Cambria Math" w:hAnsi="Cambria Math"/>
              </w:rPr>
              <m:t>G</m:t>
            </m:r>
          </m:e>
          <m:sub>
            <m:r>
              <m:rPr>
                <m:nor/>
              </m:rPr>
              <m:t>mo</m:t>
            </m:r>
          </m:sub>
        </m:sSub>
        <m:r>
          <w:rPr>
            <w:rFonts w:ascii="Cambria Math" w:hAnsi="Cambria Math"/>
          </w:rPr>
          <m:t>=0</m:t>
        </m:r>
      </m:oMath>
      <w:r>
        <w:t xml:space="preserve">) the true BLUP for a missing area-year is synthetic no matter how strongly the sampling errors are correlated. The sampling errors are not part of the target, and with </w:t>
      </w:r>
      <m:oMath>
        <m:sSub>
          <m:sSubPr>
            <m:ctrlPr>
              <w:rPr>
                <w:rFonts w:ascii="Cambria Math" w:hAnsi="Cambria Math"/>
              </w:rPr>
            </m:ctrlPr>
          </m:sSubPr>
          <m:e>
            <m:r>
              <w:rPr>
                <w:rFonts w:ascii="Cambria Math" w:hAnsi="Cambria Math"/>
              </w:rPr>
              <m:t>G</m:t>
            </m:r>
          </m:e>
          <m:sub>
            <m:r>
              <m:rPr>
                <m:nor/>
              </m:rPr>
              <m:t>mo</m:t>
            </m:r>
          </m:sub>
        </m:sSub>
        <m:r>
          <w:rPr>
            <w:rFonts w:ascii="Cambria Math" w:hAnsi="Cambria Math"/>
          </w:rPr>
          <m:t>=0</m:t>
        </m:r>
      </m:oMath>
      <w:r>
        <w:t xml:space="preserve"> the observed direct estimates carry no signal about the missing realized effect. When the area effects </w:t>
      </w:r>
      <w:r>
        <w:rPr>
          <w:i/>
        </w:rPr>
        <w:t>are</w:t>
      </w:r>
      <w:r>
        <w:t xml:space="preserve"> temporally correlated, however, observed years are informative, and ignoring sampling-error autocorrelation still produces wrong conditional-prediction weights because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is misspecified.</w:t>
      </w:r>
    </w:p>
    <w:p w14:paraId="247E63ED" w14:textId="77777777" w:rsidR="008E4EBD" w:rsidRDefault="00483AC6">
      <w:pPr>
        <w:pStyle w:val="Heading2"/>
      </w:pPr>
      <w:bookmarkStart w:id="16" w:name="design"/>
      <w:r>
        <w:t>11.2. Design</w:t>
      </w:r>
      <w:bookmarkEnd w:id="16"/>
    </w:p>
    <w:p w14:paraId="247E63EE" w14:textId="77777777" w:rsidR="008E4EBD" w:rsidRDefault="00483AC6">
      <w:pPr>
        <w:pStyle w:val="FirstParagraph"/>
      </w:pPr>
      <w:r>
        <w:t xml:space="preserve">Data are generated from a multivariate area-level model with </w:t>
      </w:r>
      <m:oMath>
        <m:r>
          <w:rPr>
            <w:rFonts w:ascii="Cambria Math" w:hAnsi="Cambria Math"/>
          </w:rPr>
          <m:t>m</m:t>
        </m:r>
        <m:r>
          <w:rPr>
            <w:rFonts w:ascii="Cambria Math" w:hAnsi="Cambria Math"/>
          </w:rPr>
          <m:t>=100</m:t>
        </m:r>
      </m:oMath>
      <w:r>
        <w:t xml:space="preserve"> areas and </w:t>
      </w:r>
      <m:oMath>
        <m:r>
          <w:rPr>
            <w:rFonts w:ascii="Cambria Math" w:hAnsi="Cambria Math"/>
          </w:rPr>
          <m:t>T</m:t>
        </m:r>
        <m:r>
          <w:rPr>
            <w:rFonts w:ascii="Cambria Math" w:hAnsi="Cambria Math"/>
          </w:rPr>
          <m:t>=3</m:t>
        </m:r>
      </m:oMath>
      <w:r>
        <w:t xml:space="preserve"> periods:</w:t>
      </w:r>
    </w:p>
    <w:p w14:paraId="247E63E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3F0" w14:textId="77777777" w:rsidR="008E4EBD" w:rsidRDefault="00483AC6">
      <w:pPr>
        <w:pStyle w:val="BodyText"/>
      </w:pPr>
      <w:r>
        <w:t xml:space="preserve">with </w:t>
      </w:r>
      <m:oMath>
        <m:r>
          <w:rPr>
            <w:rFonts w:ascii="Cambria Math" w:hAnsi="Cambria Math"/>
          </w:rPr>
          <m:t>β</m:t>
        </m:r>
        <m:r>
          <w:rPr>
            <w:rFonts w:ascii="Cambria Math" w:hAnsi="Cambria Math"/>
          </w:rPr>
          <m:t>=(1,2)'</m:t>
        </m:r>
      </m:oMath>
      <w:r>
        <w:t xml:space="preserve">, a single auxiliary variable </w:t>
      </w:r>
      <m:oMath>
        <m:sSub>
          <m:sSubPr>
            <m:ctrlPr>
              <w:rPr>
                <w:rFonts w:ascii="Cambria Math" w:hAnsi="Cambria Math"/>
              </w:rPr>
            </m:ctrlPr>
          </m:sSubPr>
          <m:e>
            <m:r>
              <w:rPr>
                <w:rFonts w:ascii="Cambria Math" w:hAnsi="Cambria Math"/>
              </w:rPr>
              <m:t>z</m:t>
            </m:r>
          </m:e>
          <m:sub>
            <m:r>
              <m:rPr>
                <m:nor/>
              </m:rPr>
              <m:t>it</m:t>
            </m:r>
          </m:sub>
        </m:sSub>
      </m:oMath>
      <w:r>
        <w:t xml:space="preserve"> drawn once from the uniform distribution on </w:t>
      </w:r>
      <m:oMath>
        <m:r>
          <w:rPr>
            <w:rFonts w:ascii="Cambria Math" w:hAnsi="Cambria Math"/>
          </w:rPr>
          <m:t>(0,1)</m:t>
        </m:r>
      </m:oMath>
      <w:r>
        <w:t xml:space="preserve"> and held fixed across replications. Both covariance matrices have first-order autoregressive (AR(1)) correlation structure. The area-effect covariance is</w:t>
      </w:r>
    </w:p>
    <w:p w14:paraId="247E63F1" w14:textId="77777777" w:rsidR="008E4EBD" w:rsidRDefault="00483AC6">
      <w:pPr>
        <w:pStyle w:val="BodyText"/>
        <w:spacing w:before="0" w:after="160" w:line="240" w:lineRule="atLeast"/>
        <w:jc w:val="center"/>
      </w:pPr>
      <m:oMathPara>
        <m:oMathParaPr>
          <m:jc m:val="center"/>
        </m:oMathParaPr>
        <m:oMath>
          <m:r>
            <w:rPr>
              <w:rFonts w:ascii="Cambria Math" w:hAnsi="Cambria Math"/>
            </w:rPr>
            <w:lastRenderedPageBreak/>
            <m:t>G</m:t>
          </m:r>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u</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,  </m:t>
          </m:r>
          <m:r>
            <w:rPr>
              <w:rFonts w:ascii="Cambria Math" w:hAnsi="Cambria Math"/>
            </w:rPr>
            <m:t>A</m:t>
          </m:r>
          <m:r>
            <w:rPr>
              <w:rFonts w:ascii="Cambria Math" w:hAnsi="Cambria Math"/>
            </w:rPr>
            <m:t>=1,</m:t>
          </m:r>
        </m:oMath>
      </m:oMathPara>
    </w:p>
    <w:p w14:paraId="247E63F2" w14:textId="77777777" w:rsidR="008E4EBD" w:rsidRDefault="00483AC6">
      <w:pPr>
        <w:pStyle w:val="BodyText"/>
      </w:pPr>
      <w:r>
        <w:t>and the sampling-error covariance is</w:t>
      </w:r>
    </w:p>
    <w:p w14:paraId="247E63F3"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m:rPr>
                  <m:nor/>
                </m:rPr>
                <m:t>iT</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m:t>
          </m:r>
        </m:oMath>
      </m:oMathPara>
    </w:p>
    <w:p w14:paraId="247E63F4" w14:textId="77777777" w:rsidR="008E4EBD" w:rsidRDefault="00483AC6">
      <w:pPr>
        <w:pStyle w:val="BodyText"/>
      </w:pPr>
      <w:r>
        <w:t xml:space="preserve">where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are drawn once from the uniform distribution on </w:t>
      </w:r>
      <m:oMath>
        <m:r>
          <w:rPr>
            <w:rFonts w:ascii="Cambria Math" w:hAnsi="Cambria Math"/>
          </w:rPr>
          <m:t>(0.5,1.5)</m:t>
        </m:r>
      </m:oMath>
      <w:r>
        <w:t xml:space="preserve"> and treated as known. The target in every cell is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z</m:t>
            </m:r>
          </m:e>
          <m:sub>
            <m:r>
              <m:rPr>
                <m:nor/>
              </m:rPr>
              <m:t>it</m:t>
            </m:r>
          </m:sub>
        </m:sSub>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 In each replication, a randomly chosen 20 percent of areas have their final-period direct estimate deleted, creating missing area-years. We use 500 Monte Carlo replications per scenario.</w:t>
      </w:r>
    </w:p>
    <w:p w14:paraId="247E63F5" w14:textId="77777777" w:rsidR="008E4EBD" w:rsidRDefault="00483AC6">
      <w:pPr>
        <w:pStyle w:val="BodyText"/>
      </w:pPr>
      <w:r>
        <w:t>The scenarios form three groups that cross the two autocorrelations:</w:t>
      </w:r>
    </w:p>
    <w:p w14:paraId="247E63F6" w14:textId="77777777" w:rsidR="008E4EBD" w:rsidRDefault="00483AC6">
      <w:pPr>
        <w:numPr>
          <w:ilvl w:val="0"/>
          <w:numId w:val="2"/>
        </w:numPr>
      </w:pPr>
      <w:r>
        <w:rPr>
          <w:b/>
        </w:rPr>
        <w:t>Group A (sampling-error autocorrelation only):</w:t>
      </w:r>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∈{0, 0.4, 0.8}</m:t>
        </m:r>
      </m:oMath>
      <w:r>
        <w:t>. This isolates the effect of autocorrelated sampling errors.</w:t>
      </w:r>
    </w:p>
    <w:p w14:paraId="247E63F7" w14:textId="77777777" w:rsidR="008E4EBD" w:rsidRDefault="00483AC6">
      <w:pPr>
        <w:numPr>
          <w:ilvl w:val="0"/>
          <w:numId w:val="2"/>
        </w:numPr>
      </w:pPr>
      <w:r>
        <w:rPr>
          <w:b/>
        </w:rPr>
        <w:t>Group B (area-effect autocorrelation only):</w:t>
      </w:r>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∈{0.4, 0.8}</m:t>
        </m:r>
      </m:oMath>
      <w:r>
        <w:t>. This is the classical time-model setting in which only the area effects are dependent; it shows the gains from MFH when the realized area effects are persistent.</w:t>
      </w:r>
    </w:p>
    <w:p w14:paraId="247E63F8" w14:textId="77777777" w:rsidR="008E4EBD" w:rsidRDefault="00483AC6">
      <w:pPr>
        <w:numPr>
          <w:ilvl w:val="0"/>
          <w:numId w:val="2"/>
        </w:numPr>
      </w:pPr>
      <w:r>
        <w:rPr>
          <w:b/>
        </w:rPr>
        <w:t>Group C (both):</w:t>
      </w:r>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∈{0.4, 0.8}</m:t>
        </m:r>
      </m:oMath>
      <w:r>
        <w:t xml:space="preserve"> crossed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∈{0.4, 0.8}</m:t>
        </m:r>
      </m:oMath>
      <w:r>
        <w:t>. This is the most realistic case for repeated surveys with overlapping samples.</w:t>
      </w:r>
    </w:p>
    <w:p w14:paraId="247E63F9" w14:textId="77777777" w:rsidR="008E4EBD" w:rsidRDefault="00483AC6">
      <w:pPr>
        <w:pStyle w:val="FirstParagraph"/>
      </w:pPr>
      <w:r>
        <w:t>Five predictors are compared. (i) The synthetic predictor θ_it^SYN = x_it'β_UFH, where β_UFH is estimated from the pooled UFH fit. For missing area-years this is the feasible UFH prediction; it is not the same object as the oracle benchmark, which uses the true β. (ii) The UFH EBLUP, fitted by pooling all observed area-years as a univariate FH model with A estimated by the Fay–Herriot moment method; UFH uses only the same area-year direct estimate and sets all cross-year covariance, in both G and D_i, to ze</w:t>
      </w:r>
      <w:r>
        <w:t>ro. (iii) The MFH EBLUP with diagonal sampling-error covariance (MFH-diag), which estimates the area-effect covariance G = A R_u(ρ_u) by maximum likelihood but incorrectly assumes D_i = S_i. This estimator is included because moving to MFH is not, by itself, enough: it models the covariance of the area effects while assuming away the covariance of the sampling errors. (iv) The MFH EBLUP with correct sampling-error covariance (MFH-full), which estimates G by maximum likelihood while using the true D_i, inclu</w:t>
      </w:r>
      <w:r>
        <w:t>ding its off-diagonal terms, as known, reflecting the case in which the sampling-error covariance is available from the survey design. This is the feasible benchmark. (v) The oracle BLUP, computed with the true β, G, and D_i; this is the unattainable benchmark. For missing area-years, the MFH variants use the partitioned conditional predictor of Section 10 with their respective working covariance matrices. Empirical MSEs are averaged over cells and replications; observed-cell results are computed on areas w</w:t>
      </w:r>
      <w:r>
        <w:t>ith complete data so that the comparison is not contaminated by the missingness mechanism.</w:t>
      </w:r>
    </w:p>
    <w:p w14:paraId="247E63FA" w14:textId="77777777" w:rsidR="008E4EBD" w:rsidRDefault="00483AC6">
      <w:pPr>
        <w:pStyle w:val="Heading2"/>
      </w:pPr>
      <w:bookmarkStart w:id="17" w:name="results-for-observed-area-years"/>
      <w:r>
        <w:t>11.3. Results for observed area-years</w:t>
      </w:r>
      <w:bookmarkEnd w:id="17"/>
    </w:p>
    <w:p w14:paraId="247E63FB" w14:textId="77777777" w:rsidR="008E4EBD" w:rsidRDefault="00483AC6">
      <w:pPr>
        <w:pStyle w:val="FirstParagraph"/>
      </w:pPr>
      <w:r>
        <w:t>Table 1 reports empirical MSEs for observed area-years across all nine scenarios. The results are best read group by group, asking in each case which predictors converge toward the oracle BLUP and which converge only to the BLUP under a misspecified working covariance.</w:t>
      </w:r>
    </w:p>
    <w:p w14:paraId="247E63FC" w14:textId="77777777" w:rsidR="008E4EBD" w:rsidRDefault="00483AC6">
      <w:pPr>
        <w:pStyle w:val="BodyText"/>
      </w:pPr>
      <w:r>
        <w:lastRenderedPageBreak/>
        <w:t>Table 1—Empirical MSE of Predictors for Observed Area-Years (500 Replications, m = 100, T = 3, A = 1)</w:t>
      </w:r>
    </w:p>
    <w:tbl>
      <w:tblPr>
        <w:tblStyle w:val="Table"/>
        <w:tblW w:w="9026" w:type="dxa"/>
        <w:tblLayout w:type="fixed"/>
        <w:tblLook w:val="07E0" w:firstRow="1" w:lastRow="1" w:firstColumn="1" w:lastColumn="1" w:noHBand="1" w:noVBand="1"/>
      </w:tblPr>
      <w:tblGrid>
        <w:gridCol w:w="957"/>
        <w:gridCol w:w="683"/>
        <w:gridCol w:w="683"/>
        <w:gridCol w:w="1504"/>
        <w:gridCol w:w="957"/>
        <w:gridCol w:w="1367"/>
        <w:gridCol w:w="1367"/>
        <w:gridCol w:w="1508"/>
      </w:tblGrid>
      <w:tr w:rsidR="008E4EBD" w14:paraId="247E6405" w14:textId="77777777">
        <w:tc>
          <w:tcPr>
            <w:tcW w:w="957" w:type="dxa"/>
            <w:tcBorders>
              <w:top w:val="single" w:sz="12" w:space="0" w:color="auto"/>
              <w:left w:val="nil"/>
              <w:bottom w:val="single" w:sz="4" w:space="0" w:color="auto"/>
              <w:right w:val="nil"/>
            </w:tcBorders>
            <w:vAlign w:val="bottom"/>
          </w:tcPr>
          <w:p w14:paraId="247E63FD" w14:textId="77777777" w:rsidR="008E4EBD" w:rsidRDefault="00483AC6">
            <w:pPr>
              <w:pStyle w:val="Compact"/>
              <w:jc w:val="center"/>
            </w:pPr>
            <w:r>
              <w:rPr>
                <w:b/>
                <w:bCs/>
              </w:rPr>
              <w:t>Group</w:t>
            </w:r>
          </w:p>
        </w:tc>
        <w:tc>
          <w:tcPr>
            <w:tcW w:w="683" w:type="dxa"/>
            <w:tcBorders>
              <w:top w:val="single" w:sz="12" w:space="0" w:color="auto"/>
              <w:left w:val="nil"/>
              <w:bottom w:val="single" w:sz="4" w:space="0" w:color="auto"/>
              <w:right w:val="nil"/>
            </w:tcBorders>
            <w:vAlign w:val="bottom"/>
          </w:tcPr>
          <w:p w14:paraId="247E63FE"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683" w:type="dxa"/>
            <w:tcBorders>
              <w:top w:val="single" w:sz="12" w:space="0" w:color="auto"/>
              <w:left w:val="nil"/>
              <w:bottom w:val="single" w:sz="4" w:space="0" w:color="auto"/>
              <w:right w:val="nil"/>
            </w:tcBorders>
            <w:vAlign w:val="bottom"/>
          </w:tcPr>
          <w:p w14:paraId="247E63FF"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504" w:type="dxa"/>
            <w:tcBorders>
              <w:top w:val="single" w:sz="12" w:space="0" w:color="auto"/>
              <w:left w:val="nil"/>
              <w:bottom w:val="single" w:sz="4" w:space="0" w:color="auto"/>
              <w:right w:val="nil"/>
            </w:tcBorders>
            <w:vAlign w:val="bottom"/>
          </w:tcPr>
          <w:p w14:paraId="247E6400" w14:textId="77777777" w:rsidR="008E4EBD" w:rsidRDefault="00483AC6">
            <w:pPr>
              <w:pStyle w:val="Compact"/>
              <w:jc w:val="center"/>
            </w:pPr>
            <w:r>
              <w:rPr>
                <w:b/>
                <w:bCs/>
              </w:rPr>
              <w:t>Synthetic</w:t>
            </w:r>
          </w:p>
        </w:tc>
        <w:tc>
          <w:tcPr>
            <w:tcW w:w="957" w:type="dxa"/>
            <w:tcBorders>
              <w:top w:val="single" w:sz="12" w:space="0" w:color="auto"/>
              <w:left w:val="nil"/>
              <w:bottom w:val="single" w:sz="4" w:space="0" w:color="auto"/>
              <w:right w:val="nil"/>
            </w:tcBorders>
            <w:vAlign w:val="bottom"/>
          </w:tcPr>
          <w:p w14:paraId="247E6401" w14:textId="77777777" w:rsidR="008E4EBD" w:rsidRDefault="00483AC6">
            <w:pPr>
              <w:pStyle w:val="Compact"/>
              <w:jc w:val="center"/>
            </w:pPr>
            <w:r>
              <w:rPr>
                <w:b/>
                <w:bCs/>
              </w:rPr>
              <w:t>UFH</w:t>
            </w:r>
          </w:p>
        </w:tc>
        <w:tc>
          <w:tcPr>
            <w:tcW w:w="1367" w:type="dxa"/>
            <w:tcBorders>
              <w:top w:val="single" w:sz="12" w:space="0" w:color="auto"/>
              <w:left w:val="nil"/>
              <w:bottom w:val="single" w:sz="4" w:space="0" w:color="auto"/>
              <w:right w:val="nil"/>
            </w:tcBorders>
            <w:vAlign w:val="bottom"/>
          </w:tcPr>
          <w:p w14:paraId="247E6402" w14:textId="77777777" w:rsidR="008E4EBD" w:rsidRDefault="00483AC6">
            <w:pPr>
              <w:pStyle w:val="Compact"/>
              <w:jc w:val="center"/>
            </w:pPr>
            <w:r>
              <w:rPr>
                <w:b/>
                <w:bCs/>
              </w:rPr>
              <w:t>MFH-diag</w:t>
            </w:r>
          </w:p>
        </w:tc>
        <w:tc>
          <w:tcPr>
            <w:tcW w:w="1367" w:type="dxa"/>
            <w:tcBorders>
              <w:top w:val="single" w:sz="12" w:space="0" w:color="auto"/>
              <w:left w:val="nil"/>
              <w:bottom w:val="single" w:sz="4" w:space="0" w:color="auto"/>
              <w:right w:val="nil"/>
            </w:tcBorders>
            <w:vAlign w:val="bottom"/>
          </w:tcPr>
          <w:p w14:paraId="247E6403" w14:textId="77777777" w:rsidR="008E4EBD" w:rsidRDefault="00483AC6">
            <w:pPr>
              <w:pStyle w:val="Compact"/>
              <w:jc w:val="center"/>
            </w:pPr>
            <w:r>
              <w:rPr>
                <w:b/>
                <w:bCs/>
              </w:rPr>
              <w:t>MFH-full</w:t>
            </w:r>
          </w:p>
        </w:tc>
        <w:tc>
          <w:tcPr>
            <w:tcW w:w="1508" w:type="dxa"/>
            <w:tcBorders>
              <w:top w:val="single" w:sz="12" w:space="0" w:color="auto"/>
              <w:left w:val="nil"/>
              <w:bottom w:val="single" w:sz="4" w:space="0" w:color="auto"/>
              <w:right w:val="nil"/>
            </w:tcBorders>
            <w:vAlign w:val="bottom"/>
          </w:tcPr>
          <w:p w14:paraId="247E6404" w14:textId="77777777" w:rsidR="008E4EBD" w:rsidRDefault="00483AC6">
            <w:pPr>
              <w:pStyle w:val="Compact"/>
              <w:jc w:val="center"/>
            </w:pPr>
            <w:r>
              <w:rPr>
                <w:b/>
                <w:bCs/>
              </w:rPr>
              <w:t>Oracle BLUP</w:t>
            </w:r>
          </w:p>
        </w:tc>
      </w:tr>
      <w:tr w:rsidR="008E4EBD" w14:paraId="247E640E" w14:textId="77777777">
        <w:tc>
          <w:tcPr>
            <w:tcW w:w="957" w:type="dxa"/>
            <w:tcBorders>
              <w:top w:val="nil"/>
              <w:left w:val="nil"/>
              <w:bottom w:val="nil"/>
              <w:right w:val="nil"/>
            </w:tcBorders>
          </w:tcPr>
          <w:p w14:paraId="247E6406" w14:textId="77777777" w:rsidR="008E4EBD" w:rsidRDefault="00483AC6">
            <w:pPr>
              <w:pStyle w:val="Compact"/>
              <w:jc w:val="center"/>
            </w:pPr>
            <w:r>
              <w:t>—</w:t>
            </w:r>
          </w:p>
        </w:tc>
        <w:tc>
          <w:tcPr>
            <w:tcW w:w="683" w:type="dxa"/>
            <w:tcBorders>
              <w:top w:val="nil"/>
              <w:left w:val="nil"/>
              <w:bottom w:val="nil"/>
              <w:right w:val="nil"/>
            </w:tcBorders>
          </w:tcPr>
          <w:p w14:paraId="247E6407" w14:textId="77777777" w:rsidR="008E4EBD" w:rsidRDefault="00483AC6">
            <w:pPr>
              <w:pStyle w:val="Compact"/>
              <w:jc w:val="center"/>
            </w:pPr>
            <w:r>
              <w:t>0.0</w:t>
            </w:r>
          </w:p>
        </w:tc>
        <w:tc>
          <w:tcPr>
            <w:tcW w:w="683" w:type="dxa"/>
            <w:tcBorders>
              <w:top w:val="nil"/>
              <w:left w:val="nil"/>
              <w:bottom w:val="nil"/>
              <w:right w:val="nil"/>
            </w:tcBorders>
          </w:tcPr>
          <w:p w14:paraId="247E6408" w14:textId="77777777" w:rsidR="008E4EBD" w:rsidRDefault="00483AC6">
            <w:pPr>
              <w:pStyle w:val="Compact"/>
              <w:jc w:val="center"/>
            </w:pPr>
            <w:r>
              <w:t>0.0</w:t>
            </w:r>
          </w:p>
        </w:tc>
        <w:tc>
          <w:tcPr>
            <w:tcW w:w="1504" w:type="dxa"/>
            <w:tcBorders>
              <w:top w:val="nil"/>
              <w:left w:val="nil"/>
              <w:bottom w:val="nil"/>
              <w:right w:val="nil"/>
            </w:tcBorders>
          </w:tcPr>
          <w:p w14:paraId="247E6409" w14:textId="77777777" w:rsidR="008E4EBD" w:rsidRDefault="00483AC6">
            <w:pPr>
              <w:pStyle w:val="Compact"/>
              <w:jc w:val="center"/>
            </w:pPr>
            <w:r>
              <w:t>1.005</w:t>
            </w:r>
          </w:p>
        </w:tc>
        <w:tc>
          <w:tcPr>
            <w:tcW w:w="957" w:type="dxa"/>
            <w:tcBorders>
              <w:top w:val="nil"/>
              <w:left w:val="nil"/>
              <w:bottom w:val="nil"/>
              <w:right w:val="nil"/>
            </w:tcBorders>
          </w:tcPr>
          <w:p w14:paraId="247E640A" w14:textId="77777777" w:rsidR="008E4EBD" w:rsidRDefault="00483AC6">
            <w:pPr>
              <w:pStyle w:val="Compact"/>
              <w:jc w:val="center"/>
            </w:pPr>
            <w:r>
              <w:t>0.496</w:t>
            </w:r>
          </w:p>
        </w:tc>
        <w:tc>
          <w:tcPr>
            <w:tcW w:w="1367" w:type="dxa"/>
            <w:tcBorders>
              <w:top w:val="nil"/>
              <w:left w:val="nil"/>
              <w:bottom w:val="nil"/>
              <w:right w:val="nil"/>
            </w:tcBorders>
          </w:tcPr>
          <w:p w14:paraId="247E640B" w14:textId="77777777" w:rsidR="008E4EBD" w:rsidRDefault="00483AC6">
            <w:pPr>
              <w:pStyle w:val="Compact"/>
              <w:jc w:val="center"/>
            </w:pPr>
            <w:r>
              <w:t>0.501</w:t>
            </w:r>
          </w:p>
        </w:tc>
        <w:tc>
          <w:tcPr>
            <w:tcW w:w="1367" w:type="dxa"/>
            <w:tcBorders>
              <w:top w:val="nil"/>
              <w:left w:val="nil"/>
              <w:bottom w:val="nil"/>
              <w:right w:val="nil"/>
            </w:tcBorders>
          </w:tcPr>
          <w:p w14:paraId="247E640C" w14:textId="77777777" w:rsidR="008E4EBD" w:rsidRDefault="00483AC6">
            <w:pPr>
              <w:pStyle w:val="Compact"/>
              <w:jc w:val="center"/>
            </w:pPr>
            <w:r>
              <w:t>0.501</w:t>
            </w:r>
          </w:p>
        </w:tc>
        <w:tc>
          <w:tcPr>
            <w:tcW w:w="1508" w:type="dxa"/>
            <w:tcBorders>
              <w:top w:val="nil"/>
              <w:left w:val="nil"/>
              <w:bottom w:val="nil"/>
              <w:right w:val="nil"/>
            </w:tcBorders>
          </w:tcPr>
          <w:p w14:paraId="247E640D" w14:textId="77777777" w:rsidR="008E4EBD" w:rsidRDefault="00483AC6">
            <w:pPr>
              <w:pStyle w:val="Compact"/>
              <w:jc w:val="center"/>
            </w:pPr>
            <w:r>
              <w:t>0.489</w:t>
            </w:r>
          </w:p>
        </w:tc>
      </w:tr>
      <w:tr w:rsidR="008E4EBD" w14:paraId="247E6417" w14:textId="77777777">
        <w:tc>
          <w:tcPr>
            <w:tcW w:w="957" w:type="dxa"/>
            <w:tcBorders>
              <w:top w:val="nil"/>
              <w:left w:val="nil"/>
              <w:bottom w:val="nil"/>
              <w:right w:val="nil"/>
            </w:tcBorders>
          </w:tcPr>
          <w:p w14:paraId="247E640F" w14:textId="77777777" w:rsidR="008E4EBD" w:rsidRDefault="00483AC6">
            <w:pPr>
              <w:pStyle w:val="Compact"/>
              <w:jc w:val="center"/>
            </w:pPr>
            <w:r>
              <w:t>A</w:t>
            </w:r>
          </w:p>
        </w:tc>
        <w:tc>
          <w:tcPr>
            <w:tcW w:w="683" w:type="dxa"/>
            <w:tcBorders>
              <w:top w:val="nil"/>
              <w:left w:val="nil"/>
              <w:bottom w:val="nil"/>
              <w:right w:val="nil"/>
            </w:tcBorders>
          </w:tcPr>
          <w:p w14:paraId="247E6410" w14:textId="77777777" w:rsidR="008E4EBD" w:rsidRDefault="00483AC6">
            <w:pPr>
              <w:pStyle w:val="Compact"/>
              <w:jc w:val="center"/>
            </w:pPr>
            <w:r>
              <w:t>0.0</w:t>
            </w:r>
          </w:p>
        </w:tc>
        <w:tc>
          <w:tcPr>
            <w:tcW w:w="683" w:type="dxa"/>
            <w:tcBorders>
              <w:top w:val="nil"/>
              <w:left w:val="nil"/>
              <w:bottom w:val="nil"/>
              <w:right w:val="nil"/>
            </w:tcBorders>
          </w:tcPr>
          <w:p w14:paraId="247E6411" w14:textId="77777777" w:rsidR="008E4EBD" w:rsidRDefault="00483AC6">
            <w:pPr>
              <w:pStyle w:val="Compact"/>
              <w:jc w:val="center"/>
            </w:pPr>
            <w:r>
              <w:t>0.4</w:t>
            </w:r>
          </w:p>
        </w:tc>
        <w:tc>
          <w:tcPr>
            <w:tcW w:w="1504" w:type="dxa"/>
            <w:tcBorders>
              <w:top w:val="nil"/>
              <w:left w:val="nil"/>
              <w:bottom w:val="nil"/>
              <w:right w:val="nil"/>
            </w:tcBorders>
          </w:tcPr>
          <w:p w14:paraId="247E6412" w14:textId="77777777" w:rsidR="008E4EBD" w:rsidRDefault="00483AC6">
            <w:pPr>
              <w:pStyle w:val="Compact"/>
              <w:jc w:val="center"/>
            </w:pPr>
            <w:r>
              <w:t>1.007</w:t>
            </w:r>
          </w:p>
        </w:tc>
        <w:tc>
          <w:tcPr>
            <w:tcW w:w="957" w:type="dxa"/>
            <w:tcBorders>
              <w:top w:val="nil"/>
              <w:left w:val="nil"/>
              <w:bottom w:val="nil"/>
              <w:right w:val="nil"/>
            </w:tcBorders>
          </w:tcPr>
          <w:p w14:paraId="247E6413" w14:textId="77777777" w:rsidR="008E4EBD" w:rsidRDefault="00483AC6">
            <w:pPr>
              <w:pStyle w:val="Compact"/>
              <w:jc w:val="center"/>
            </w:pPr>
            <w:r>
              <w:t>0.498</w:t>
            </w:r>
          </w:p>
        </w:tc>
        <w:tc>
          <w:tcPr>
            <w:tcW w:w="1367" w:type="dxa"/>
            <w:tcBorders>
              <w:top w:val="nil"/>
              <w:left w:val="nil"/>
              <w:bottom w:val="nil"/>
              <w:right w:val="nil"/>
            </w:tcBorders>
          </w:tcPr>
          <w:p w14:paraId="247E6414" w14:textId="77777777" w:rsidR="008E4EBD" w:rsidRDefault="00483AC6">
            <w:pPr>
              <w:pStyle w:val="Compact"/>
              <w:jc w:val="center"/>
            </w:pPr>
            <w:r>
              <w:t>0.575</w:t>
            </w:r>
          </w:p>
        </w:tc>
        <w:tc>
          <w:tcPr>
            <w:tcW w:w="1367" w:type="dxa"/>
            <w:tcBorders>
              <w:top w:val="nil"/>
              <w:left w:val="nil"/>
              <w:bottom w:val="nil"/>
              <w:right w:val="nil"/>
            </w:tcBorders>
          </w:tcPr>
          <w:p w14:paraId="247E6415" w14:textId="77777777" w:rsidR="008E4EBD" w:rsidRDefault="00483AC6">
            <w:pPr>
              <w:pStyle w:val="Compact"/>
              <w:jc w:val="center"/>
            </w:pPr>
            <w:r>
              <w:t>0.475</w:t>
            </w:r>
          </w:p>
        </w:tc>
        <w:tc>
          <w:tcPr>
            <w:tcW w:w="1508" w:type="dxa"/>
            <w:tcBorders>
              <w:top w:val="nil"/>
              <w:left w:val="nil"/>
              <w:bottom w:val="nil"/>
              <w:right w:val="nil"/>
            </w:tcBorders>
          </w:tcPr>
          <w:p w14:paraId="247E6416" w14:textId="77777777" w:rsidR="008E4EBD" w:rsidRDefault="00483AC6">
            <w:pPr>
              <w:pStyle w:val="Compact"/>
              <w:jc w:val="center"/>
            </w:pPr>
            <w:r>
              <w:t>0.461</w:t>
            </w:r>
          </w:p>
        </w:tc>
      </w:tr>
      <w:tr w:rsidR="008E4EBD" w14:paraId="247E6420" w14:textId="77777777">
        <w:tc>
          <w:tcPr>
            <w:tcW w:w="957" w:type="dxa"/>
            <w:tcBorders>
              <w:top w:val="nil"/>
              <w:left w:val="nil"/>
              <w:bottom w:val="nil"/>
              <w:right w:val="nil"/>
            </w:tcBorders>
          </w:tcPr>
          <w:p w14:paraId="247E6418" w14:textId="77777777" w:rsidR="008E4EBD" w:rsidRDefault="00483AC6">
            <w:pPr>
              <w:pStyle w:val="Compact"/>
              <w:jc w:val="center"/>
            </w:pPr>
            <w:r>
              <w:t>A</w:t>
            </w:r>
          </w:p>
        </w:tc>
        <w:tc>
          <w:tcPr>
            <w:tcW w:w="683" w:type="dxa"/>
            <w:tcBorders>
              <w:top w:val="nil"/>
              <w:left w:val="nil"/>
              <w:bottom w:val="nil"/>
              <w:right w:val="nil"/>
            </w:tcBorders>
          </w:tcPr>
          <w:p w14:paraId="247E6419" w14:textId="77777777" w:rsidR="008E4EBD" w:rsidRDefault="00483AC6">
            <w:pPr>
              <w:pStyle w:val="Compact"/>
              <w:jc w:val="center"/>
            </w:pPr>
            <w:r>
              <w:t>0.0</w:t>
            </w:r>
          </w:p>
        </w:tc>
        <w:tc>
          <w:tcPr>
            <w:tcW w:w="683" w:type="dxa"/>
            <w:tcBorders>
              <w:top w:val="nil"/>
              <w:left w:val="nil"/>
              <w:bottom w:val="nil"/>
              <w:right w:val="nil"/>
            </w:tcBorders>
          </w:tcPr>
          <w:p w14:paraId="247E641A" w14:textId="77777777" w:rsidR="008E4EBD" w:rsidRDefault="00483AC6">
            <w:pPr>
              <w:pStyle w:val="Compact"/>
              <w:jc w:val="center"/>
            </w:pPr>
            <w:r>
              <w:t>0.8</w:t>
            </w:r>
          </w:p>
        </w:tc>
        <w:tc>
          <w:tcPr>
            <w:tcW w:w="1504" w:type="dxa"/>
            <w:tcBorders>
              <w:top w:val="nil"/>
              <w:left w:val="nil"/>
              <w:bottom w:val="nil"/>
              <w:right w:val="nil"/>
            </w:tcBorders>
          </w:tcPr>
          <w:p w14:paraId="247E641B" w14:textId="77777777" w:rsidR="008E4EBD" w:rsidRDefault="00483AC6">
            <w:pPr>
              <w:pStyle w:val="Compact"/>
              <w:jc w:val="center"/>
            </w:pPr>
            <w:r>
              <w:t>1.011</w:t>
            </w:r>
          </w:p>
        </w:tc>
        <w:tc>
          <w:tcPr>
            <w:tcW w:w="957" w:type="dxa"/>
            <w:tcBorders>
              <w:top w:val="nil"/>
              <w:left w:val="nil"/>
              <w:bottom w:val="nil"/>
              <w:right w:val="nil"/>
            </w:tcBorders>
          </w:tcPr>
          <w:p w14:paraId="247E641C" w14:textId="77777777" w:rsidR="008E4EBD" w:rsidRDefault="00483AC6">
            <w:pPr>
              <w:pStyle w:val="Compact"/>
              <w:jc w:val="center"/>
            </w:pPr>
            <w:r>
              <w:t>0.502</w:t>
            </w:r>
          </w:p>
        </w:tc>
        <w:tc>
          <w:tcPr>
            <w:tcW w:w="1367" w:type="dxa"/>
            <w:tcBorders>
              <w:top w:val="nil"/>
              <w:left w:val="nil"/>
              <w:bottom w:val="nil"/>
              <w:right w:val="nil"/>
            </w:tcBorders>
          </w:tcPr>
          <w:p w14:paraId="247E641D" w14:textId="77777777" w:rsidR="008E4EBD" w:rsidRDefault="00483AC6">
            <w:pPr>
              <w:pStyle w:val="Compact"/>
              <w:jc w:val="center"/>
            </w:pPr>
            <w:r>
              <w:t>0.833</w:t>
            </w:r>
          </w:p>
        </w:tc>
        <w:tc>
          <w:tcPr>
            <w:tcW w:w="1367" w:type="dxa"/>
            <w:tcBorders>
              <w:top w:val="nil"/>
              <w:left w:val="nil"/>
              <w:bottom w:val="nil"/>
              <w:right w:val="nil"/>
            </w:tcBorders>
          </w:tcPr>
          <w:p w14:paraId="247E641E" w14:textId="77777777" w:rsidR="008E4EBD" w:rsidRDefault="00483AC6">
            <w:pPr>
              <w:pStyle w:val="Compact"/>
              <w:jc w:val="center"/>
            </w:pPr>
            <w:r>
              <w:t>0.376</w:t>
            </w:r>
          </w:p>
        </w:tc>
        <w:tc>
          <w:tcPr>
            <w:tcW w:w="1508" w:type="dxa"/>
            <w:tcBorders>
              <w:top w:val="nil"/>
              <w:left w:val="nil"/>
              <w:bottom w:val="nil"/>
              <w:right w:val="nil"/>
            </w:tcBorders>
          </w:tcPr>
          <w:p w14:paraId="247E641F" w14:textId="77777777" w:rsidR="008E4EBD" w:rsidRDefault="00483AC6">
            <w:pPr>
              <w:pStyle w:val="Compact"/>
              <w:jc w:val="center"/>
            </w:pPr>
            <w:r>
              <w:t>0.361</w:t>
            </w:r>
          </w:p>
        </w:tc>
      </w:tr>
      <w:tr w:rsidR="008E4EBD" w14:paraId="247E6429" w14:textId="77777777">
        <w:tc>
          <w:tcPr>
            <w:tcW w:w="957" w:type="dxa"/>
            <w:tcBorders>
              <w:top w:val="nil"/>
              <w:left w:val="nil"/>
              <w:bottom w:val="nil"/>
              <w:right w:val="nil"/>
            </w:tcBorders>
          </w:tcPr>
          <w:p w14:paraId="247E6421" w14:textId="77777777" w:rsidR="008E4EBD" w:rsidRDefault="00483AC6">
            <w:pPr>
              <w:pStyle w:val="Compact"/>
              <w:jc w:val="center"/>
            </w:pPr>
            <w:r>
              <w:t>B</w:t>
            </w:r>
          </w:p>
        </w:tc>
        <w:tc>
          <w:tcPr>
            <w:tcW w:w="683" w:type="dxa"/>
            <w:tcBorders>
              <w:top w:val="nil"/>
              <w:left w:val="nil"/>
              <w:bottom w:val="nil"/>
              <w:right w:val="nil"/>
            </w:tcBorders>
          </w:tcPr>
          <w:p w14:paraId="247E6422" w14:textId="77777777" w:rsidR="008E4EBD" w:rsidRDefault="00483AC6">
            <w:pPr>
              <w:pStyle w:val="Compact"/>
              <w:jc w:val="center"/>
            </w:pPr>
            <w:r>
              <w:t>0.4</w:t>
            </w:r>
          </w:p>
        </w:tc>
        <w:tc>
          <w:tcPr>
            <w:tcW w:w="683" w:type="dxa"/>
            <w:tcBorders>
              <w:top w:val="nil"/>
              <w:left w:val="nil"/>
              <w:bottom w:val="nil"/>
              <w:right w:val="nil"/>
            </w:tcBorders>
          </w:tcPr>
          <w:p w14:paraId="247E6423" w14:textId="77777777" w:rsidR="008E4EBD" w:rsidRDefault="00483AC6">
            <w:pPr>
              <w:pStyle w:val="Compact"/>
              <w:jc w:val="center"/>
            </w:pPr>
            <w:r>
              <w:t>0.0</w:t>
            </w:r>
          </w:p>
        </w:tc>
        <w:tc>
          <w:tcPr>
            <w:tcW w:w="1504" w:type="dxa"/>
            <w:tcBorders>
              <w:top w:val="nil"/>
              <w:left w:val="nil"/>
              <w:bottom w:val="nil"/>
              <w:right w:val="nil"/>
            </w:tcBorders>
          </w:tcPr>
          <w:p w14:paraId="247E6424" w14:textId="77777777" w:rsidR="008E4EBD" w:rsidRDefault="00483AC6">
            <w:pPr>
              <w:pStyle w:val="Compact"/>
              <w:jc w:val="center"/>
            </w:pPr>
            <w:r>
              <w:t>1.001</w:t>
            </w:r>
          </w:p>
        </w:tc>
        <w:tc>
          <w:tcPr>
            <w:tcW w:w="957" w:type="dxa"/>
            <w:tcBorders>
              <w:top w:val="nil"/>
              <w:left w:val="nil"/>
              <w:bottom w:val="nil"/>
              <w:right w:val="nil"/>
            </w:tcBorders>
          </w:tcPr>
          <w:p w14:paraId="247E6425" w14:textId="77777777" w:rsidR="008E4EBD" w:rsidRDefault="00483AC6">
            <w:pPr>
              <w:pStyle w:val="Compact"/>
              <w:jc w:val="center"/>
            </w:pPr>
            <w:r>
              <w:t>0.495</w:t>
            </w:r>
          </w:p>
        </w:tc>
        <w:tc>
          <w:tcPr>
            <w:tcW w:w="1367" w:type="dxa"/>
            <w:tcBorders>
              <w:top w:val="nil"/>
              <w:left w:val="nil"/>
              <w:bottom w:val="nil"/>
              <w:right w:val="nil"/>
            </w:tcBorders>
          </w:tcPr>
          <w:p w14:paraId="247E6426" w14:textId="77777777" w:rsidR="008E4EBD" w:rsidRDefault="00483AC6">
            <w:pPr>
              <w:pStyle w:val="Compact"/>
              <w:jc w:val="center"/>
            </w:pPr>
            <w:r>
              <w:t>0.474</w:t>
            </w:r>
          </w:p>
        </w:tc>
        <w:tc>
          <w:tcPr>
            <w:tcW w:w="1367" w:type="dxa"/>
            <w:tcBorders>
              <w:top w:val="nil"/>
              <w:left w:val="nil"/>
              <w:bottom w:val="nil"/>
              <w:right w:val="nil"/>
            </w:tcBorders>
          </w:tcPr>
          <w:p w14:paraId="247E6427" w14:textId="77777777" w:rsidR="008E4EBD" w:rsidRDefault="00483AC6">
            <w:pPr>
              <w:pStyle w:val="Compact"/>
              <w:jc w:val="center"/>
            </w:pPr>
            <w:r>
              <w:t>0.474</w:t>
            </w:r>
          </w:p>
        </w:tc>
        <w:tc>
          <w:tcPr>
            <w:tcW w:w="1508" w:type="dxa"/>
            <w:tcBorders>
              <w:top w:val="nil"/>
              <w:left w:val="nil"/>
              <w:bottom w:val="nil"/>
              <w:right w:val="nil"/>
            </w:tcBorders>
          </w:tcPr>
          <w:p w14:paraId="247E6428" w14:textId="77777777" w:rsidR="008E4EBD" w:rsidRDefault="00483AC6">
            <w:pPr>
              <w:pStyle w:val="Compact"/>
              <w:jc w:val="center"/>
            </w:pPr>
            <w:r>
              <w:t>0.462</w:t>
            </w:r>
          </w:p>
        </w:tc>
      </w:tr>
      <w:tr w:rsidR="008E4EBD" w14:paraId="247E6432" w14:textId="77777777">
        <w:tc>
          <w:tcPr>
            <w:tcW w:w="957" w:type="dxa"/>
            <w:tcBorders>
              <w:top w:val="nil"/>
              <w:left w:val="nil"/>
              <w:bottom w:val="nil"/>
              <w:right w:val="nil"/>
            </w:tcBorders>
          </w:tcPr>
          <w:p w14:paraId="247E642A" w14:textId="77777777" w:rsidR="008E4EBD" w:rsidRDefault="00483AC6">
            <w:pPr>
              <w:pStyle w:val="Compact"/>
              <w:jc w:val="center"/>
            </w:pPr>
            <w:r>
              <w:t>B</w:t>
            </w:r>
          </w:p>
        </w:tc>
        <w:tc>
          <w:tcPr>
            <w:tcW w:w="683" w:type="dxa"/>
            <w:tcBorders>
              <w:top w:val="nil"/>
              <w:left w:val="nil"/>
              <w:bottom w:val="nil"/>
              <w:right w:val="nil"/>
            </w:tcBorders>
          </w:tcPr>
          <w:p w14:paraId="247E642B" w14:textId="77777777" w:rsidR="008E4EBD" w:rsidRDefault="00483AC6">
            <w:pPr>
              <w:pStyle w:val="Compact"/>
              <w:jc w:val="center"/>
            </w:pPr>
            <w:r>
              <w:t>0.8</w:t>
            </w:r>
          </w:p>
        </w:tc>
        <w:tc>
          <w:tcPr>
            <w:tcW w:w="683" w:type="dxa"/>
            <w:tcBorders>
              <w:top w:val="nil"/>
              <w:left w:val="nil"/>
              <w:bottom w:val="nil"/>
              <w:right w:val="nil"/>
            </w:tcBorders>
          </w:tcPr>
          <w:p w14:paraId="247E642C" w14:textId="77777777" w:rsidR="008E4EBD" w:rsidRDefault="00483AC6">
            <w:pPr>
              <w:pStyle w:val="Compact"/>
              <w:jc w:val="center"/>
            </w:pPr>
            <w:r>
              <w:t>0.0</w:t>
            </w:r>
          </w:p>
        </w:tc>
        <w:tc>
          <w:tcPr>
            <w:tcW w:w="1504" w:type="dxa"/>
            <w:tcBorders>
              <w:top w:val="nil"/>
              <w:left w:val="nil"/>
              <w:bottom w:val="nil"/>
              <w:right w:val="nil"/>
            </w:tcBorders>
          </w:tcPr>
          <w:p w14:paraId="247E642D" w14:textId="77777777" w:rsidR="008E4EBD" w:rsidRDefault="00483AC6">
            <w:pPr>
              <w:pStyle w:val="Compact"/>
              <w:jc w:val="center"/>
            </w:pPr>
            <w:r>
              <w:t>0.997</w:t>
            </w:r>
          </w:p>
        </w:tc>
        <w:tc>
          <w:tcPr>
            <w:tcW w:w="957" w:type="dxa"/>
            <w:tcBorders>
              <w:top w:val="nil"/>
              <w:left w:val="nil"/>
              <w:bottom w:val="nil"/>
              <w:right w:val="nil"/>
            </w:tcBorders>
          </w:tcPr>
          <w:p w14:paraId="247E642E" w14:textId="77777777" w:rsidR="008E4EBD" w:rsidRDefault="00483AC6">
            <w:pPr>
              <w:pStyle w:val="Compact"/>
              <w:jc w:val="center"/>
            </w:pPr>
            <w:r>
              <w:t>0.493</w:t>
            </w:r>
          </w:p>
        </w:tc>
        <w:tc>
          <w:tcPr>
            <w:tcW w:w="1367" w:type="dxa"/>
            <w:tcBorders>
              <w:top w:val="nil"/>
              <w:left w:val="nil"/>
              <w:bottom w:val="nil"/>
              <w:right w:val="nil"/>
            </w:tcBorders>
          </w:tcPr>
          <w:p w14:paraId="247E642F" w14:textId="77777777" w:rsidR="008E4EBD" w:rsidRDefault="00483AC6">
            <w:pPr>
              <w:pStyle w:val="Compact"/>
              <w:jc w:val="center"/>
            </w:pPr>
            <w:r>
              <w:t>0.370</w:t>
            </w:r>
          </w:p>
        </w:tc>
        <w:tc>
          <w:tcPr>
            <w:tcW w:w="1367" w:type="dxa"/>
            <w:tcBorders>
              <w:top w:val="nil"/>
              <w:left w:val="nil"/>
              <w:bottom w:val="nil"/>
              <w:right w:val="nil"/>
            </w:tcBorders>
          </w:tcPr>
          <w:p w14:paraId="247E6430" w14:textId="77777777" w:rsidR="008E4EBD" w:rsidRDefault="00483AC6">
            <w:pPr>
              <w:pStyle w:val="Compact"/>
              <w:jc w:val="center"/>
            </w:pPr>
            <w:r>
              <w:t>0.370</w:t>
            </w:r>
          </w:p>
        </w:tc>
        <w:tc>
          <w:tcPr>
            <w:tcW w:w="1508" w:type="dxa"/>
            <w:tcBorders>
              <w:top w:val="nil"/>
              <w:left w:val="nil"/>
              <w:bottom w:val="nil"/>
              <w:right w:val="nil"/>
            </w:tcBorders>
          </w:tcPr>
          <w:p w14:paraId="247E6431" w14:textId="77777777" w:rsidR="008E4EBD" w:rsidRDefault="00483AC6">
            <w:pPr>
              <w:pStyle w:val="Compact"/>
              <w:jc w:val="center"/>
            </w:pPr>
            <w:r>
              <w:t>0.358</w:t>
            </w:r>
          </w:p>
        </w:tc>
      </w:tr>
      <w:tr w:rsidR="008E4EBD" w14:paraId="247E643B" w14:textId="77777777">
        <w:tc>
          <w:tcPr>
            <w:tcW w:w="957" w:type="dxa"/>
            <w:tcBorders>
              <w:top w:val="nil"/>
              <w:left w:val="nil"/>
              <w:bottom w:val="nil"/>
              <w:right w:val="nil"/>
            </w:tcBorders>
          </w:tcPr>
          <w:p w14:paraId="247E6433" w14:textId="77777777" w:rsidR="008E4EBD" w:rsidRDefault="00483AC6">
            <w:pPr>
              <w:pStyle w:val="Compact"/>
              <w:jc w:val="center"/>
            </w:pPr>
            <w:r>
              <w:t>C</w:t>
            </w:r>
          </w:p>
        </w:tc>
        <w:tc>
          <w:tcPr>
            <w:tcW w:w="683" w:type="dxa"/>
            <w:tcBorders>
              <w:top w:val="nil"/>
              <w:left w:val="nil"/>
              <w:bottom w:val="nil"/>
              <w:right w:val="nil"/>
            </w:tcBorders>
          </w:tcPr>
          <w:p w14:paraId="247E6434" w14:textId="77777777" w:rsidR="008E4EBD" w:rsidRDefault="00483AC6">
            <w:pPr>
              <w:pStyle w:val="Compact"/>
              <w:jc w:val="center"/>
            </w:pPr>
            <w:r>
              <w:t>0.4</w:t>
            </w:r>
          </w:p>
        </w:tc>
        <w:tc>
          <w:tcPr>
            <w:tcW w:w="683" w:type="dxa"/>
            <w:tcBorders>
              <w:top w:val="nil"/>
              <w:left w:val="nil"/>
              <w:bottom w:val="nil"/>
              <w:right w:val="nil"/>
            </w:tcBorders>
          </w:tcPr>
          <w:p w14:paraId="247E6435" w14:textId="77777777" w:rsidR="008E4EBD" w:rsidRDefault="00483AC6">
            <w:pPr>
              <w:pStyle w:val="Compact"/>
              <w:jc w:val="center"/>
            </w:pPr>
            <w:r>
              <w:t>0.4</w:t>
            </w:r>
          </w:p>
        </w:tc>
        <w:tc>
          <w:tcPr>
            <w:tcW w:w="1504" w:type="dxa"/>
            <w:tcBorders>
              <w:top w:val="nil"/>
              <w:left w:val="nil"/>
              <w:bottom w:val="nil"/>
              <w:right w:val="nil"/>
            </w:tcBorders>
          </w:tcPr>
          <w:p w14:paraId="247E6436" w14:textId="77777777" w:rsidR="008E4EBD" w:rsidRDefault="00483AC6">
            <w:pPr>
              <w:pStyle w:val="Compact"/>
              <w:jc w:val="center"/>
            </w:pPr>
            <w:r>
              <w:t>1.003</w:t>
            </w:r>
          </w:p>
        </w:tc>
        <w:tc>
          <w:tcPr>
            <w:tcW w:w="957" w:type="dxa"/>
            <w:tcBorders>
              <w:top w:val="nil"/>
              <w:left w:val="nil"/>
              <w:bottom w:val="nil"/>
              <w:right w:val="nil"/>
            </w:tcBorders>
          </w:tcPr>
          <w:p w14:paraId="247E6437" w14:textId="77777777" w:rsidR="008E4EBD" w:rsidRDefault="00483AC6">
            <w:pPr>
              <w:pStyle w:val="Compact"/>
              <w:jc w:val="center"/>
            </w:pPr>
            <w:r>
              <w:t>0.498</w:t>
            </w:r>
          </w:p>
        </w:tc>
        <w:tc>
          <w:tcPr>
            <w:tcW w:w="1367" w:type="dxa"/>
            <w:tcBorders>
              <w:top w:val="nil"/>
              <w:left w:val="nil"/>
              <w:bottom w:val="nil"/>
              <w:right w:val="nil"/>
            </w:tcBorders>
          </w:tcPr>
          <w:p w14:paraId="247E6438" w14:textId="77777777" w:rsidR="008E4EBD" w:rsidRDefault="00483AC6">
            <w:pPr>
              <w:pStyle w:val="Compact"/>
              <w:jc w:val="center"/>
            </w:pPr>
            <w:r>
              <w:t>0.579</w:t>
            </w:r>
          </w:p>
        </w:tc>
        <w:tc>
          <w:tcPr>
            <w:tcW w:w="1367" w:type="dxa"/>
            <w:tcBorders>
              <w:top w:val="nil"/>
              <w:left w:val="nil"/>
              <w:bottom w:val="nil"/>
              <w:right w:val="nil"/>
            </w:tcBorders>
          </w:tcPr>
          <w:p w14:paraId="247E6439" w14:textId="77777777" w:rsidR="008E4EBD" w:rsidRDefault="00483AC6">
            <w:pPr>
              <w:pStyle w:val="Compact"/>
              <w:jc w:val="center"/>
            </w:pPr>
            <w:r>
              <w:t>0.500</w:t>
            </w:r>
          </w:p>
        </w:tc>
        <w:tc>
          <w:tcPr>
            <w:tcW w:w="1508" w:type="dxa"/>
            <w:tcBorders>
              <w:top w:val="nil"/>
              <w:left w:val="nil"/>
              <w:bottom w:val="nil"/>
              <w:right w:val="nil"/>
            </w:tcBorders>
          </w:tcPr>
          <w:p w14:paraId="247E643A" w14:textId="77777777" w:rsidR="008E4EBD" w:rsidRDefault="00483AC6">
            <w:pPr>
              <w:pStyle w:val="Compact"/>
              <w:jc w:val="center"/>
            </w:pPr>
            <w:r>
              <w:t>0.487</w:t>
            </w:r>
          </w:p>
        </w:tc>
      </w:tr>
      <w:tr w:rsidR="008E4EBD" w14:paraId="247E6444" w14:textId="77777777">
        <w:tc>
          <w:tcPr>
            <w:tcW w:w="957" w:type="dxa"/>
            <w:tcBorders>
              <w:top w:val="nil"/>
              <w:left w:val="nil"/>
              <w:bottom w:val="nil"/>
              <w:right w:val="nil"/>
            </w:tcBorders>
          </w:tcPr>
          <w:p w14:paraId="247E643C" w14:textId="77777777" w:rsidR="008E4EBD" w:rsidRDefault="00483AC6">
            <w:pPr>
              <w:pStyle w:val="Compact"/>
              <w:jc w:val="center"/>
            </w:pPr>
            <w:r>
              <w:t>C</w:t>
            </w:r>
          </w:p>
        </w:tc>
        <w:tc>
          <w:tcPr>
            <w:tcW w:w="683" w:type="dxa"/>
            <w:tcBorders>
              <w:top w:val="nil"/>
              <w:left w:val="nil"/>
              <w:bottom w:val="nil"/>
              <w:right w:val="nil"/>
            </w:tcBorders>
          </w:tcPr>
          <w:p w14:paraId="247E643D" w14:textId="77777777" w:rsidR="008E4EBD" w:rsidRDefault="00483AC6">
            <w:pPr>
              <w:pStyle w:val="Compact"/>
              <w:jc w:val="center"/>
            </w:pPr>
            <w:r>
              <w:t>0.4</w:t>
            </w:r>
          </w:p>
        </w:tc>
        <w:tc>
          <w:tcPr>
            <w:tcW w:w="683" w:type="dxa"/>
            <w:tcBorders>
              <w:top w:val="nil"/>
              <w:left w:val="nil"/>
              <w:bottom w:val="nil"/>
              <w:right w:val="nil"/>
            </w:tcBorders>
          </w:tcPr>
          <w:p w14:paraId="247E643E" w14:textId="77777777" w:rsidR="008E4EBD" w:rsidRDefault="00483AC6">
            <w:pPr>
              <w:pStyle w:val="Compact"/>
              <w:jc w:val="center"/>
            </w:pPr>
            <w:r>
              <w:t>0.8</w:t>
            </w:r>
          </w:p>
        </w:tc>
        <w:tc>
          <w:tcPr>
            <w:tcW w:w="1504" w:type="dxa"/>
            <w:tcBorders>
              <w:top w:val="nil"/>
              <w:left w:val="nil"/>
              <w:bottom w:val="nil"/>
              <w:right w:val="nil"/>
            </w:tcBorders>
          </w:tcPr>
          <w:p w14:paraId="247E643F" w14:textId="77777777" w:rsidR="008E4EBD" w:rsidRDefault="00483AC6">
            <w:pPr>
              <w:pStyle w:val="Compact"/>
              <w:jc w:val="center"/>
            </w:pPr>
            <w:r>
              <w:t>1.006</w:t>
            </w:r>
          </w:p>
        </w:tc>
        <w:tc>
          <w:tcPr>
            <w:tcW w:w="957" w:type="dxa"/>
            <w:tcBorders>
              <w:top w:val="nil"/>
              <w:left w:val="nil"/>
              <w:bottom w:val="nil"/>
              <w:right w:val="nil"/>
            </w:tcBorders>
          </w:tcPr>
          <w:p w14:paraId="247E6440" w14:textId="77777777" w:rsidR="008E4EBD" w:rsidRDefault="00483AC6">
            <w:pPr>
              <w:pStyle w:val="Compact"/>
              <w:jc w:val="center"/>
            </w:pPr>
            <w:r>
              <w:t>0.502</w:t>
            </w:r>
          </w:p>
        </w:tc>
        <w:tc>
          <w:tcPr>
            <w:tcW w:w="1367" w:type="dxa"/>
            <w:tcBorders>
              <w:top w:val="nil"/>
              <w:left w:val="nil"/>
              <w:bottom w:val="nil"/>
              <w:right w:val="nil"/>
            </w:tcBorders>
          </w:tcPr>
          <w:p w14:paraId="247E6441" w14:textId="77777777" w:rsidR="008E4EBD" w:rsidRDefault="00483AC6">
            <w:pPr>
              <w:pStyle w:val="Compact"/>
              <w:jc w:val="center"/>
            </w:pPr>
            <w:r>
              <w:t>0.843</w:t>
            </w:r>
          </w:p>
        </w:tc>
        <w:tc>
          <w:tcPr>
            <w:tcW w:w="1367" w:type="dxa"/>
            <w:tcBorders>
              <w:top w:val="nil"/>
              <w:left w:val="nil"/>
              <w:bottom w:val="nil"/>
              <w:right w:val="nil"/>
            </w:tcBorders>
          </w:tcPr>
          <w:p w14:paraId="247E6442" w14:textId="77777777" w:rsidR="008E4EBD" w:rsidRDefault="00483AC6">
            <w:pPr>
              <w:pStyle w:val="Compact"/>
              <w:jc w:val="center"/>
            </w:pPr>
            <w:r>
              <w:t>0.455</w:t>
            </w:r>
          </w:p>
        </w:tc>
        <w:tc>
          <w:tcPr>
            <w:tcW w:w="1508" w:type="dxa"/>
            <w:tcBorders>
              <w:top w:val="nil"/>
              <w:left w:val="nil"/>
              <w:bottom w:val="nil"/>
              <w:right w:val="nil"/>
            </w:tcBorders>
          </w:tcPr>
          <w:p w14:paraId="247E6443" w14:textId="77777777" w:rsidR="008E4EBD" w:rsidRDefault="00483AC6">
            <w:pPr>
              <w:pStyle w:val="Compact"/>
              <w:jc w:val="center"/>
            </w:pPr>
            <w:r>
              <w:t>0.440</w:t>
            </w:r>
          </w:p>
        </w:tc>
      </w:tr>
      <w:tr w:rsidR="008E4EBD" w14:paraId="247E644D" w14:textId="77777777">
        <w:tc>
          <w:tcPr>
            <w:tcW w:w="957" w:type="dxa"/>
            <w:tcBorders>
              <w:top w:val="nil"/>
              <w:left w:val="nil"/>
              <w:bottom w:val="nil"/>
              <w:right w:val="nil"/>
            </w:tcBorders>
          </w:tcPr>
          <w:p w14:paraId="247E6445" w14:textId="77777777" w:rsidR="008E4EBD" w:rsidRDefault="00483AC6">
            <w:pPr>
              <w:pStyle w:val="Compact"/>
              <w:jc w:val="center"/>
            </w:pPr>
            <w:r>
              <w:t>C</w:t>
            </w:r>
          </w:p>
        </w:tc>
        <w:tc>
          <w:tcPr>
            <w:tcW w:w="683" w:type="dxa"/>
            <w:tcBorders>
              <w:top w:val="nil"/>
              <w:left w:val="nil"/>
              <w:bottom w:val="nil"/>
              <w:right w:val="nil"/>
            </w:tcBorders>
          </w:tcPr>
          <w:p w14:paraId="247E6446" w14:textId="77777777" w:rsidR="008E4EBD" w:rsidRDefault="00483AC6">
            <w:pPr>
              <w:pStyle w:val="Compact"/>
              <w:jc w:val="center"/>
            </w:pPr>
            <w:r>
              <w:t>0.8</w:t>
            </w:r>
          </w:p>
        </w:tc>
        <w:tc>
          <w:tcPr>
            <w:tcW w:w="683" w:type="dxa"/>
            <w:tcBorders>
              <w:top w:val="nil"/>
              <w:left w:val="nil"/>
              <w:bottom w:val="nil"/>
              <w:right w:val="nil"/>
            </w:tcBorders>
          </w:tcPr>
          <w:p w14:paraId="247E6447" w14:textId="77777777" w:rsidR="008E4EBD" w:rsidRDefault="00483AC6">
            <w:pPr>
              <w:pStyle w:val="Compact"/>
              <w:jc w:val="center"/>
            </w:pPr>
            <w:r>
              <w:t>0.4</w:t>
            </w:r>
          </w:p>
        </w:tc>
        <w:tc>
          <w:tcPr>
            <w:tcW w:w="1504" w:type="dxa"/>
            <w:tcBorders>
              <w:top w:val="nil"/>
              <w:left w:val="nil"/>
              <w:bottom w:val="nil"/>
              <w:right w:val="nil"/>
            </w:tcBorders>
          </w:tcPr>
          <w:p w14:paraId="247E6448" w14:textId="77777777" w:rsidR="008E4EBD" w:rsidRDefault="00483AC6">
            <w:pPr>
              <w:pStyle w:val="Compact"/>
              <w:jc w:val="center"/>
            </w:pPr>
            <w:r>
              <w:t>0.999</w:t>
            </w:r>
          </w:p>
        </w:tc>
        <w:tc>
          <w:tcPr>
            <w:tcW w:w="957" w:type="dxa"/>
            <w:tcBorders>
              <w:top w:val="nil"/>
              <w:left w:val="nil"/>
              <w:bottom w:val="nil"/>
              <w:right w:val="nil"/>
            </w:tcBorders>
          </w:tcPr>
          <w:p w14:paraId="247E6449" w14:textId="77777777" w:rsidR="008E4EBD" w:rsidRDefault="00483AC6">
            <w:pPr>
              <w:pStyle w:val="Compact"/>
              <w:jc w:val="center"/>
            </w:pPr>
            <w:r>
              <w:t>0.497</w:t>
            </w:r>
          </w:p>
        </w:tc>
        <w:tc>
          <w:tcPr>
            <w:tcW w:w="1367" w:type="dxa"/>
            <w:tcBorders>
              <w:top w:val="nil"/>
              <w:left w:val="nil"/>
              <w:bottom w:val="nil"/>
              <w:right w:val="nil"/>
            </w:tcBorders>
          </w:tcPr>
          <w:p w14:paraId="247E644A" w14:textId="77777777" w:rsidR="008E4EBD" w:rsidRDefault="00483AC6">
            <w:pPr>
              <w:pStyle w:val="Compact"/>
              <w:jc w:val="center"/>
            </w:pPr>
            <w:r>
              <w:t>0.496</w:t>
            </w:r>
          </w:p>
        </w:tc>
        <w:tc>
          <w:tcPr>
            <w:tcW w:w="1367" w:type="dxa"/>
            <w:tcBorders>
              <w:top w:val="nil"/>
              <w:left w:val="nil"/>
              <w:bottom w:val="nil"/>
              <w:right w:val="nil"/>
            </w:tcBorders>
          </w:tcPr>
          <w:p w14:paraId="247E644B" w14:textId="77777777" w:rsidR="008E4EBD" w:rsidRDefault="00483AC6">
            <w:pPr>
              <w:pStyle w:val="Compact"/>
              <w:jc w:val="center"/>
            </w:pPr>
            <w:r>
              <w:t>0.448</w:t>
            </w:r>
          </w:p>
        </w:tc>
        <w:tc>
          <w:tcPr>
            <w:tcW w:w="1508" w:type="dxa"/>
            <w:tcBorders>
              <w:top w:val="nil"/>
              <w:left w:val="nil"/>
              <w:bottom w:val="nil"/>
              <w:right w:val="nil"/>
            </w:tcBorders>
          </w:tcPr>
          <w:p w14:paraId="247E644C" w14:textId="77777777" w:rsidR="008E4EBD" w:rsidRDefault="00483AC6">
            <w:pPr>
              <w:pStyle w:val="Compact"/>
              <w:jc w:val="center"/>
            </w:pPr>
            <w:r>
              <w:t>0.435</w:t>
            </w:r>
          </w:p>
        </w:tc>
      </w:tr>
      <w:tr w:rsidR="008E4EBD" w14:paraId="247E6456" w14:textId="77777777">
        <w:tc>
          <w:tcPr>
            <w:tcW w:w="957" w:type="dxa"/>
            <w:tcBorders>
              <w:top w:val="nil"/>
              <w:left w:val="nil"/>
              <w:bottom w:val="single" w:sz="12" w:space="0" w:color="auto"/>
              <w:right w:val="nil"/>
            </w:tcBorders>
          </w:tcPr>
          <w:p w14:paraId="247E644E" w14:textId="77777777" w:rsidR="008E4EBD" w:rsidRDefault="00483AC6">
            <w:pPr>
              <w:pStyle w:val="Compact"/>
              <w:jc w:val="center"/>
            </w:pPr>
            <w:r>
              <w:t>C</w:t>
            </w:r>
          </w:p>
        </w:tc>
        <w:tc>
          <w:tcPr>
            <w:tcW w:w="683" w:type="dxa"/>
            <w:tcBorders>
              <w:top w:val="nil"/>
              <w:left w:val="nil"/>
              <w:bottom w:val="single" w:sz="12" w:space="0" w:color="auto"/>
              <w:right w:val="nil"/>
            </w:tcBorders>
          </w:tcPr>
          <w:p w14:paraId="247E644F" w14:textId="77777777" w:rsidR="008E4EBD" w:rsidRDefault="00483AC6">
            <w:pPr>
              <w:pStyle w:val="Compact"/>
              <w:jc w:val="center"/>
            </w:pPr>
            <w:r>
              <w:t>0.8</w:t>
            </w:r>
          </w:p>
        </w:tc>
        <w:tc>
          <w:tcPr>
            <w:tcW w:w="683" w:type="dxa"/>
            <w:tcBorders>
              <w:top w:val="nil"/>
              <w:left w:val="nil"/>
              <w:bottom w:val="single" w:sz="12" w:space="0" w:color="auto"/>
              <w:right w:val="nil"/>
            </w:tcBorders>
          </w:tcPr>
          <w:p w14:paraId="247E6450" w14:textId="77777777" w:rsidR="008E4EBD" w:rsidRDefault="00483AC6">
            <w:pPr>
              <w:pStyle w:val="Compact"/>
              <w:jc w:val="center"/>
            </w:pPr>
            <w:r>
              <w:t>0.8</w:t>
            </w:r>
          </w:p>
        </w:tc>
        <w:tc>
          <w:tcPr>
            <w:tcW w:w="1504" w:type="dxa"/>
            <w:tcBorders>
              <w:top w:val="nil"/>
              <w:left w:val="nil"/>
              <w:bottom w:val="single" w:sz="12" w:space="0" w:color="auto"/>
              <w:right w:val="nil"/>
            </w:tcBorders>
          </w:tcPr>
          <w:p w14:paraId="247E6451" w14:textId="77777777" w:rsidR="008E4EBD" w:rsidRDefault="00483AC6">
            <w:pPr>
              <w:pStyle w:val="Compact"/>
              <w:jc w:val="center"/>
            </w:pPr>
            <w:r>
              <w:t>1.002</w:t>
            </w:r>
          </w:p>
        </w:tc>
        <w:tc>
          <w:tcPr>
            <w:tcW w:w="957" w:type="dxa"/>
            <w:tcBorders>
              <w:top w:val="nil"/>
              <w:left w:val="nil"/>
              <w:bottom w:val="single" w:sz="12" w:space="0" w:color="auto"/>
              <w:right w:val="nil"/>
            </w:tcBorders>
          </w:tcPr>
          <w:p w14:paraId="247E6452" w14:textId="77777777" w:rsidR="008E4EBD" w:rsidRDefault="00483AC6">
            <w:pPr>
              <w:pStyle w:val="Compact"/>
              <w:jc w:val="center"/>
            </w:pPr>
            <w:r>
              <w:t>0.502</w:t>
            </w:r>
          </w:p>
        </w:tc>
        <w:tc>
          <w:tcPr>
            <w:tcW w:w="1367" w:type="dxa"/>
            <w:tcBorders>
              <w:top w:val="nil"/>
              <w:left w:val="nil"/>
              <w:bottom w:val="single" w:sz="12" w:space="0" w:color="auto"/>
              <w:right w:val="nil"/>
            </w:tcBorders>
          </w:tcPr>
          <w:p w14:paraId="247E6453" w14:textId="77777777" w:rsidR="008E4EBD" w:rsidRDefault="00483AC6">
            <w:pPr>
              <w:pStyle w:val="Compact"/>
              <w:jc w:val="center"/>
            </w:pPr>
            <w:r>
              <w:t>0.702</w:t>
            </w:r>
          </w:p>
        </w:tc>
        <w:tc>
          <w:tcPr>
            <w:tcW w:w="1367" w:type="dxa"/>
            <w:tcBorders>
              <w:top w:val="nil"/>
              <w:left w:val="nil"/>
              <w:bottom w:val="single" w:sz="12" w:space="0" w:color="auto"/>
              <w:right w:val="nil"/>
            </w:tcBorders>
          </w:tcPr>
          <w:p w14:paraId="247E6454" w14:textId="77777777" w:rsidR="008E4EBD" w:rsidRDefault="00483AC6">
            <w:pPr>
              <w:pStyle w:val="Compact"/>
              <w:jc w:val="center"/>
            </w:pPr>
            <w:r>
              <w:t>0.487</w:t>
            </w:r>
          </w:p>
        </w:tc>
        <w:tc>
          <w:tcPr>
            <w:tcW w:w="1508" w:type="dxa"/>
            <w:tcBorders>
              <w:top w:val="nil"/>
              <w:left w:val="nil"/>
              <w:bottom w:val="single" w:sz="12" w:space="0" w:color="auto"/>
              <w:right w:val="nil"/>
            </w:tcBorders>
          </w:tcPr>
          <w:p w14:paraId="247E6455" w14:textId="77777777" w:rsidR="008E4EBD" w:rsidRDefault="00483AC6">
            <w:pPr>
              <w:pStyle w:val="Compact"/>
              <w:jc w:val="center"/>
            </w:pPr>
            <w:r>
              <w:t>0.472</w:t>
            </w:r>
          </w:p>
        </w:tc>
      </w:tr>
    </w:tbl>
    <w:p w14:paraId="247E6457" w14:textId="77777777" w:rsidR="008E4EBD" w:rsidRDefault="00483AC6">
      <w:pPr>
        <w:pStyle w:val="BodyText"/>
      </w:pPr>
      <w:r>
        <w:rPr>
          <w:i/>
        </w:rPr>
        <w:t>Note:</w:t>
      </w:r>
      <w:r>
        <w:t xml:space="preserve"> MFH-diag estimates </w:t>
      </w:r>
      <m:oMath>
        <m:r>
          <w:rPr>
            <w:rFonts w:ascii="Cambria Math" w:hAnsi="Cambria Math"/>
          </w:rPr>
          <m:t>G</m:t>
        </m:r>
      </m:oMath>
      <w:r>
        <w:t xml:space="preserve"> but assumes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MFH-full estimates </w:t>
      </w:r>
      <m:oMath>
        <m:r>
          <w:rPr>
            <w:rFonts w:ascii="Cambria Math" w:hAnsi="Cambria Math"/>
          </w:rPr>
          <m:t>G</m:t>
        </m:r>
      </m:oMath>
      <w:r>
        <w:t xml:space="preserve"> and uses the true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off-diagonal terms. Monte Carlo standard errors are at most 0.006 (Annex Table A.1).</w:t>
      </w:r>
    </w:p>
    <w:p w14:paraId="247E6458" w14:textId="77777777" w:rsidR="008E4EBD" w:rsidRDefault="00483AC6">
      <w:pPr>
        <w:pStyle w:val="BodyText"/>
      </w:pPr>
      <w:r>
        <w:t>In the baseline scenario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all three shrinkage estimators are practically indistinguishable (0.496–0.501 against an oracle of 0.489), confirming that fitting the richer models costs essentially nothing when the extra structure is absent. Group B reproduces the familiar message: when area effects are persistent and sampling errors are independent, MFH-diag and MFH-full coincide (their working models are identical here) and track the oracle closely, while UFH stalls at its working-model optimum of about 0.50;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the MFH estimators achieve 0.370 against the oracle’s 0.358—a 25 percent MSE reduction relative to UFH.</w:t>
      </w:r>
    </w:p>
    <w:p w14:paraId="247E6459" w14:textId="77777777" w:rsidR="008E4EBD" w:rsidRDefault="00483AC6">
      <w:pPr>
        <w:pStyle w:val="BodyText"/>
      </w:pPr>
      <w:r>
        <w:t xml:space="preserve">Group A delivers the new result. With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the oracle MSE falls to 0.361: autocorrelated sampling errors are genuine information, because adjacent years’ direct estimates help strip the correlated sampling noise out of the current year’s estimate. MFH-full captures nearly all of this gain (0.376). UFH ignores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remains at 0.502; it does not converge to the true BLUP, although its loss is “only” one of forgone information. MFH-diag, by contrast, deteriorates sharply—to 0.575 at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m:t>
        </m:r>
      </m:oMath>
      <w:r>
        <w:t xml:space="preserve"> and 0.833 at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w:t>
      </w:r>
      <w:r>
        <w:rPr>
          <w:i/>
        </w:rPr>
        <w:t>worse than UFH by 66 percent</w:t>
      </w:r>
      <w:r>
        <w:t xml:space="preserve">. The mechanism is visible in the covariance-parameter estimates (Annex Table A.3): with nothing else available to explain the cross-year correlation of the residuals </w:t>
      </w:r>
      <m:oMath>
        <m:sSub>
          <m:sSubPr>
            <m:ctrlPr>
              <w:rPr>
                <w:rFonts w:ascii="Cambria Math" w:hAnsi="Cambria Math"/>
              </w:rPr>
            </m:ctrlPr>
          </m:sSubPr>
          <m:e>
            <m:r>
              <w:rPr>
                <w:rFonts w:ascii="Cambria Math" w:hAnsi="Cambria Math"/>
              </w:rPr>
              <m:t>u</m:t>
            </m:r>
          </m:e>
          <m:sub>
            <m:r>
              <m:rPr>
                <m:nor/>
              </m:rPr>
              <m:t>it</m:t>
            </m:r>
          </m:sub>
        </m:sSub>
        <m:r>
          <w:rPr>
            <w:rFonts w:ascii="Cambria Math" w:hAnsi="Cambria Math"/>
          </w:rPr>
          <m:t>+</m:t>
        </m:r>
        <m:sSub>
          <m:sSubPr>
            <m:ctrlPr>
              <w:rPr>
                <w:rFonts w:ascii="Cambria Math" w:hAnsi="Cambria Math"/>
              </w:rPr>
            </m:ctrlPr>
          </m:sSubPr>
          <m:e>
            <m:r>
              <w:rPr>
                <w:rFonts w:ascii="Cambria Math" w:hAnsi="Cambria Math"/>
              </w:rPr>
              <m:t>e</m:t>
            </m:r>
          </m:e>
          <m:sub>
            <m:r>
              <m:rPr>
                <m:nor/>
              </m:rPr>
              <m:t>it</m:t>
            </m:r>
          </m:sub>
        </m:sSub>
      </m:oMath>
      <w:r>
        <w:t xml:space="preserve">, the maximum likelihood estimator under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working model loads it onto the area effects, producing a spurious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of about 0.73 when the true value is zero. The estimator then borrows aggressively across years on the basis of correlation that belongs to the noise, not the signal. This is the phenomenon of Section 5 in its starkest form: MFH-diag converges to the BLUP under its working covariance—not to the true BLUP—and that working covariance is wrong in a way that actively misdirects the prediction weights.</w:t>
      </w:r>
    </w:p>
    <w:p w14:paraId="247E645A" w14:textId="77777777" w:rsidR="008E4EBD" w:rsidRDefault="00483AC6">
      <w:pPr>
        <w:pStyle w:val="BodyText"/>
      </w:pPr>
      <w:r>
        <w:t xml:space="preserve">Group C shows the realistic mixed case. MFH-full tracks the oracle in every cell (within 0.015 throughout). MFH-diag is dominated everywhere, and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its working model breaks down visibly: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piles up at the boundary near 1 and </w:t>
      </w:r>
      <m:oMath>
        <m:acc>
          <m:accPr>
            <m:ctrlPr>
              <w:rPr>
                <w:rFonts w:ascii="Cambria Math" w:hAnsi="Cambria Math"/>
              </w:rPr>
            </m:ctrlPr>
          </m:accPr>
          <m:e>
            <m:r>
              <w:rPr>
                <w:rFonts w:ascii="Cambria Math" w:hAnsi="Cambria Math"/>
              </w:rPr>
              <m:t>A</m:t>
            </m:r>
          </m:e>
        </m:acc>
      </m:oMath>
      <w:r>
        <w:t xml:space="preserve"> is inflated by about 26 percent (Annex Table A.3), yielding an MSE of 0.702 against 0.487 for MFH-full. Notably, MFH-diag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m:t>
        </m:r>
      </m:oMath>
      <w:r>
        <w:t xml:space="preserve">) is no </w:t>
      </w:r>
      <w:r>
        <w:lastRenderedPageBreak/>
        <w:t>better than UFH (0.496 versus 0.497): the gain from modeling the area-effect covariance is fully dissipated by mismodeling the sampling-error covariance. The general lesson of Table 1 is that MFH improves on UFH only to the extent that its working covariance includes the components that are actually present; it is the full covariance specification, not the multivariate label, that determines convergence to the true BLUP.</w:t>
      </w:r>
    </w:p>
    <w:p w14:paraId="247E645B" w14:textId="77777777" w:rsidR="008E4EBD" w:rsidRDefault="00483AC6">
      <w:pPr>
        <w:pStyle w:val="Heading2"/>
      </w:pPr>
      <w:bookmarkStart w:id="18" w:name="results-for-missing-area-years"/>
      <w:r>
        <w:t>11.4. Results for missing area-years</w:t>
      </w:r>
      <w:bookmarkEnd w:id="18"/>
    </w:p>
    <w:p w14:paraId="247E645C" w14:textId="77777777" w:rsidR="008E4EBD" w:rsidRDefault="00483AC6">
      <w:pPr>
        <w:pStyle w:val="FirstParagraph"/>
      </w:pPr>
      <w:r>
        <w:t>Table 2 addresses the missing area-years, for which UFH can offer only the synthetic prediction.</w:t>
      </w:r>
    </w:p>
    <w:p w14:paraId="247E645D" w14:textId="77777777" w:rsidR="008E4EBD" w:rsidRDefault="00483AC6">
      <w:pPr>
        <w:pStyle w:val="BodyText"/>
      </w:pPr>
      <w:r>
        <w:t>Table 2—Empirical MSE of Predictors for Missing Area-Years (20 Percent of Areas Missing the Final Period)</w:t>
      </w:r>
    </w:p>
    <w:tbl>
      <w:tblPr>
        <w:tblStyle w:val="Table"/>
        <w:tblW w:w="9026" w:type="dxa"/>
        <w:tblLayout w:type="fixed"/>
        <w:tblLook w:val="07E0" w:firstRow="1" w:lastRow="1" w:firstColumn="1" w:lastColumn="1" w:noHBand="1" w:noVBand="1"/>
      </w:tblPr>
      <w:tblGrid>
        <w:gridCol w:w="1002"/>
        <w:gridCol w:w="716"/>
        <w:gridCol w:w="716"/>
        <w:gridCol w:w="2149"/>
        <w:gridCol w:w="1432"/>
        <w:gridCol w:w="1432"/>
        <w:gridCol w:w="1579"/>
      </w:tblGrid>
      <w:tr w:rsidR="008E4EBD" w14:paraId="247E6465" w14:textId="77777777">
        <w:tc>
          <w:tcPr>
            <w:tcW w:w="1002" w:type="dxa"/>
            <w:tcBorders>
              <w:top w:val="single" w:sz="12" w:space="0" w:color="auto"/>
              <w:left w:val="nil"/>
              <w:bottom w:val="single" w:sz="4" w:space="0" w:color="auto"/>
              <w:right w:val="nil"/>
            </w:tcBorders>
            <w:vAlign w:val="bottom"/>
          </w:tcPr>
          <w:p w14:paraId="247E645E" w14:textId="77777777" w:rsidR="008E4EBD" w:rsidRDefault="00483AC6">
            <w:pPr>
              <w:pStyle w:val="Compact"/>
              <w:jc w:val="center"/>
            </w:pPr>
            <w:r>
              <w:rPr>
                <w:b/>
                <w:bCs/>
              </w:rPr>
              <w:t>Group</w:t>
            </w:r>
          </w:p>
        </w:tc>
        <w:tc>
          <w:tcPr>
            <w:tcW w:w="716" w:type="dxa"/>
            <w:tcBorders>
              <w:top w:val="single" w:sz="12" w:space="0" w:color="auto"/>
              <w:left w:val="nil"/>
              <w:bottom w:val="single" w:sz="4" w:space="0" w:color="auto"/>
              <w:right w:val="nil"/>
            </w:tcBorders>
            <w:vAlign w:val="bottom"/>
          </w:tcPr>
          <w:p w14:paraId="247E645F"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16" w:type="dxa"/>
            <w:tcBorders>
              <w:top w:val="single" w:sz="12" w:space="0" w:color="auto"/>
              <w:left w:val="nil"/>
              <w:bottom w:val="single" w:sz="4" w:space="0" w:color="auto"/>
              <w:right w:val="nil"/>
            </w:tcBorders>
            <w:vAlign w:val="bottom"/>
          </w:tcPr>
          <w:p w14:paraId="247E6460"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2149" w:type="dxa"/>
            <w:tcBorders>
              <w:top w:val="single" w:sz="12" w:space="0" w:color="auto"/>
              <w:left w:val="nil"/>
              <w:bottom w:val="single" w:sz="4" w:space="0" w:color="auto"/>
              <w:right w:val="nil"/>
            </w:tcBorders>
            <w:vAlign w:val="bottom"/>
          </w:tcPr>
          <w:p w14:paraId="247E6461" w14:textId="77777777" w:rsidR="008E4EBD" w:rsidRDefault="00483AC6">
            <w:pPr>
              <w:pStyle w:val="Compact"/>
              <w:jc w:val="center"/>
            </w:pPr>
            <w:r>
              <w:rPr>
                <w:b/>
                <w:bCs/>
              </w:rPr>
              <w:t>Synthetic (UFH)</w:t>
            </w:r>
          </w:p>
        </w:tc>
        <w:tc>
          <w:tcPr>
            <w:tcW w:w="1432" w:type="dxa"/>
            <w:tcBorders>
              <w:top w:val="single" w:sz="12" w:space="0" w:color="auto"/>
              <w:left w:val="nil"/>
              <w:bottom w:val="single" w:sz="4" w:space="0" w:color="auto"/>
              <w:right w:val="nil"/>
            </w:tcBorders>
            <w:vAlign w:val="bottom"/>
          </w:tcPr>
          <w:p w14:paraId="247E6462" w14:textId="77777777" w:rsidR="008E4EBD" w:rsidRDefault="00483AC6">
            <w:pPr>
              <w:pStyle w:val="Compact"/>
              <w:jc w:val="center"/>
            </w:pPr>
            <w:r>
              <w:rPr>
                <w:b/>
                <w:bCs/>
              </w:rPr>
              <w:t>MFH-diag</w:t>
            </w:r>
          </w:p>
        </w:tc>
        <w:tc>
          <w:tcPr>
            <w:tcW w:w="1432" w:type="dxa"/>
            <w:tcBorders>
              <w:top w:val="single" w:sz="12" w:space="0" w:color="auto"/>
              <w:left w:val="nil"/>
              <w:bottom w:val="single" w:sz="4" w:space="0" w:color="auto"/>
              <w:right w:val="nil"/>
            </w:tcBorders>
            <w:vAlign w:val="bottom"/>
          </w:tcPr>
          <w:p w14:paraId="247E6463" w14:textId="77777777" w:rsidR="008E4EBD" w:rsidRDefault="00483AC6">
            <w:pPr>
              <w:pStyle w:val="Compact"/>
              <w:jc w:val="center"/>
            </w:pPr>
            <w:r>
              <w:rPr>
                <w:b/>
                <w:bCs/>
              </w:rPr>
              <w:t>MFH-full</w:t>
            </w:r>
          </w:p>
        </w:tc>
        <w:tc>
          <w:tcPr>
            <w:tcW w:w="1579" w:type="dxa"/>
            <w:tcBorders>
              <w:top w:val="single" w:sz="12" w:space="0" w:color="auto"/>
              <w:left w:val="nil"/>
              <w:bottom w:val="single" w:sz="4" w:space="0" w:color="auto"/>
              <w:right w:val="nil"/>
            </w:tcBorders>
            <w:vAlign w:val="bottom"/>
          </w:tcPr>
          <w:p w14:paraId="247E6464" w14:textId="77777777" w:rsidR="008E4EBD" w:rsidRDefault="00483AC6">
            <w:pPr>
              <w:pStyle w:val="Compact"/>
              <w:jc w:val="center"/>
            </w:pPr>
            <w:r>
              <w:rPr>
                <w:b/>
                <w:bCs/>
              </w:rPr>
              <w:t>Oracle BLUP</w:t>
            </w:r>
          </w:p>
        </w:tc>
      </w:tr>
      <w:tr w:rsidR="008E4EBD" w14:paraId="247E646D" w14:textId="77777777">
        <w:tc>
          <w:tcPr>
            <w:tcW w:w="1002" w:type="dxa"/>
            <w:tcBorders>
              <w:top w:val="nil"/>
              <w:left w:val="nil"/>
              <w:bottom w:val="nil"/>
              <w:right w:val="nil"/>
            </w:tcBorders>
          </w:tcPr>
          <w:p w14:paraId="247E6466" w14:textId="77777777" w:rsidR="008E4EBD" w:rsidRDefault="00483AC6">
            <w:pPr>
              <w:pStyle w:val="Compact"/>
              <w:jc w:val="center"/>
            </w:pPr>
            <w:r>
              <w:t>—</w:t>
            </w:r>
          </w:p>
        </w:tc>
        <w:tc>
          <w:tcPr>
            <w:tcW w:w="716" w:type="dxa"/>
            <w:tcBorders>
              <w:top w:val="nil"/>
              <w:left w:val="nil"/>
              <w:bottom w:val="nil"/>
              <w:right w:val="nil"/>
            </w:tcBorders>
          </w:tcPr>
          <w:p w14:paraId="247E6467" w14:textId="77777777" w:rsidR="008E4EBD" w:rsidRDefault="00483AC6">
            <w:pPr>
              <w:pStyle w:val="Compact"/>
              <w:jc w:val="center"/>
            </w:pPr>
            <w:r>
              <w:t>0.0</w:t>
            </w:r>
          </w:p>
        </w:tc>
        <w:tc>
          <w:tcPr>
            <w:tcW w:w="716" w:type="dxa"/>
            <w:tcBorders>
              <w:top w:val="nil"/>
              <w:left w:val="nil"/>
              <w:bottom w:val="nil"/>
              <w:right w:val="nil"/>
            </w:tcBorders>
          </w:tcPr>
          <w:p w14:paraId="247E6468" w14:textId="77777777" w:rsidR="008E4EBD" w:rsidRDefault="00483AC6">
            <w:pPr>
              <w:pStyle w:val="Compact"/>
              <w:jc w:val="center"/>
            </w:pPr>
            <w:r>
              <w:t>0.0</w:t>
            </w:r>
          </w:p>
        </w:tc>
        <w:tc>
          <w:tcPr>
            <w:tcW w:w="2149" w:type="dxa"/>
            <w:tcBorders>
              <w:top w:val="nil"/>
              <w:left w:val="nil"/>
              <w:bottom w:val="nil"/>
              <w:right w:val="nil"/>
            </w:tcBorders>
          </w:tcPr>
          <w:p w14:paraId="247E6469" w14:textId="77777777" w:rsidR="008E4EBD" w:rsidRDefault="00483AC6">
            <w:pPr>
              <w:pStyle w:val="Compact"/>
              <w:jc w:val="center"/>
            </w:pPr>
            <w:r>
              <w:t>1.011</w:t>
            </w:r>
          </w:p>
        </w:tc>
        <w:tc>
          <w:tcPr>
            <w:tcW w:w="1432" w:type="dxa"/>
            <w:tcBorders>
              <w:top w:val="nil"/>
              <w:left w:val="nil"/>
              <w:bottom w:val="nil"/>
              <w:right w:val="nil"/>
            </w:tcBorders>
          </w:tcPr>
          <w:p w14:paraId="247E646A" w14:textId="77777777" w:rsidR="008E4EBD" w:rsidRDefault="00483AC6">
            <w:pPr>
              <w:pStyle w:val="Compact"/>
              <w:jc w:val="center"/>
            </w:pPr>
            <w:r>
              <w:t>1.028</w:t>
            </w:r>
          </w:p>
        </w:tc>
        <w:tc>
          <w:tcPr>
            <w:tcW w:w="1432" w:type="dxa"/>
            <w:tcBorders>
              <w:top w:val="nil"/>
              <w:left w:val="nil"/>
              <w:bottom w:val="nil"/>
              <w:right w:val="nil"/>
            </w:tcBorders>
          </w:tcPr>
          <w:p w14:paraId="247E646B" w14:textId="77777777" w:rsidR="008E4EBD" w:rsidRDefault="00483AC6">
            <w:pPr>
              <w:pStyle w:val="Compact"/>
              <w:jc w:val="center"/>
            </w:pPr>
            <w:r>
              <w:t>1.028</w:t>
            </w:r>
          </w:p>
        </w:tc>
        <w:tc>
          <w:tcPr>
            <w:tcW w:w="1579" w:type="dxa"/>
            <w:tcBorders>
              <w:top w:val="nil"/>
              <w:left w:val="nil"/>
              <w:bottom w:val="nil"/>
              <w:right w:val="nil"/>
            </w:tcBorders>
          </w:tcPr>
          <w:p w14:paraId="247E646C" w14:textId="77777777" w:rsidR="008E4EBD" w:rsidRDefault="00483AC6">
            <w:pPr>
              <w:pStyle w:val="Compact"/>
              <w:jc w:val="center"/>
            </w:pPr>
            <w:r>
              <w:t>0.996</w:t>
            </w:r>
          </w:p>
        </w:tc>
      </w:tr>
      <w:tr w:rsidR="008E4EBD" w14:paraId="247E6475" w14:textId="77777777">
        <w:tc>
          <w:tcPr>
            <w:tcW w:w="1002" w:type="dxa"/>
            <w:tcBorders>
              <w:top w:val="nil"/>
              <w:left w:val="nil"/>
              <w:bottom w:val="nil"/>
              <w:right w:val="nil"/>
            </w:tcBorders>
          </w:tcPr>
          <w:p w14:paraId="247E646E" w14:textId="77777777" w:rsidR="008E4EBD" w:rsidRDefault="00483AC6">
            <w:pPr>
              <w:pStyle w:val="Compact"/>
              <w:jc w:val="center"/>
            </w:pPr>
            <w:r>
              <w:t>A</w:t>
            </w:r>
          </w:p>
        </w:tc>
        <w:tc>
          <w:tcPr>
            <w:tcW w:w="716" w:type="dxa"/>
            <w:tcBorders>
              <w:top w:val="nil"/>
              <w:left w:val="nil"/>
              <w:bottom w:val="nil"/>
              <w:right w:val="nil"/>
            </w:tcBorders>
          </w:tcPr>
          <w:p w14:paraId="247E646F" w14:textId="77777777" w:rsidR="008E4EBD" w:rsidRDefault="00483AC6">
            <w:pPr>
              <w:pStyle w:val="Compact"/>
              <w:jc w:val="center"/>
            </w:pPr>
            <w:r>
              <w:t>0.0</w:t>
            </w:r>
          </w:p>
        </w:tc>
        <w:tc>
          <w:tcPr>
            <w:tcW w:w="716" w:type="dxa"/>
            <w:tcBorders>
              <w:top w:val="nil"/>
              <w:left w:val="nil"/>
              <w:bottom w:val="nil"/>
              <w:right w:val="nil"/>
            </w:tcBorders>
          </w:tcPr>
          <w:p w14:paraId="247E6470" w14:textId="77777777" w:rsidR="008E4EBD" w:rsidRDefault="00483AC6">
            <w:pPr>
              <w:pStyle w:val="Compact"/>
              <w:jc w:val="center"/>
            </w:pPr>
            <w:r>
              <w:t>0.4</w:t>
            </w:r>
          </w:p>
        </w:tc>
        <w:tc>
          <w:tcPr>
            <w:tcW w:w="2149" w:type="dxa"/>
            <w:tcBorders>
              <w:top w:val="nil"/>
              <w:left w:val="nil"/>
              <w:bottom w:val="nil"/>
              <w:right w:val="nil"/>
            </w:tcBorders>
          </w:tcPr>
          <w:p w14:paraId="247E6471" w14:textId="77777777" w:rsidR="008E4EBD" w:rsidRDefault="00483AC6">
            <w:pPr>
              <w:pStyle w:val="Compact"/>
              <w:jc w:val="center"/>
            </w:pPr>
            <w:r>
              <w:t>1.014</w:t>
            </w:r>
          </w:p>
        </w:tc>
        <w:tc>
          <w:tcPr>
            <w:tcW w:w="1432" w:type="dxa"/>
            <w:tcBorders>
              <w:top w:val="nil"/>
              <w:left w:val="nil"/>
              <w:bottom w:val="nil"/>
              <w:right w:val="nil"/>
            </w:tcBorders>
          </w:tcPr>
          <w:p w14:paraId="247E6472" w14:textId="77777777" w:rsidR="008E4EBD" w:rsidRDefault="00483AC6">
            <w:pPr>
              <w:pStyle w:val="Compact"/>
              <w:jc w:val="center"/>
            </w:pPr>
            <w:r>
              <w:t>1.099</w:t>
            </w:r>
          </w:p>
        </w:tc>
        <w:tc>
          <w:tcPr>
            <w:tcW w:w="1432" w:type="dxa"/>
            <w:tcBorders>
              <w:top w:val="nil"/>
              <w:left w:val="nil"/>
              <w:bottom w:val="nil"/>
              <w:right w:val="nil"/>
            </w:tcBorders>
          </w:tcPr>
          <w:p w14:paraId="247E6473" w14:textId="77777777" w:rsidR="008E4EBD" w:rsidRDefault="00483AC6">
            <w:pPr>
              <w:pStyle w:val="Compact"/>
              <w:jc w:val="center"/>
            </w:pPr>
            <w:r>
              <w:t>1.031</w:t>
            </w:r>
          </w:p>
        </w:tc>
        <w:tc>
          <w:tcPr>
            <w:tcW w:w="1579" w:type="dxa"/>
            <w:tcBorders>
              <w:top w:val="nil"/>
              <w:left w:val="nil"/>
              <w:bottom w:val="nil"/>
              <w:right w:val="nil"/>
            </w:tcBorders>
          </w:tcPr>
          <w:p w14:paraId="247E6474" w14:textId="77777777" w:rsidR="008E4EBD" w:rsidRDefault="00483AC6">
            <w:pPr>
              <w:pStyle w:val="Compact"/>
              <w:jc w:val="center"/>
            </w:pPr>
            <w:r>
              <w:t>0.996</w:t>
            </w:r>
          </w:p>
        </w:tc>
      </w:tr>
      <w:tr w:rsidR="008E4EBD" w14:paraId="247E647D" w14:textId="77777777">
        <w:tc>
          <w:tcPr>
            <w:tcW w:w="1002" w:type="dxa"/>
            <w:tcBorders>
              <w:top w:val="nil"/>
              <w:left w:val="nil"/>
              <w:bottom w:val="nil"/>
              <w:right w:val="nil"/>
            </w:tcBorders>
          </w:tcPr>
          <w:p w14:paraId="247E6476" w14:textId="77777777" w:rsidR="008E4EBD" w:rsidRDefault="00483AC6">
            <w:pPr>
              <w:pStyle w:val="Compact"/>
              <w:jc w:val="center"/>
            </w:pPr>
            <w:r>
              <w:t>A</w:t>
            </w:r>
          </w:p>
        </w:tc>
        <w:tc>
          <w:tcPr>
            <w:tcW w:w="716" w:type="dxa"/>
            <w:tcBorders>
              <w:top w:val="nil"/>
              <w:left w:val="nil"/>
              <w:bottom w:val="nil"/>
              <w:right w:val="nil"/>
            </w:tcBorders>
          </w:tcPr>
          <w:p w14:paraId="247E6477" w14:textId="77777777" w:rsidR="008E4EBD" w:rsidRDefault="00483AC6">
            <w:pPr>
              <w:pStyle w:val="Compact"/>
              <w:jc w:val="center"/>
            </w:pPr>
            <w:r>
              <w:t>0.0</w:t>
            </w:r>
          </w:p>
        </w:tc>
        <w:tc>
          <w:tcPr>
            <w:tcW w:w="716" w:type="dxa"/>
            <w:tcBorders>
              <w:top w:val="nil"/>
              <w:left w:val="nil"/>
              <w:bottom w:val="nil"/>
              <w:right w:val="nil"/>
            </w:tcBorders>
          </w:tcPr>
          <w:p w14:paraId="247E6478" w14:textId="77777777" w:rsidR="008E4EBD" w:rsidRDefault="00483AC6">
            <w:pPr>
              <w:pStyle w:val="Compact"/>
              <w:jc w:val="center"/>
            </w:pPr>
            <w:r>
              <w:t>0.8</w:t>
            </w:r>
          </w:p>
        </w:tc>
        <w:tc>
          <w:tcPr>
            <w:tcW w:w="2149" w:type="dxa"/>
            <w:tcBorders>
              <w:top w:val="nil"/>
              <w:left w:val="nil"/>
              <w:bottom w:val="nil"/>
              <w:right w:val="nil"/>
            </w:tcBorders>
          </w:tcPr>
          <w:p w14:paraId="247E6479" w14:textId="77777777" w:rsidR="008E4EBD" w:rsidRDefault="00483AC6">
            <w:pPr>
              <w:pStyle w:val="Compact"/>
              <w:jc w:val="center"/>
            </w:pPr>
            <w:r>
              <w:t>1.016</w:t>
            </w:r>
          </w:p>
        </w:tc>
        <w:tc>
          <w:tcPr>
            <w:tcW w:w="1432" w:type="dxa"/>
            <w:tcBorders>
              <w:top w:val="nil"/>
              <w:left w:val="nil"/>
              <w:bottom w:val="nil"/>
              <w:right w:val="nil"/>
            </w:tcBorders>
          </w:tcPr>
          <w:p w14:paraId="247E647A" w14:textId="77777777" w:rsidR="008E4EBD" w:rsidRDefault="00483AC6">
            <w:pPr>
              <w:pStyle w:val="Compact"/>
              <w:jc w:val="center"/>
            </w:pPr>
            <w:r>
              <w:t>1.346</w:t>
            </w:r>
          </w:p>
        </w:tc>
        <w:tc>
          <w:tcPr>
            <w:tcW w:w="1432" w:type="dxa"/>
            <w:tcBorders>
              <w:top w:val="nil"/>
              <w:left w:val="nil"/>
              <w:bottom w:val="nil"/>
              <w:right w:val="nil"/>
            </w:tcBorders>
          </w:tcPr>
          <w:p w14:paraId="247E647B" w14:textId="77777777" w:rsidR="008E4EBD" w:rsidRDefault="00483AC6">
            <w:pPr>
              <w:pStyle w:val="Compact"/>
              <w:jc w:val="center"/>
            </w:pPr>
            <w:r>
              <w:t>1.034</w:t>
            </w:r>
          </w:p>
        </w:tc>
        <w:tc>
          <w:tcPr>
            <w:tcW w:w="1579" w:type="dxa"/>
            <w:tcBorders>
              <w:top w:val="nil"/>
              <w:left w:val="nil"/>
              <w:bottom w:val="nil"/>
              <w:right w:val="nil"/>
            </w:tcBorders>
          </w:tcPr>
          <w:p w14:paraId="247E647C" w14:textId="77777777" w:rsidR="008E4EBD" w:rsidRDefault="00483AC6">
            <w:pPr>
              <w:pStyle w:val="Compact"/>
              <w:jc w:val="center"/>
            </w:pPr>
            <w:r>
              <w:t>0.996</w:t>
            </w:r>
          </w:p>
        </w:tc>
      </w:tr>
      <w:tr w:rsidR="008E4EBD" w14:paraId="247E6485" w14:textId="77777777">
        <w:tc>
          <w:tcPr>
            <w:tcW w:w="1002" w:type="dxa"/>
            <w:tcBorders>
              <w:top w:val="nil"/>
              <w:left w:val="nil"/>
              <w:bottom w:val="nil"/>
              <w:right w:val="nil"/>
            </w:tcBorders>
          </w:tcPr>
          <w:p w14:paraId="247E647E" w14:textId="77777777" w:rsidR="008E4EBD" w:rsidRDefault="00483AC6">
            <w:pPr>
              <w:pStyle w:val="Compact"/>
              <w:jc w:val="center"/>
            </w:pPr>
            <w:r>
              <w:t>B</w:t>
            </w:r>
          </w:p>
        </w:tc>
        <w:tc>
          <w:tcPr>
            <w:tcW w:w="716" w:type="dxa"/>
            <w:tcBorders>
              <w:top w:val="nil"/>
              <w:left w:val="nil"/>
              <w:bottom w:val="nil"/>
              <w:right w:val="nil"/>
            </w:tcBorders>
          </w:tcPr>
          <w:p w14:paraId="247E647F" w14:textId="77777777" w:rsidR="008E4EBD" w:rsidRDefault="00483AC6">
            <w:pPr>
              <w:pStyle w:val="Compact"/>
              <w:jc w:val="center"/>
            </w:pPr>
            <w:r>
              <w:t>0.4</w:t>
            </w:r>
          </w:p>
        </w:tc>
        <w:tc>
          <w:tcPr>
            <w:tcW w:w="716" w:type="dxa"/>
            <w:tcBorders>
              <w:top w:val="nil"/>
              <w:left w:val="nil"/>
              <w:bottom w:val="nil"/>
              <w:right w:val="nil"/>
            </w:tcBorders>
          </w:tcPr>
          <w:p w14:paraId="247E6480" w14:textId="77777777" w:rsidR="008E4EBD" w:rsidRDefault="00483AC6">
            <w:pPr>
              <w:pStyle w:val="Compact"/>
              <w:jc w:val="center"/>
            </w:pPr>
            <w:r>
              <w:t>0.0</w:t>
            </w:r>
          </w:p>
        </w:tc>
        <w:tc>
          <w:tcPr>
            <w:tcW w:w="2149" w:type="dxa"/>
            <w:tcBorders>
              <w:top w:val="nil"/>
              <w:left w:val="nil"/>
              <w:bottom w:val="nil"/>
              <w:right w:val="nil"/>
            </w:tcBorders>
          </w:tcPr>
          <w:p w14:paraId="247E6481" w14:textId="77777777" w:rsidR="008E4EBD" w:rsidRDefault="00483AC6">
            <w:pPr>
              <w:pStyle w:val="Compact"/>
              <w:jc w:val="center"/>
            </w:pPr>
            <w:r>
              <w:t>1.015</w:t>
            </w:r>
          </w:p>
        </w:tc>
        <w:tc>
          <w:tcPr>
            <w:tcW w:w="1432" w:type="dxa"/>
            <w:tcBorders>
              <w:top w:val="nil"/>
              <w:left w:val="nil"/>
              <w:bottom w:val="nil"/>
              <w:right w:val="nil"/>
            </w:tcBorders>
          </w:tcPr>
          <w:p w14:paraId="247E6482" w14:textId="77777777" w:rsidR="008E4EBD" w:rsidRDefault="00483AC6">
            <w:pPr>
              <w:pStyle w:val="Compact"/>
              <w:jc w:val="center"/>
            </w:pPr>
            <w:r>
              <w:t>0.942</w:t>
            </w:r>
          </w:p>
        </w:tc>
        <w:tc>
          <w:tcPr>
            <w:tcW w:w="1432" w:type="dxa"/>
            <w:tcBorders>
              <w:top w:val="nil"/>
              <w:left w:val="nil"/>
              <w:bottom w:val="nil"/>
              <w:right w:val="nil"/>
            </w:tcBorders>
          </w:tcPr>
          <w:p w14:paraId="247E6483" w14:textId="77777777" w:rsidR="008E4EBD" w:rsidRDefault="00483AC6">
            <w:pPr>
              <w:pStyle w:val="Compact"/>
              <w:jc w:val="center"/>
            </w:pPr>
            <w:r>
              <w:t>0.942</w:t>
            </w:r>
          </w:p>
        </w:tc>
        <w:tc>
          <w:tcPr>
            <w:tcW w:w="1579" w:type="dxa"/>
            <w:tcBorders>
              <w:top w:val="nil"/>
              <w:left w:val="nil"/>
              <w:bottom w:val="nil"/>
              <w:right w:val="nil"/>
            </w:tcBorders>
          </w:tcPr>
          <w:p w14:paraId="247E6484" w14:textId="77777777" w:rsidR="008E4EBD" w:rsidRDefault="00483AC6">
            <w:pPr>
              <w:pStyle w:val="Compact"/>
              <w:jc w:val="center"/>
            </w:pPr>
            <w:r>
              <w:t>0.910</w:t>
            </w:r>
          </w:p>
        </w:tc>
      </w:tr>
      <w:tr w:rsidR="008E4EBD" w14:paraId="247E648D" w14:textId="77777777">
        <w:tc>
          <w:tcPr>
            <w:tcW w:w="1002" w:type="dxa"/>
            <w:tcBorders>
              <w:top w:val="nil"/>
              <w:left w:val="nil"/>
              <w:bottom w:val="nil"/>
              <w:right w:val="nil"/>
            </w:tcBorders>
          </w:tcPr>
          <w:p w14:paraId="247E6486" w14:textId="77777777" w:rsidR="008E4EBD" w:rsidRDefault="00483AC6">
            <w:pPr>
              <w:pStyle w:val="Compact"/>
              <w:jc w:val="center"/>
            </w:pPr>
            <w:r>
              <w:t>B</w:t>
            </w:r>
          </w:p>
        </w:tc>
        <w:tc>
          <w:tcPr>
            <w:tcW w:w="716" w:type="dxa"/>
            <w:tcBorders>
              <w:top w:val="nil"/>
              <w:left w:val="nil"/>
              <w:bottom w:val="nil"/>
              <w:right w:val="nil"/>
            </w:tcBorders>
          </w:tcPr>
          <w:p w14:paraId="247E6487" w14:textId="77777777" w:rsidR="008E4EBD" w:rsidRDefault="00483AC6">
            <w:pPr>
              <w:pStyle w:val="Compact"/>
              <w:jc w:val="center"/>
            </w:pPr>
            <w:r>
              <w:t>0.8</w:t>
            </w:r>
          </w:p>
        </w:tc>
        <w:tc>
          <w:tcPr>
            <w:tcW w:w="716" w:type="dxa"/>
            <w:tcBorders>
              <w:top w:val="nil"/>
              <w:left w:val="nil"/>
              <w:bottom w:val="nil"/>
              <w:right w:val="nil"/>
            </w:tcBorders>
          </w:tcPr>
          <w:p w14:paraId="247E6488" w14:textId="77777777" w:rsidR="008E4EBD" w:rsidRDefault="00483AC6">
            <w:pPr>
              <w:pStyle w:val="Compact"/>
              <w:jc w:val="center"/>
            </w:pPr>
            <w:r>
              <w:t>0.0</w:t>
            </w:r>
          </w:p>
        </w:tc>
        <w:tc>
          <w:tcPr>
            <w:tcW w:w="2149" w:type="dxa"/>
            <w:tcBorders>
              <w:top w:val="nil"/>
              <w:left w:val="nil"/>
              <w:bottom w:val="nil"/>
              <w:right w:val="nil"/>
            </w:tcBorders>
          </w:tcPr>
          <w:p w14:paraId="247E6489" w14:textId="77777777" w:rsidR="008E4EBD" w:rsidRDefault="00483AC6">
            <w:pPr>
              <w:pStyle w:val="Compact"/>
              <w:jc w:val="center"/>
            </w:pPr>
            <w:r>
              <w:t>1.031</w:t>
            </w:r>
          </w:p>
        </w:tc>
        <w:tc>
          <w:tcPr>
            <w:tcW w:w="1432" w:type="dxa"/>
            <w:tcBorders>
              <w:top w:val="nil"/>
              <w:left w:val="nil"/>
              <w:bottom w:val="nil"/>
              <w:right w:val="nil"/>
            </w:tcBorders>
          </w:tcPr>
          <w:p w14:paraId="247E648A" w14:textId="77777777" w:rsidR="008E4EBD" w:rsidRDefault="00483AC6">
            <w:pPr>
              <w:pStyle w:val="Compact"/>
              <w:jc w:val="center"/>
            </w:pPr>
            <w:r>
              <w:t>0.636</w:t>
            </w:r>
          </w:p>
        </w:tc>
        <w:tc>
          <w:tcPr>
            <w:tcW w:w="1432" w:type="dxa"/>
            <w:tcBorders>
              <w:top w:val="nil"/>
              <w:left w:val="nil"/>
              <w:bottom w:val="nil"/>
              <w:right w:val="nil"/>
            </w:tcBorders>
          </w:tcPr>
          <w:p w14:paraId="247E648B" w14:textId="77777777" w:rsidR="008E4EBD" w:rsidRDefault="00483AC6">
            <w:pPr>
              <w:pStyle w:val="Compact"/>
              <w:jc w:val="center"/>
            </w:pPr>
            <w:r>
              <w:t>0.636</w:t>
            </w:r>
          </w:p>
        </w:tc>
        <w:tc>
          <w:tcPr>
            <w:tcW w:w="1579" w:type="dxa"/>
            <w:tcBorders>
              <w:top w:val="nil"/>
              <w:left w:val="nil"/>
              <w:bottom w:val="nil"/>
              <w:right w:val="nil"/>
            </w:tcBorders>
          </w:tcPr>
          <w:p w14:paraId="247E648C" w14:textId="77777777" w:rsidR="008E4EBD" w:rsidRDefault="00483AC6">
            <w:pPr>
              <w:pStyle w:val="Compact"/>
              <w:jc w:val="center"/>
            </w:pPr>
            <w:r>
              <w:t>0.611</w:t>
            </w:r>
          </w:p>
        </w:tc>
      </w:tr>
      <w:tr w:rsidR="008E4EBD" w14:paraId="247E6495" w14:textId="77777777">
        <w:tc>
          <w:tcPr>
            <w:tcW w:w="1002" w:type="dxa"/>
            <w:tcBorders>
              <w:top w:val="nil"/>
              <w:left w:val="nil"/>
              <w:bottom w:val="nil"/>
              <w:right w:val="nil"/>
            </w:tcBorders>
          </w:tcPr>
          <w:p w14:paraId="247E648E" w14:textId="77777777" w:rsidR="008E4EBD" w:rsidRDefault="00483AC6">
            <w:pPr>
              <w:pStyle w:val="Compact"/>
              <w:jc w:val="center"/>
            </w:pPr>
            <w:r>
              <w:t>C</w:t>
            </w:r>
          </w:p>
        </w:tc>
        <w:tc>
          <w:tcPr>
            <w:tcW w:w="716" w:type="dxa"/>
            <w:tcBorders>
              <w:top w:val="nil"/>
              <w:left w:val="nil"/>
              <w:bottom w:val="nil"/>
              <w:right w:val="nil"/>
            </w:tcBorders>
          </w:tcPr>
          <w:p w14:paraId="247E648F" w14:textId="77777777" w:rsidR="008E4EBD" w:rsidRDefault="00483AC6">
            <w:pPr>
              <w:pStyle w:val="Compact"/>
              <w:jc w:val="center"/>
            </w:pPr>
            <w:r>
              <w:t>0.4</w:t>
            </w:r>
          </w:p>
        </w:tc>
        <w:tc>
          <w:tcPr>
            <w:tcW w:w="716" w:type="dxa"/>
            <w:tcBorders>
              <w:top w:val="nil"/>
              <w:left w:val="nil"/>
              <w:bottom w:val="nil"/>
              <w:right w:val="nil"/>
            </w:tcBorders>
          </w:tcPr>
          <w:p w14:paraId="247E6490" w14:textId="77777777" w:rsidR="008E4EBD" w:rsidRDefault="00483AC6">
            <w:pPr>
              <w:pStyle w:val="Compact"/>
              <w:jc w:val="center"/>
            </w:pPr>
            <w:r>
              <w:t>0.4</w:t>
            </w:r>
          </w:p>
        </w:tc>
        <w:tc>
          <w:tcPr>
            <w:tcW w:w="2149" w:type="dxa"/>
            <w:tcBorders>
              <w:top w:val="nil"/>
              <w:left w:val="nil"/>
              <w:bottom w:val="nil"/>
              <w:right w:val="nil"/>
            </w:tcBorders>
          </w:tcPr>
          <w:p w14:paraId="247E6491" w14:textId="77777777" w:rsidR="008E4EBD" w:rsidRDefault="00483AC6">
            <w:pPr>
              <w:pStyle w:val="Compact"/>
              <w:jc w:val="center"/>
            </w:pPr>
            <w:r>
              <w:t>1.017</w:t>
            </w:r>
          </w:p>
        </w:tc>
        <w:tc>
          <w:tcPr>
            <w:tcW w:w="1432" w:type="dxa"/>
            <w:tcBorders>
              <w:top w:val="nil"/>
              <w:left w:val="nil"/>
              <w:bottom w:val="nil"/>
              <w:right w:val="nil"/>
            </w:tcBorders>
          </w:tcPr>
          <w:p w14:paraId="247E6492" w14:textId="77777777" w:rsidR="008E4EBD" w:rsidRDefault="00483AC6">
            <w:pPr>
              <w:pStyle w:val="Compact"/>
              <w:jc w:val="center"/>
            </w:pPr>
            <w:r>
              <w:t>1.010</w:t>
            </w:r>
          </w:p>
        </w:tc>
        <w:tc>
          <w:tcPr>
            <w:tcW w:w="1432" w:type="dxa"/>
            <w:tcBorders>
              <w:top w:val="nil"/>
              <w:left w:val="nil"/>
              <w:bottom w:val="nil"/>
              <w:right w:val="nil"/>
            </w:tcBorders>
          </w:tcPr>
          <w:p w14:paraId="247E6493" w14:textId="77777777" w:rsidR="008E4EBD" w:rsidRDefault="00483AC6">
            <w:pPr>
              <w:pStyle w:val="Compact"/>
              <w:jc w:val="center"/>
            </w:pPr>
            <w:r>
              <w:t>0.947</w:t>
            </w:r>
          </w:p>
        </w:tc>
        <w:tc>
          <w:tcPr>
            <w:tcW w:w="1579" w:type="dxa"/>
            <w:tcBorders>
              <w:top w:val="nil"/>
              <w:left w:val="nil"/>
              <w:bottom w:val="nil"/>
              <w:right w:val="nil"/>
            </w:tcBorders>
          </w:tcPr>
          <w:p w14:paraId="247E6494" w14:textId="77777777" w:rsidR="008E4EBD" w:rsidRDefault="00483AC6">
            <w:pPr>
              <w:pStyle w:val="Compact"/>
              <w:jc w:val="center"/>
            </w:pPr>
            <w:r>
              <w:t>0.914</w:t>
            </w:r>
          </w:p>
        </w:tc>
      </w:tr>
      <w:tr w:rsidR="008E4EBD" w14:paraId="247E649D" w14:textId="77777777">
        <w:tc>
          <w:tcPr>
            <w:tcW w:w="1002" w:type="dxa"/>
            <w:tcBorders>
              <w:top w:val="nil"/>
              <w:left w:val="nil"/>
              <w:bottom w:val="nil"/>
              <w:right w:val="nil"/>
            </w:tcBorders>
          </w:tcPr>
          <w:p w14:paraId="247E6496" w14:textId="77777777" w:rsidR="008E4EBD" w:rsidRDefault="00483AC6">
            <w:pPr>
              <w:pStyle w:val="Compact"/>
              <w:jc w:val="center"/>
            </w:pPr>
            <w:r>
              <w:t>C</w:t>
            </w:r>
          </w:p>
        </w:tc>
        <w:tc>
          <w:tcPr>
            <w:tcW w:w="716" w:type="dxa"/>
            <w:tcBorders>
              <w:top w:val="nil"/>
              <w:left w:val="nil"/>
              <w:bottom w:val="nil"/>
              <w:right w:val="nil"/>
            </w:tcBorders>
          </w:tcPr>
          <w:p w14:paraId="247E6497" w14:textId="77777777" w:rsidR="008E4EBD" w:rsidRDefault="00483AC6">
            <w:pPr>
              <w:pStyle w:val="Compact"/>
              <w:jc w:val="center"/>
            </w:pPr>
            <w:r>
              <w:t>0.4</w:t>
            </w:r>
          </w:p>
        </w:tc>
        <w:tc>
          <w:tcPr>
            <w:tcW w:w="716" w:type="dxa"/>
            <w:tcBorders>
              <w:top w:val="nil"/>
              <w:left w:val="nil"/>
              <w:bottom w:val="nil"/>
              <w:right w:val="nil"/>
            </w:tcBorders>
          </w:tcPr>
          <w:p w14:paraId="247E6498" w14:textId="77777777" w:rsidR="008E4EBD" w:rsidRDefault="00483AC6">
            <w:pPr>
              <w:pStyle w:val="Compact"/>
              <w:jc w:val="center"/>
            </w:pPr>
            <w:r>
              <w:t>0.8</w:t>
            </w:r>
          </w:p>
        </w:tc>
        <w:tc>
          <w:tcPr>
            <w:tcW w:w="2149" w:type="dxa"/>
            <w:tcBorders>
              <w:top w:val="nil"/>
              <w:left w:val="nil"/>
              <w:bottom w:val="nil"/>
              <w:right w:val="nil"/>
            </w:tcBorders>
          </w:tcPr>
          <w:p w14:paraId="247E6499" w14:textId="77777777" w:rsidR="008E4EBD" w:rsidRDefault="00483AC6">
            <w:pPr>
              <w:pStyle w:val="Compact"/>
              <w:jc w:val="center"/>
            </w:pPr>
            <w:r>
              <w:t>1.020</w:t>
            </w:r>
          </w:p>
        </w:tc>
        <w:tc>
          <w:tcPr>
            <w:tcW w:w="1432" w:type="dxa"/>
            <w:tcBorders>
              <w:top w:val="nil"/>
              <w:left w:val="nil"/>
              <w:bottom w:val="nil"/>
              <w:right w:val="nil"/>
            </w:tcBorders>
          </w:tcPr>
          <w:p w14:paraId="247E649A" w14:textId="77777777" w:rsidR="008E4EBD" w:rsidRDefault="00483AC6">
            <w:pPr>
              <w:pStyle w:val="Compact"/>
              <w:jc w:val="center"/>
            </w:pPr>
            <w:r>
              <w:t>1.253</w:t>
            </w:r>
          </w:p>
        </w:tc>
        <w:tc>
          <w:tcPr>
            <w:tcW w:w="1432" w:type="dxa"/>
            <w:tcBorders>
              <w:top w:val="nil"/>
              <w:left w:val="nil"/>
              <w:bottom w:val="nil"/>
              <w:right w:val="nil"/>
            </w:tcBorders>
          </w:tcPr>
          <w:p w14:paraId="247E649B" w14:textId="77777777" w:rsidR="008E4EBD" w:rsidRDefault="00483AC6">
            <w:pPr>
              <w:pStyle w:val="Compact"/>
              <w:jc w:val="center"/>
            </w:pPr>
            <w:r>
              <w:t>0.946</w:t>
            </w:r>
          </w:p>
        </w:tc>
        <w:tc>
          <w:tcPr>
            <w:tcW w:w="1579" w:type="dxa"/>
            <w:tcBorders>
              <w:top w:val="nil"/>
              <w:left w:val="nil"/>
              <w:bottom w:val="nil"/>
              <w:right w:val="nil"/>
            </w:tcBorders>
          </w:tcPr>
          <w:p w14:paraId="247E649C" w14:textId="77777777" w:rsidR="008E4EBD" w:rsidRDefault="00483AC6">
            <w:pPr>
              <w:pStyle w:val="Compact"/>
              <w:jc w:val="center"/>
            </w:pPr>
            <w:r>
              <w:t>0.911</w:t>
            </w:r>
          </w:p>
        </w:tc>
      </w:tr>
      <w:tr w:rsidR="008E4EBD" w14:paraId="247E64A5" w14:textId="77777777">
        <w:tc>
          <w:tcPr>
            <w:tcW w:w="1002" w:type="dxa"/>
            <w:tcBorders>
              <w:top w:val="nil"/>
              <w:left w:val="nil"/>
              <w:bottom w:val="nil"/>
              <w:right w:val="nil"/>
            </w:tcBorders>
          </w:tcPr>
          <w:p w14:paraId="247E649E" w14:textId="77777777" w:rsidR="008E4EBD" w:rsidRDefault="00483AC6">
            <w:pPr>
              <w:pStyle w:val="Compact"/>
              <w:jc w:val="center"/>
            </w:pPr>
            <w:r>
              <w:t>C</w:t>
            </w:r>
          </w:p>
        </w:tc>
        <w:tc>
          <w:tcPr>
            <w:tcW w:w="716" w:type="dxa"/>
            <w:tcBorders>
              <w:top w:val="nil"/>
              <w:left w:val="nil"/>
              <w:bottom w:val="nil"/>
              <w:right w:val="nil"/>
            </w:tcBorders>
          </w:tcPr>
          <w:p w14:paraId="247E649F" w14:textId="77777777" w:rsidR="008E4EBD" w:rsidRDefault="00483AC6">
            <w:pPr>
              <w:pStyle w:val="Compact"/>
              <w:jc w:val="center"/>
            </w:pPr>
            <w:r>
              <w:t>0.8</w:t>
            </w:r>
          </w:p>
        </w:tc>
        <w:tc>
          <w:tcPr>
            <w:tcW w:w="716" w:type="dxa"/>
            <w:tcBorders>
              <w:top w:val="nil"/>
              <w:left w:val="nil"/>
              <w:bottom w:val="nil"/>
              <w:right w:val="nil"/>
            </w:tcBorders>
          </w:tcPr>
          <w:p w14:paraId="247E64A0" w14:textId="77777777" w:rsidR="008E4EBD" w:rsidRDefault="00483AC6">
            <w:pPr>
              <w:pStyle w:val="Compact"/>
              <w:jc w:val="center"/>
            </w:pPr>
            <w:r>
              <w:t>0.4</w:t>
            </w:r>
          </w:p>
        </w:tc>
        <w:tc>
          <w:tcPr>
            <w:tcW w:w="2149" w:type="dxa"/>
            <w:tcBorders>
              <w:top w:val="nil"/>
              <w:left w:val="nil"/>
              <w:bottom w:val="nil"/>
              <w:right w:val="nil"/>
            </w:tcBorders>
          </w:tcPr>
          <w:p w14:paraId="247E64A1" w14:textId="77777777" w:rsidR="008E4EBD" w:rsidRDefault="00483AC6">
            <w:pPr>
              <w:pStyle w:val="Compact"/>
              <w:jc w:val="center"/>
            </w:pPr>
            <w:r>
              <w:t>1.033</w:t>
            </w:r>
          </w:p>
        </w:tc>
        <w:tc>
          <w:tcPr>
            <w:tcW w:w="1432" w:type="dxa"/>
            <w:tcBorders>
              <w:top w:val="nil"/>
              <w:left w:val="nil"/>
              <w:bottom w:val="nil"/>
              <w:right w:val="nil"/>
            </w:tcBorders>
          </w:tcPr>
          <w:p w14:paraId="247E64A2" w14:textId="77777777" w:rsidR="008E4EBD" w:rsidRDefault="00483AC6">
            <w:pPr>
              <w:pStyle w:val="Compact"/>
              <w:jc w:val="center"/>
            </w:pPr>
            <w:r>
              <w:t>0.725</w:t>
            </w:r>
          </w:p>
        </w:tc>
        <w:tc>
          <w:tcPr>
            <w:tcW w:w="1432" w:type="dxa"/>
            <w:tcBorders>
              <w:top w:val="nil"/>
              <w:left w:val="nil"/>
              <w:bottom w:val="nil"/>
              <w:right w:val="nil"/>
            </w:tcBorders>
          </w:tcPr>
          <w:p w14:paraId="247E64A3" w14:textId="77777777" w:rsidR="008E4EBD" w:rsidRDefault="00483AC6">
            <w:pPr>
              <w:pStyle w:val="Compact"/>
              <w:jc w:val="center"/>
            </w:pPr>
            <w:r>
              <w:t>0.678</w:t>
            </w:r>
          </w:p>
        </w:tc>
        <w:tc>
          <w:tcPr>
            <w:tcW w:w="1579" w:type="dxa"/>
            <w:tcBorders>
              <w:top w:val="nil"/>
              <w:left w:val="nil"/>
              <w:bottom w:val="nil"/>
              <w:right w:val="nil"/>
            </w:tcBorders>
          </w:tcPr>
          <w:p w14:paraId="247E64A4" w14:textId="77777777" w:rsidR="008E4EBD" w:rsidRDefault="00483AC6">
            <w:pPr>
              <w:pStyle w:val="Compact"/>
              <w:jc w:val="center"/>
            </w:pPr>
            <w:r>
              <w:t>0.652</w:t>
            </w:r>
          </w:p>
        </w:tc>
      </w:tr>
      <w:tr w:rsidR="008E4EBD" w14:paraId="247E64AD" w14:textId="77777777">
        <w:tc>
          <w:tcPr>
            <w:tcW w:w="1002" w:type="dxa"/>
            <w:tcBorders>
              <w:top w:val="nil"/>
              <w:left w:val="nil"/>
              <w:bottom w:val="single" w:sz="12" w:space="0" w:color="auto"/>
              <w:right w:val="nil"/>
            </w:tcBorders>
          </w:tcPr>
          <w:p w14:paraId="247E64A6" w14:textId="77777777" w:rsidR="008E4EBD" w:rsidRDefault="00483AC6">
            <w:pPr>
              <w:pStyle w:val="Compact"/>
              <w:jc w:val="center"/>
            </w:pPr>
            <w:r>
              <w:t>C</w:t>
            </w:r>
          </w:p>
        </w:tc>
        <w:tc>
          <w:tcPr>
            <w:tcW w:w="716" w:type="dxa"/>
            <w:tcBorders>
              <w:top w:val="nil"/>
              <w:left w:val="nil"/>
              <w:bottom w:val="single" w:sz="12" w:space="0" w:color="auto"/>
              <w:right w:val="nil"/>
            </w:tcBorders>
          </w:tcPr>
          <w:p w14:paraId="247E64A7" w14:textId="77777777" w:rsidR="008E4EBD" w:rsidRDefault="00483AC6">
            <w:pPr>
              <w:pStyle w:val="Compact"/>
              <w:jc w:val="center"/>
            </w:pPr>
            <w:r>
              <w:t>0.8</w:t>
            </w:r>
          </w:p>
        </w:tc>
        <w:tc>
          <w:tcPr>
            <w:tcW w:w="716" w:type="dxa"/>
            <w:tcBorders>
              <w:top w:val="nil"/>
              <w:left w:val="nil"/>
              <w:bottom w:val="single" w:sz="12" w:space="0" w:color="auto"/>
              <w:right w:val="nil"/>
            </w:tcBorders>
          </w:tcPr>
          <w:p w14:paraId="247E64A8" w14:textId="77777777" w:rsidR="008E4EBD" w:rsidRDefault="00483AC6">
            <w:pPr>
              <w:pStyle w:val="Compact"/>
              <w:jc w:val="center"/>
            </w:pPr>
            <w:r>
              <w:t>0.8</w:t>
            </w:r>
          </w:p>
        </w:tc>
        <w:tc>
          <w:tcPr>
            <w:tcW w:w="2149" w:type="dxa"/>
            <w:tcBorders>
              <w:top w:val="nil"/>
              <w:left w:val="nil"/>
              <w:bottom w:val="single" w:sz="12" w:space="0" w:color="auto"/>
              <w:right w:val="nil"/>
            </w:tcBorders>
          </w:tcPr>
          <w:p w14:paraId="247E64A9" w14:textId="77777777" w:rsidR="008E4EBD" w:rsidRDefault="00483AC6">
            <w:pPr>
              <w:pStyle w:val="Compact"/>
              <w:jc w:val="center"/>
            </w:pPr>
            <w:r>
              <w:t>1.036</w:t>
            </w:r>
          </w:p>
        </w:tc>
        <w:tc>
          <w:tcPr>
            <w:tcW w:w="1432" w:type="dxa"/>
            <w:tcBorders>
              <w:top w:val="nil"/>
              <w:left w:val="nil"/>
              <w:bottom w:val="single" w:sz="12" w:space="0" w:color="auto"/>
              <w:right w:val="nil"/>
            </w:tcBorders>
          </w:tcPr>
          <w:p w14:paraId="247E64AA" w14:textId="77777777" w:rsidR="008E4EBD" w:rsidRDefault="00483AC6">
            <w:pPr>
              <w:pStyle w:val="Compact"/>
              <w:jc w:val="center"/>
            </w:pPr>
            <w:r>
              <w:t>0.880</w:t>
            </w:r>
          </w:p>
        </w:tc>
        <w:tc>
          <w:tcPr>
            <w:tcW w:w="1432" w:type="dxa"/>
            <w:tcBorders>
              <w:top w:val="nil"/>
              <w:left w:val="nil"/>
              <w:bottom w:val="single" w:sz="12" w:space="0" w:color="auto"/>
              <w:right w:val="nil"/>
            </w:tcBorders>
          </w:tcPr>
          <w:p w14:paraId="247E64AB" w14:textId="77777777" w:rsidR="008E4EBD" w:rsidRDefault="00483AC6">
            <w:pPr>
              <w:pStyle w:val="Compact"/>
              <w:jc w:val="center"/>
            </w:pPr>
            <w:r>
              <w:t>0.698</w:t>
            </w:r>
          </w:p>
        </w:tc>
        <w:tc>
          <w:tcPr>
            <w:tcW w:w="1579" w:type="dxa"/>
            <w:tcBorders>
              <w:top w:val="nil"/>
              <w:left w:val="nil"/>
              <w:bottom w:val="single" w:sz="12" w:space="0" w:color="auto"/>
              <w:right w:val="nil"/>
            </w:tcBorders>
          </w:tcPr>
          <w:p w14:paraId="247E64AC" w14:textId="77777777" w:rsidR="008E4EBD" w:rsidRDefault="00483AC6">
            <w:pPr>
              <w:pStyle w:val="Compact"/>
              <w:jc w:val="center"/>
            </w:pPr>
            <w:r>
              <w:t>0.671</w:t>
            </w:r>
          </w:p>
        </w:tc>
      </w:tr>
    </w:tbl>
    <w:p w14:paraId="247E64AE" w14:textId="42E66CB3" w:rsidR="008E4EBD" w:rsidRDefault="00483AC6">
      <w:pPr>
        <w:pStyle w:val="BodyText"/>
      </w:pPr>
      <w:r>
        <w:rPr>
          <w:i/>
        </w:rPr>
        <w:t>Note:</w:t>
      </w:r>
      <w:r>
        <w:t xml:space="preserve"> Monte Carlo standard errors </w:t>
      </w:r>
      <w:r w:rsidR="006D0744">
        <w:t>range from 0.009 to</w:t>
      </w:r>
      <w:r>
        <w:t xml:space="preserve"> 0.020 (Annex Table A.2).</w:t>
      </w:r>
    </w:p>
    <w:p w14:paraId="247E64AF" w14:textId="0467A758" w:rsidR="008E4EBD" w:rsidRDefault="00483AC6">
      <w:pPr>
        <w:pStyle w:val="BodyText"/>
      </w:pPr>
      <w:r>
        <w:t xml:space="preserve">Group A confirms the theoretical claim of Section 11.1: when the area effects are independent over time, autocorrelated sampling errors create no information about a missing area-year. With known β, the oracle BLUP collapses to the synthetic prediction and its theoretical bound is A = 1, regardless of ρ_e. The reported Synthetic (UFH) column uses β estimated from the pooled UFH fit, which explains its small sampling variation around that bound. MFH-full correctly learns that there is essentially nothing to </w:t>
      </w:r>
      <w:r>
        <w:t>borrow (ρ_u ≈ 0), paying only a small estimation premium (1.031–1.034). MFH-diag, however, is actively harmful: its spurious ρ_u manufactures fictitious borrowing from the observed years, driving the MSE up to 1.346 at ρ_e = 0.8, 33 percent worse than simply using the feasible synthetic prediction. An analyst who upgraded from UFH to MFH precisely in order to handle missing area-years, but kept the default diagonal D_i, would be worse off than if no borrowing had been attempted.</w:t>
      </w:r>
    </w:p>
    <w:p w14:paraId="247E64B0" w14:textId="77777777" w:rsidR="008E4EBD" w:rsidRDefault="00483AC6">
      <w:pPr>
        <w:pStyle w:val="BodyText"/>
      </w:pPr>
      <w:r>
        <w:t xml:space="preserve">Group B reproduces the gains from genuine persistence: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the conditional predictor reduces the MSE by 38 percent relative to synthetic prediction (0.636 versus 1.031), nearly attaining the oracle bound (0.611). Group C shows that these gains survive sampling-error autocorrelation only if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correctly specified: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MFH-full attains 0.698 against the oracle’s 0.671, while MFH-diag retains barely half the achievable improvement (0.880), and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MFH-diag is again worse than synthetic prediction (1.253 versus 1.020) even though genuine borrowing opportunities exist. </w:t>
      </w:r>
      <w:r>
        <w:lastRenderedPageBreak/>
        <w:t xml:space="preserve">The pattern follows directly from the partitioned predictor: the information about the missing year flows only through </w:t>
      </w: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oMath>
      <w:r>
        <w:t xml:space="preserve">, but the weights </w:t>
      </w:r>
      <m:oMath>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oMath>
      <w:r>
        <w:t xml:space="preserve"> are computed through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and a misspecified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corrupts both the estimate of </w:t>
      </w:r>
      <m:oMath>
        <m:r>
          <w:rPr>
            <w:rFonts w:ascii="Cambria Math" w:hAnsi="Cambria Math"/>
          </w:rPr>
          <m:t>G</m:t>
        </m:r>
      </m:oMath>
      <w:r>
        <w:t xml:space="preserve"> and the inversion. For poverty mapping, the implication is direct: when area effects persist over time, direct estimates from earlier survey rounds carry substantial information about current-period parameters for areas missed by the current survey—but harvesting that information requires the sampling-error covariance, not just the area-effect covariance, to be specified correctly.</w:t>
      </w:r>
    </w:p>
    <w:p w14:paraId="247E64B1" w14:textId="77777777" w:rsidR="008E4EBD" w:rsidRDefault="00483AC6">
      <w:pPr>
        <w:pStyle w:val="Heading2"/>
      </w:pPr>
      <w:bookmarkStart w:id="19" w:name="impact-on-the-point-estimates-themselves"/>
      <w:r>
        <w:t>11.5. Impact on the point estimates themselves</w:t>
      </w:r>
      <w:bookmarkEnd w:id="19"/>
    </w:p>
    <w:p w14:paraId="247E64B2" w14:textId="298EC066" w:rsidR="008E4EBD" w:rsidRDefault="00483AC6">
      <w:pPr>
        <w:pStyle w:val="FirstParagraph"/>
      </w:pPr>
      <w:r>
        <w:t xml:space="preserve">The MSE comparisons above can obscure the most practical question: do the </w:t>
      </w:r>
      <w:r>
        <w:rPr>
          <w:i/>
        </w:rPr>
        <w:t>published numbers</w:t>
      </w:r>
      <w:r>
        <w:t xml:space="preserve"> actually change when the sampling-error covariance is mismodeled? They do, and the pattern is instructive. For every feasible predictor</w:t>
      </w:r>
      <w:r w:rsidR="009C18C8">
        <w:t>,</w:t>
      </w:r>
      <w:r>
        <w:t xml:space="preserve"> we compute the absolute deviation of its point prediction from the oracle BLUP for the same area-year,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oracle</m:t>
            </m:r>
          </m:sup>
        </m:sSubSup>
        <m:r>
          <w:rPr>
            <w:rFonts w:ascii="Cambria Math" w:hAnsi="Cambria Math"/>
          </w:rPr>
          <m:t>|</m:t>
        </m:r>
      </m:oMath>
      <w:r>
        <w:t>, pooled across all relevant cells and replications. Tables 3 and 4 report the mean and the 90th percentile of these deviations for observed and missing area-years</w:t>
      </w:r>
      <w:r w:rsidR="009C18C8">
        <w:t>,</w:t>
      </w:r>
      <w:r>
        <w:t xml:space="preserve"> respectively.</w:t>
      </w:r>
    </w:p>
    <w:p w14:paraId="247E64B3" w14:textId="77777777" w:rsidR="008E4EBD" w:rsidRDefault="00483AC6">
      <w:pPr>
        <w:pStyle w:val="BodyText"/>
      </w:pPr>
      <w:r>
        <w:t>Table 3—Absolute Deviation of Point Predictions from the Oracle BLUP, Observed Area-Years (Mean, with 90th Percentile in Parentheses)</w:t>
      </w:r>
    </w:p>
    <w:tbl>
      <w:tblPr>
        <w:tblStyle w:val="Table"/>
        <w:tblW w:w="9026" w:type="dxa"/>
        <w:tblLayout w:type="fixed"/>
        <w:tblLook w:val="07E0" w:firstRow="1" w:lastRow="1" w:firstColumn="1" w:lastColumn="1" w:noHBand="1" w:noVBand="1"/>
      </w:tblPr>
      <w:tblGrid>
        <w:gridCol w:w="915"/>
        <w:gridCol w:w="654"/>
        <w:gridCol w:w="654"/>
        <w:gridCol w:w="1700"/>
        <w:gridCol w:w="1700"/>
        <w:gridCol w:w="1700"/>
        <w:gridCol w:w="1703"/>
      </w:tblGrid>
      <w:tr w:rsidR="008E4EBD" w14:paraId="247E64BB" w14:textId="77777777">
        <w:tc>
          <w:tcPr>
            <w:tcW w:w="915" w:type="dxa"/>
            <w:tcBorders>
              <w:top w:val="single" w:sz="12" w:space="0" w:color="auto"/>
              <w:left w:val="nil"/>
              <w:bottom w:val="single" w:sz="4" w:space="0" w:color="auto"/>
              <w:right w:val="nil"/>
            </w:tcBorders>
            <w:vAlign w:val="bottom"/>
          </w:tcPr>
          <w:p w14:paraId="247E64B4" w14:textId="77777777" w:rsidR="008E4EBD" w:rsidRDefault="00483AC6">
            <w:pPr>
              <w:pStyle w:val="Compact"/>
              <w:jc w:val="center"/>
            </w:pPr>
            <w:r>
              <w:rPr>
                <w:b/>
                <w:bCs/>
              </w:rPr>
              <w:t>Group</w:t>
            </w:r>
          </w:p>
        </w:tc>
        <w:tc>
          <w:tcPr>
            <w:tcW w:w="654" w:type="dxa"/>
            <w:tcBorders>
              <w:top w:val="single" w:sz="12" w:space="0" w:color="auto"/>
              <w:left w:val="nil"/>
              <w:bottom w:val="single" w:sz="4" w:space="0" w:color="auto"/>
              <w:right w:val="nil"/>
            </w:tcBorders>
            <w:vAlign w:val="bottom"/>
          </w:tcPr>
          <w:p w14:paraId="247E64B5"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654" w:type="dxa"/>
            <w:tcBorders>
              <w:top w:val="single" w:sz="12" w:space="0" w:color="auto"/>
              <w:left w:val="nil"/>
              <w:bottom w:val="single" w:sz="4" w:space="0" w:color="auto"/>
              <w:right w:val="nil"/>
            </w:tcBorders>
            <w:vAlign w:val="bottom"/>
          </w:tcPr>
          <w:p w14:paraId="247E64B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700" w:type="dxa"/>
            <w:tcBorders>
              <w:top w:val="single" w:sz="12" w:space="0" w:color="auto"/>
              <w:left w:val="nil"/>
              <w:bottom w:val="single" w:sz="4" w:space="0" w:color="auto"/>
              <w:right w:val="nil"/>
            </w:tcBorders>
            <w:vAlign w:val="bottom"/>
          </w:tcPr>
          <w:p w14:paraId="247E64B7" w14:textId="77777777" w:rsidR="008E4EBD" w:rsidRDefault="00483AC6">
            <w:pPr>
              <w:pStyle w:val="Compact"/>
              <w:jc w:val="center"/>
            </w:pPr>
            <w:r>
              <w:rPr>
                <w:b/>
                <w:bCs/>
              </w:rPr>
              <w:t>Synthetic</w:t>
            </w:r>
          </w:p>
        </w:tc>
        <w:tc>
          <w:tcPr>
            <w:tcW w:w="1700" w:type="dxa"/>
            <w:tcBorders>
              <w:top w:val="single" w:sz="12" w:space="0" w:color="auto"/>
              <w:left w:val="nil"/>
              <w:bottom w:val="single" w:sz="4" w:space="0" w:color="auto"/>
              <w:right w:val="nil"/>
            </w:tcBorders>
            <w:vAlign w:val="bottom"/>
          </w:tcPr>
          <w:p w14:paraId="247E64B8" w14:textId="77777777" w:rsidR="008E4EBD" w:rsidRDefault="00483AC6">
            <w:pPr>
              <w:pStyle w:val="Compact"/>
              <w:jc w:val="center"/>
            </w:pPr>
            <w:r>
              <w:rPr>
                <w:b/>
                <w:bCs/>
              </w:rPr>
              <w:t>UFH</w:t>
            </w:r>
          </w:p>
        </w:tc>
        <w:tc>
          <w:tcPr>
            <w:tcW w:w="1700" w:type="dxa"/>
            <w:tcBorders>
              <w:top w:val="single" w:sz="12" w:space="0" w:color="auto"/>
              <w:left w:val="nil"/>
              <w:bottom w:val="single" w:sz="4" w:space="0" w:color="auto"/>
              <w:right w:val="nil"/>
            </w:tcBorders>
            <w:vAlign w:val="bottom"/>
          </w:tcPr>
          <w:p w14:paraId="247E64B9" w14:textId="77777777" w:rsidR="008E4EBD" w:rsidRDefault="00483AC6">
            <w:pPr>
              <w:pStyle w:val="Compact"/>
              <w:jc w:val="center"/>
            </w:pPr>
            <w:r>
              <w:rPr>
                <w:b/>
                <w:bCs/>
              </w:rPr>
              <w:t>MFH-diag</w:t>
            </w:r>
          </w:p>
        </w:tc>
        <w:tc>
          <w:tcPr>
            <w:tcW w:w="1703" w:type="dxa"/>
            <w:tcBorders>
              <w:top w:val="single" w:sz="12" w:space="0" w:color="auto"/>
              <w:left w:val="nil"/>
              <w:bottom w:val="single" w:sz="4" w:space="0" w:color="auto"/>
              <w:right w:val="nil"/>
            </w:tcBorders>
            <w:vAlign w:val="bottom"/>
          </w:tcPr>
          <w:p w14:paraId="247E64BA" w14:textId="77777777" w:rsidR="008E4EBD" w:rsidRDefault="00483AC6">
            <w:pPr>
              <w:pStyle w:val="Compact"/>
              <w:jc w:val="center"/>
            </w:pPr>
            <w:r>
              <w:rPr>
                <w:b/>
                <w:bCs/>
              </w:rPr>
              <w:t>MFH-full</w:t>
            </w:r>
          </w:p>
        </w:tc>
      </w:tr>
      <w:tr w:rsidR="008E4EBD" w14:paraId="247E64C3" w14:textId="77777777">
        <w:tc>
          <w:tcPr>
            <w:tcW w:w="915" w:type="dxa"/>
            <w:tcBorders>
              <w:top w:val="nil"/>
              <w:left w:val="nil"/>
              <w:bottom w:val="nil"/>
              <w:right w:val="nil"/>
            </w:tcBorders>
          </w:tcPr>
          <w:p w14:paraId="247E64BC" w14:textId="77777777" w:rsidR="008E4EBD" w:rsidRDefault="00483AC6">
            <w:pPr>
              <w:pStyle w:val="Compact"/>
              <w:jc w:val="center"/>
            </w:pPr>
            <w:r>
              <w:t>—</w:t>
            </w:r>
          </w:p>
        </w:tc>
        <w:tc>
          <w:tcPr>
            <w:tcW w:w="654" w:type="dxa"/>
            <w:tcBorders>
              <w:top w:val="nil"/>
              <w:left w:val="nil"/>
              <w:bottom w:val="nil"/>
              <w:right w:val="nil"/>
            </w:tcBorders>
          </w:tcPr>
          <w:p w14:paraId="247E64BD" w14:textId="77777777" w:rsidR="008E4EBD" w:rsidRDefault="00483AC6">
            <w:pPr>
              <w:pStyle w:val="Compact"/>
              <w:jc w:val="center"/>
            </w:pPr>
            <w:r>
              <w:t>0.0</w:t>
            </w:r>
          </w:p>
        </w:tc>
        <w:tc>
          <w:tcPr>
            <w:tcW w:w="654" w:type="dxa"/>
            <w:tcBorders>
              <w:top w:val="nil"/>
              <w:left w:val="nil"/>
              <w:bottom w:val="nil"/>
              <w:right w:val="nil"/>
            </w:tcBorders>
          </w:tcPr>
          <w:p w14:paraId="247E64BE" w14:textId="77777777" w:rsidR="008E4EBD" w:rsidRDefault="00483AC6">
            <w:pPr>
              <w:pStyle w:val="Compact"/>
              <w:jc w:val="center"/>
            </w:pPr>
            <w:r>
              <w:t>0.0</w:t>
            </w:r>
          </w:p>
        </w:tc>
        <w:tc>
          <w:tcPr>
            <w:tcW w:w="1700" w:type="dxa"/>
            <w:tcBorders>
              <w:top w:val="nil"/>
              <w:left w:val="nil"/>
              <w:bottom w:val="nil"/>
              <w:right w:val="nil"/>
            </w:tcBorders>
          </w:tcPr>
          <w:p w14:paraId="247E64BF" w14:textId="77777777" w:rsidR="008E4EBD" w:rsidRDefault="00483AC6">
            <w:pPr>
              <w:pStyle w:val="Compact"/>
              <w:jc w:val="center"/>
            </w:pPr>
            <w:r>
              <w:t>0.571 (1.182)</w:t>
            </w:r>
          </w:p>
        </w:tc>
        <w:tc>
          <w:tcPr>
            <w:tcW w:w="1700" w:type="dxa"/>
            <w:tcBorders>
              <w:top w:val="nil"/>
              <w:left w:val="nil"/>
              <w:bottom w:val="nil"/>
              <w:right w:val="nil"/>
            </w:tcBorders>
          </w:tcPr>
          <w:p w14:paraId="247E64C0" w14:textId="77777777" w:rsidR="008E4EBD" w:rsidRDefault="00483AC6">
            <w:pPr>
              <w:pStyle w:val="Compact"/>
              <w:jc w:val="center"/>
            </w:pPr>
            <w:r>
              <w:t>0.063 (0.134)</w:t>
            </w:r>
          </w:p>
        </w:tc>
        <w:tc>
          <w:tcPr>
            <w:tcW w:w="1700" w:type="dxa"/>
            <w:tcBorders>
              <w:top w:val="nil"/>
              <w:left w:val="nil"/>
              <w:bottom w:val="nil"/>
              <w:right w:val="nil"/>
            </w:tcBorders>
          </w:tcPr>
          <w:p w14:paraId="247E64C1" w14:textId="77777777" w:rsidR="008E4EBD" w:rsidRDefault="00483AC6">
            <w:pPr>
              <w:pStyle w:val="Compact"/>
              <w:jc w:val="center"/>
            </w:pPr>
            <w:r>
              <w:t>0.082 (0.176)</w:t>
            </w:r>
          </w:p>
        </w:tc>
        <w:tc>
          <w:tcPr>
            <w:tcW w:w="1703" w:type="dxa"/>
            <w:tcBorders>
              <w:top w:val="nil"/>
              <w:left w:val="nil"/>
              <w:bottom w:val="nil"/>
              <w:right w:val="nil"/>
            </w:tcBorders>
          </w:tcPr>
          <w:p w14:paraId="247E64C2" w14:textId="77777777" w:rsidR="008E4EBD" w:rsidRDefault="00483AC6">
            <w:pPr>
              <w:pStyle w:val="Compact"/>
              <w:jc w:val="center"/>
            </w:pPr>
            <w:r>
              <w:t>0.082 (0.176)</w:t>
            </w:r>
          </w:p>
        </w:tc>
      </w:tr>
      <w:tr w:rsidR="008E4EBD" w14:paraId="247E64CB" w14:textId="77777777">
        <w:tc>
          <w:tcPr>
            <w:tcW w:w="915" w:type="dxa"/>
            <w:tcBorders>
              <w:top w:val="nil"/>
              <w:left w:val="nil"/>
              <w:bottom w:val="nil"/>
              <w:right w:val="nil"/>
            </w:tcBorders>
          </w:tcPr>
          <w:p w14:paraId="247E64C4" w14:textId="77777777" w:rsidR="008E4EBD" w:rsidRDefault="00483AC6">
            <w:pPr>
              <w:pStyle w:val="Compact"/>
              <w:jc w:val="center"/>
            </w:pPr>
            <w:r>
              <w:t>A</w:t>
            </w:r>
          </w:p>
        </w:tc>
        <w:tc>
          <w:tcPr>
            <w:tcW w:w="654" w:type="dxa"/>
            <w:tcBorders>
              <w:top w:val="nil"/>
              <w:left w:val="nil"/>
              <w:bottom w:val="nil"/>
              <w:right w:val="nil"/>
            </w:tcBorders>
          </w:tcPr>
          <w:p w14:paraId="247E64C5" w14:textId="77777777" w:rsidR="008E4EBD" w:rsidRDefault="00483AC6">
            <w:pPr>
              <w:pStyle w:val="Compact"/>
              <w:jc w:val="center"/>
            </w:pPr>
            <w:r>
              <w:t>0.0</w:t>
            </w:r>
          </w:p>
        </w:tc>
        <w:tc>
          <w:tcPr>
            <w:tcW w:w="654" w:type="dxa"/>
            <w:tcBorders>
              <w:top w:val="nil"/>
              <w:left w:val="nil"/>
              <w:bottom w:val="nil"/>
              <w:right w:val="nil"/>
            </w:tcBorders>
          </w:tcPr>
          <w:p w14:paraId="247E64C6" w14:textId="77777777" w:rsidR="008E4EBD" w:rsidRDefault="00483AC6">
            <w:pPr>
              <w:pStyle w:val="Compact"/>
              <w:jc w:val="center"/>
            </w:pPr>
            <w:r>
              <w:t>0.4</w:t>
            </w:r>
          </w:p>
        </w:tc>
        <w:tc>
          <w:tcPr>
            <w:tcW w:w="1700" w:type="dxa"/>
            <w:tcBorders>
              <w:top w:val="nil"/>
              <w:left w:val="nil"/>
              <w:bottom w:val="nil"/>
              <w:right w:val="nil"/>
            </w:tcBorders>
          </w:tcPr>
          <w:p w14:paraId="247E64C7" w14:textId="77777777" w:rsidR="008E4EBD" w:rsidRDefault="00483AC6">
            <w:pPr>
              <w:pStyle w:val="Compact"/>
              <w:jc w:val="center"/>
            </w:pPr>
            <w:r>
              <w:t>0.587 (1.213)</w:t>
            </w:r>
          </w:p>
        </w:tc>
        <w:tc>
          <w:tcPr>
            <w:tcW w:w="1700" w:type="dxa"/>
            <w:tcBorders>
              <w:top w:val="nil"/>
              <w:left w:val="nil"/>
              <w:bottom w:val="nil"/>
              <w:right w:val="nil"/>
            </w:tcBorders>
          </w:tcPr>
          <w:p w14:paraId="247E64C8" w14:textId="77777777" w:rsidR="008E4EBD" w:rsidRDefault="00483AC6">
            <w:pPr>
              <w:pStyle w:val="Compact"/>
              <w:jc w:val="center"/>
            </w:pPr>
            <w:r>
              <w:t>0.149 (0.310)</w:t>
            </w:r>
          </w:p>
        </w:tc>
        <w:tc>
          <w:tcPr>
            <w:tcW w:w="1700" w:type="dxa"/>
            <w:tcBorders>
              <w:top w:val="nil"/>
              <w:left w:val="nil"/>
              <w:bottom w:val="nil"/>
              <w:right w:val="nil"/>
            </w:tcBorders>
          </w:tcPr>
          <w:p w14:paraId="247E64C9" w14:textId="77777777" w:rsidR="008E4EBD" w:rsidRDefault="00483AC6">
            <w:pPr>
              <w:pStyle w:val="Compact"/>
              <w:jc w:val="center"/>
            </w:pPr>
            <w:r>
              <w:t>0.259 (0.547)</w:t>
            </w:r>
          </w:p>
        </w:tc>
        <w:tc>
          <w:tcPr>
            <w:tcW w:w="1703" w:type="dxa"/>
            <w:tcBorders>
              <w:top w:val="nil"/>
              <w:left w:val="nil"/>
              <w:bottom w:val="nil"/>
              <w:right w:val="nil"/>
            </w:tcBorders>
          </w:tcPr>
          <w:p w14:paraId="247E64CA" w14:textId="77777777" w:rsidR="008E4EBD" w:rsidRDefault="00483AC6">
            <w:pPr>
              <w:pStyle w:val="Compact"/>
              <w:jc w:val="center"/>
            </w:pPr>
            <w:r>
              <w:t>0.089 (0.189)</w:t>
            </w:r>
          </w:p>
        </w:tc>
      </w:tr>
      <w:tr w:rsidR="008E4EBD" w14:paraId="247E64D3" w14:textId="77777777">
        <w:tc>
          <w:tcPr>
            <w:tcW w:w="915" w:type="dxa"/>
            <w:tcBorders>
              <w:top w:val="nil"/>
              <w:left w:val="nil"/>
              <w:bottom w:val="nil"/>
              <w:right w:val="nil"/>
            </w:tcBorders>
          </w:tcPr>
          <w:p w14:paraId="247E64CC" w14:textId="77777777" w:rsidR="008E4EBD" w:rsidRDefault="00483AC6">
            <w:pPr>
              <w:pStyle w:val="Compact"/>
              <w:jc w:val="center"/>
            </w:pPr>
            <w:r>
              <w:t>A</w:t>
            </w:r>
          </w:p>
        </w:tc>
        <w:tc>
          <w:tcPr>
            <w:tcW w:w="654" w:type="dxa"/>
            <w:tcBorders>
              <w:top w:val="nil"/>
              <w:left w:val="nil"/>
              <w:bottom w:val="nil"/>
              <w:right w:val="nil"/>
            </w:tcBorders>
          </w:tcPr>
          <w:p w14:paraId="247E64CD" w14:textId="77777777" w:rsidR="008E4EBD" w:rsidRDefault="00483AC6">
            <w:pPr>
              <w:pStyle w:val="Compact"/>
              <w:jc w:val="center"/>
            </w:pPr>
            <w:r>
              <w:t>0.0</w:t>
            </w:r>
          </w:p>
        </w:tc>
        <w:tc>
          <w:tcPr>
            <w:tcW w:w="654" w:type="dxa"/>
            <w:tcBorders>
              <w:top w:val="nil"/>
              <w:left w:val="nil"/>
              <w:bottom w:val="nil"/>
              <w:right w:val="nil"/>
            </w:tcBorders>
          </w:tcPr>
          <w:p w14:paraId="247E64CE" w14:textId="77777777" w:rsidR="008E4EBD" w:rsidRDefault="00483AC6">
            <w:pPr>
              <w:pStyle w:val="Compact"/>
              <w:jc w:val="center"/>
            </w:pPr>
            <w:r>
              <w:t>0.8</w:t>
            </w:r>
          </w:p>
        </w:tc>
        <w:tc>
          <w:tcPr>
            <w:tcW w:w="1700" w:type="dxa"/>
            <w:tcBorders>
              <w:top w:val="nil"/>
              <w:left w:val="nil"/>
              <w:bottom w:val="nil"/>
              <w:right w:val="nil"/>
            </w:tcBorders>
          </w:tcPr>
          <w:p w14:paraId="247E64CF" w14:textId="77777777" w:rsidR="008E4EBD" w:rsidRDefault="00483AC6">
            <w:pPr>
              <w:pStyle w:val="Compact"/>
              <w:jc w:val="center"/>
            </w:pPr>
            <w:r>
              <w:t>0.641 (1.322)</w:t>
            </w:r>
          </w:p>
        </w:tc>
        <w:tc>
          <w:tcPr>
            <w:tcW w:w="1700" w:type="dxa"/>
            <w:tcBorders>
              <w:top w:val="nil"/>
              <w:left w:val="nil"/>
              <w:bottom w:val="nil"/>
              <w:right w:val="nil"/>
            </w:tcBorders>
          </w:tcPr>
          <w:p w14:paraId="247E64D0" w14:textId="77777777" w:rsidR="008E4EBD" w:rsidRDefault="00483AC6">
            <w:pPr>
              <w:pStyle w:val="Compact"/>
              <w:jc w:val="center"/>
            </w:pPr>
            <w:r>
              <w:t>0.297 (0.615)</w:t>
            </w:r>
          </w:p>
        </w:tc>
        <w:tc>
          <w:tcPr>
            <w:tcW w:w="1700" w:type="dxa"/>
            <w:tcBorders>
              <w:top w:val="nil"/>
              <w:left w:val="nil"/>
              <w:bottom w:val="nil"/>
              <w:right w:val="nil"/>
            </w:tcBorders>
          </w:tcPr>
          <w:p w14:paraId="247E64D1" w14:textId="77777777" w:rsidR="008E4EBD" w:rsidRDefault="00483AC6">
            <w:pPr>
              <w:pStyle w:val="Compact"/>
              <w:jc w:val="center"/>
            </w:pPr>
            <w:r>
              <w:t>0.541 (1.126)</w:t>
            </w:r>
          </w:p>
        </w:tc>
        <w:tc>
          <w:tcPr>
            <w:tcW w:w="1703" w:type="dxa"/>
            <w:tcBorders>
              <w:top w:val="nil"/>
              <w:left w:val="nil"/>
              <w:bottom w:val="nil"/>
              <w:right w:val="nil"/>
            </w:tcBorders>
          </w:tcPr>
          <w:p w14:paraId="247E64D2" w14:textId="77777777" w:rsidR="008E4EBD" w:rsidRDefault="00483AC6">
            <w:pPr>
              <w:pStyle w:val="Compact"/>
              <w:jc w:val="center"/>
            </w:pPr>
            <w:r>
              <w:t>0.096 (0.199)</w:t>
            </w:r>
          </w:p>
        </w:tc>
      </w:tr>
      <w:tr w:rsidR="008E4EBD" w14:paraId="247E64DB" w14:textId="77777777">
        <w:tc>
          <w:tcPr>
            <w:tcW w:w="915" w:type="dxa"/>
            <w:tcBorders>
              <w:top w:val="nil"/>
              <w:left w:val="nil"/>
              <w:bottom w:val="nil"/>
              <w:right w:val="nil"/>
            </w:tcBorders>
          </w:tcPr>
          <w:p w14:paraId="247E64D4" w14:textId="77777777" w:rsidR="008E4EBD" w:rsidRDefault="00483AC6">
            <w:pPr>
              <w:pStyle w:val="Compact"/>
              <w:jc w:val="center"/>
            </w:pPr>
            <w:r>
              <w:t>B</w:t>
            </w:r>
          </w:p>
        </w:tc>
        <w:tc>
          <w:tcPr>
            <w:tcW w:w="654" w:type="dxa"/>
            <w:tcBorders>
              <w:top w:val="nil"/>
              <w:left w:val="nil"/>
              <w:bottom w:val="nil"/>
              <w:right w:val="nil"/>
            </w:tcBorders>
          </w:tcPr>
          <w:p w14:paraId="247E64D5" w14:textId="77777777" w:rsidR="008E4EBD" w:rsidRDefault="00483AC6">
            <w:pPr>
              <w:pStyle w:val="Compact"/>
              <w:jc w:val="center"/>
            </w:pPr>
            <w:r>
              <w:t>0.4</w:t>
            </w:r>
          </w:p>
        </w:tc>
        <w:tc>
          <w:tcPr>
            <w:tcW w:w="654" w:type="dxa"/>
            <w:tcBorders>
              <w:top w:val="nil"/>
              <w:left w:val="nil"/>
              <w:bottom w:val="nil"/>
              <w:right w:val="nil"/>
            </w:tcBorders>
          </w:tcPr>
          <w:p w14:paraId="247E64D6" w14:textId="77777777" w:rsidR="008E4EBD" w:rsidRDefault="00483AC6">
            <w:pPr>
              <w:pStyle w:val="Compact"/>
              <w:jc w:val="center"/>
            </w:pPr>
            <w:r>
              <w:t>0.0</w:t>
            </w:r>
          </w:p>
        </w:tc>
        <w:tc>
          <w:tcPr>
            <w:tcW w:w="1700" w:type="dxa"/>
            <w:tcBorders>
              <w:top w:val="nil"/>
              <w:left w:val="nil"/>
              <w:bottom w:val="nil"/>
              <w:right w:val="nil"/>
            </w:tcBorders>
          </w:tcPr>
          <w:p w14:paraId="247E64D7" w14:textId="77777777" w:rsidR="008E4EBD" w:rsidRDefault="00483AC6">
            <w:pPr>
              <w:pStyle w:val="Compact"/>
              <w:jc w:val="center"/>
            </w:pPr>
            <w:r>
              <w:t>0.585 (1.212)</w:t>
            </w:r>
          </w:p>
        </w:tc>
        <w:tc>
          <w:tcPr>
            <w:tcW w:w="1700" w:type="dxa"/>
            <w:tcBorders>
              <w:top w:val="nil"/>
              <w:left w:val="nil"/>
              <w:bottom w:val="nil"/>
              <w:right w:val="nil"/>
            </w:tcBorders>
          </w:tcPr>
          <w:p w14:paraId="247E64D8" w14:textId="77777777" w:rsidR="008E4EBD" w:rsidRDefault="00483AC6">
            <w:pPr>
              <w:pStyle w:val="Compact"/>
              <w:jc w:val="center"/>
            </w:pPr>
            <w:r>
              <w:t>0.143 (0.300)</w:t>
            </w:r>
          </w:p>
        </w:tc>
        <w:tc>
          <w:tcPr>
            <w:tcW w:w="1700" w:type="dxa"/>
            <w:tcBorders>
              <w:top w:val="nil"/>
              <w:left w:val="nil"/>
              <w:bottom w:val="nil"/>
              <w:right w:val="nil"/>
            </w:tcBorders>
          </w:tcPr>
          <w:p w14:paraId="247E64D9" w14:textId="77777777" w:rsidR="008E4EBD" w:rsidRDefault="00483AC6">
            <w:pPr>
              <w:pStyle w:val="Compact"/>
              <w:jc w:val="center"/>
            </w:pPr>
            <w:r>
              <w:t>0.081 (0.176)</w:t>
            </w:r>
          </w:p>
        </w:tc>
        <w:tc>
          <w:tcPr>
            <w:tcW w:w="1703" w:type="dxa"/>
            <w:tcBorders>
              <w:top w:val="nil"/>
              <w:left w:val="nil"/>
              <w:bottom w:val="nil"/>
              <w:right w:val="nil"/>
            </w:tcBorders>
          </w:tcPr>
          <w:p w14:paraId="247E64DA" w14:textId="77777777" w:rsidR="008E4EBD" w:rsidRDefault="00483AC6">
            <w:pPr>
              <w:pStyle w:val="Compact"/>
              <w:jc w:val="center"/>
            </w:pPr>
            <w:r>
              <w:t>0.081 (0.176)</w:t>
            </w:r>
          </w:p>
        </w:tc>
      </w:tr>
      <w:tr w:rsidR="008E4EBD" w14:paraId="247E64E3" w14:textId="77777777">
        <w:tc>
          <w:tcPr>
            <w:tcW w:w="915" w:type="dxa"/>
            <w:tcBorders>
              <w:top w:val="nil"/>
              <w:left w:val="nil"/>
              <w:bottom w:val="nil"/>
              <w:right w:val="nil"/>
            </w:tcBorders>
          </w:tcPr>
          <w:p w14:paraId="247E64DC" w14:textId="77777777" w:rsidR="008E4EBD" w:rsidRDefault="00483AC6">
            <w:pPr>
              <w:pStyle w:val="Compact"/>
              <w:jc w:val="center"/>
            </w:pPr>
            <w:r>
              <w:t>B</w:t>
            </w:r>
          </w:p>
        </w:tc>
        <w:tc>
          <w:tcPr>
            <w:tcW w:w="654" w:type="dxa"/>
            <w:tcBorders>
              <w:top w:val="nil"/>
              <w:left w:val="nil"/>
              <w:bottom w:val="nil"/>
              <w:right w:val="nil"/>
            </w:tcBorders>
          </w:tcPr>
          <w:p w14:paraId="247E64DD" w14:textId="77777777" w:rsidR="008E4EBD" w:rsidRDefault="00483AC6">
            <w:pPr>
              <w:pStyle w:val="Compact"/>
              <w:jc w:val="center"/>
            </w:pPr>
            <w:r>
              <w:t>0.8</w:t>
            </w:r>
          </w:p>
        </w:tc>
        <w:tc>
          <w:tcPr>
            <w:tcW w:w="654" w:type="dxa"/>
            <w:tcBorders>
              <w:top w:val="nil"/>
              <w:left w:val="nil"/>
              <w:bottom w:val="nil"/>
              <w:right w:val="nil"/>
            </w:tcBorders>
          </w:tcPr>
          <w:p w14:paraId="247E64DE" w14:textId="77777777" w:rsidR="008E4EBD" w:rsidRDefault="00483AC6">
            <w:pPr>
              <w:pStyle w:val="Compact"/>
              <w:jc w:val="center"/>
            </w:pPr>
            <w:r>
              <w:t>0.0</w:t>
            </w:r>
          </w:p>
        </w:tc>
        <w:tc>
          <w:tcPr>
            <w:tcW w:w="1700" w:type="dxa"/>
            <w:tcBorders>
              <w:top w:val="nil"/>
              <w:left w:val="nil"/>
              <w:bottom w:val="nil"/>
              <w:right w:val="nil"/>
            </w:tcBorders>
          </w:tcPr>
          <w:p w14:paraId="247E64DF" w14:textId="77777777" w:rsidR="008E4EBD" w:rsidRDefault="00483AC6">
            <w:pPr>
              <w:pStyle w:val="Compact"/>
              <w:jc w:val="center"/>
            </w:pPr>
            <w:r>
              <w:t>0.638 (1.316)</w:t>
            </w:r>
          </w:p>
        </w:tc>
        <w:tc>
          <w:tcPr>
            <w:tcW w:w="1700" w:type="dxa"/>
            <w:tcBorders>
              <w:top w:val="nil"/>
              <w:left w:val="nil"/>
              <w:bottom w:val="nil"/>
              <w:right w:val="nil"/>
            </w:tcBorders>
          </w:tcPr>
          <w:p w14:paraId="247E64E0" w14:textId="77777777" w:rsidR="008E4EBD" w:rsidRDefault="00483AC6">
            <w:pPr>
              <w:pStyle w:val="Compact"/>
              <w:jc w:val="center"/>
            </w:pPr>
            <w:r>
              <w:t>0.290 (0.604)</w:t>
            </w:r>
          </w:p>
        </w:tc>
        <w:tc>
          <w:tcPr>
            <w:tcW w:w="1700" w:type="dxa"/>
            <w:tcBorders>
              <w:top w:val="nil"/>
              <w:left w:val="nil"/>
              <w:bottom w:val="nil"/>
              <w:right w:val="nil"/>
            </w:tcBorders>
          </w:tcPr>
          <w:p w14:paraId="247E64E1" w14:textId="77777777" w:rsidR="008E4EBD" w:rsidRDefault="00483AC6">
            <w:pPr>
              <w:pStyle w:val="Compact"/>
              <w:jc w:val="center"/>
            </w:pPr>
            <w:r>
              <w:t>0.082 (0.178)</w:t>
            </w:r>
          </w:p>
        </w:tc>
        <w:tc>
          <w:tcPr>
            <w:tcW w:w="1703" w:type="dxa"/>
            <w:tcBorders>
              <w:top w:val="nil"/>
              <w:left w:val="nil"/>
              <w:bottom w:val="nil"/>
              <w:right w:val="nil"/>
            </w:tcBorders>
          </w:tcPr>
          <w:p w14:paraId="247E64E2" w14:textId="77777777" w:rsidR="008E4EBD" w:rsidRDefault="00483AC6">
            <w:pPr>
              <w:pStyle w:val="Compact"/>
              <w:jc w:val="center"/>
            </w:pPr>
            <w:r>
              <w:t>0.082 (0.178)</w:t>
            </w:r>
          </w:p>
        </w:tc>
      </w:tr>
      <w:tr w:rsidR="008E4EBD" w14:paraId="247E64EB" w14:textId="77777777">
        <w:tc>
          <w:tcPr>
            <w:tcW w:w="915" w:type="dxa"/>
            <w:tcBorders>
              <w:top w:val="nil"/>
              <w:left w:val="nil"/>
              <w:bottom w:val="nil"/>
              <w:right w:val="nil"/>
            </w:tcBorders>
          </w:tcPr>
          <w:p w14:paraId="247E64E4" w14:textId="77777777" w:rsidR="008E4EBD" w:rsidRDefault="00483AC6">
            <w:pPr>
              <w:pStyle w:val="Compact"/>
              <w:jc w:val="center"/>
            </w:pPr>
            <w:r>
              <w:t>C</w:t>
            </w:r>
          </w:p>
        </w:tc>
        <w:tc>
          <w:tcPr>
            <w:tcW w:w="654" w:type="dxa"/>
            <w:tcBorders>
              <w:top w:val="nil"/>
              <w:left w:val="nil"/>
              <w:bottom w:val="nil"/>
              <w:right w:val="nil"/>
            </w:tcBorders>
          </w:tcPr>
          <w:p w14:paraId="247E64E5" w14:textId="77777777" w:rsidR="008E4EBD" w:rsidRDefault="00483AC6">
            <w:pPr>
              <w:pStyle w:val="Compact"/>
              <w:jc w:val="center"/>
            </w:pPr>
            <w:r>
              <w:t>0.4</w:t>
            </w:r>
          </w:p>
        </w:tc>
        <w:tc>
          <w:tcPr>
            <w:tcW w:w="654" w:type="dxa"/>
            <w:tcBorders>
              <w:top w:val="nil"/>
              <w:left w:val="nil"/>
              <w:bottom w:val="nil"/>
              <w:right w:val="nil"/>
            </w:tcBorders>
          </w:tcPr>
          <w:p w14:paraId="247E64E6" w14:textId="77777777" w:rsidR="008E4EBD" w:rsidRDefault="00483AC6">
            <w:pPr>
              <w:pStyle w:val="Compact"/>
              <w:jc w:val="center"/>
            </w:pPr>
            <w:r>
              <w:t>0.4</w:t>
            </w:r>
          </w:p>
        </w:tc>
        <w:tc>
          <w:tcPr>
            <w:tcW w:w="1700" w:type="dxa"/>
            <w:tcBorders>
              <w:top w:val="nil"/>
              <w:left w:val="nil"/>
              <w:bottom w:val="nil"/>
              <w:right w:val="nil"/>
            </w:tcBorders>
          </w:tcPr>
          <w:p w14:paraId="247E64E7" w14:textId="77777777" w:rsidR="008E4EBD" w:rsidRDefault="00483AC6">
            <w:pPr>
              <w:pStyle w:val="Compact"/>
              <w:jc w:val="center"/>
            </w:pPr>
            <w:r>
              <w:t>0.572 (1.183)</w:t>
            </w:r>
          </w:p>
        </w:tc>
        <w:tc>
          <w:tcPr>
            <w:tcW w:w="1700" w:type="dxa"/>
            <w:tcBorders>
              <w:top w:val="nil"/>
              <w:left w:val="nil"/>
              <w:bottom w:val="nil"/>
              <w:right w:val="nil"/>
            </w:tcBorders>
          </w:tcPr>
          <w:p w14:paraId="247E64E8" w14:textId="77777777" w:rsidR="008E4EBD" w:rsidRDefault="00483AC6">
            <w:pPr>
              <w:pStyle w:val="Compact"/>
              <w:jc w:val="center"/>
            </w:pPr>
            <w:r>
              <w:t>0.077 (0.163)</w:t>
            </w:r>
          </w:p>
        </w:tc>
        <w:tc>
          <w:tcPr>
            <w:tcW w:w="1700" w:type="dxa"/>
            <w:tcBorders>
              <w:top w:val="nil"/>
              <w:left w:val="nil"/>
              <w:bottom w:val="nil"/>
              <w:right w:val="nil"/>
            </w:tcBorders>
          </w:tcPr>
          <w:p w14:paraId="247E64E9" w14:textId="77777777" w:rsidR="008E4EBD" w:rsidRDefault="00483AC6">
            <w:pPr>
              <w:pStyle w:val="Compact"/>
              <w:jc w:val="center"/>
            </w:pPr>
            <w:r>
              <w:t>0.235 (0.491)</w:t>
            </w:r>
          </w:p>
        </w:tc>
        <w:tc>
          <w:tcPr>
            <w:tcW w:w="1703" w:type="dxa"/>
            <w:tcBorders>
              <w:top w:val="nil"/>
              <w:left w:val="nil"/>
              <w:bottom w:val="nil"/>
              <w:right w:val="nil"/>
            </w:tcBorders>
          </w:tcPr>
          <w:p w14:paraId="247E64EA" w14:textId="77777777" w:rsidR="008E4EBD" w:rsidRDefault="00483AC6">
            <w:pPr>
              <w:pStyle w:val="Compact"/>
              <w:jc w:val="center"/>
            </w:pPr>
            <w:r>
              <w:t>0.087 (0.185)</w:t>
            </w:r>
          </w:p>
        </w:tc>
      </w:tr>
      <w:tr w:rsidR="008E4EBD" w14:paraId="247E64F3" w14:textId="77777777">
        <w:tc>
          <w:tcPr>
            <w:tcW w:w="915" w:type="dxa"/>
            <w:tcBorders>
              <w:top w:val="nil"/>
              <w:left w:val="nil"/>
              <w:bottom w:val="nil"/>
              <w:right w:val="nil"/>
            </w:tcBorders>
          </w:tcPr>
          <w:p w14:paraId="247E64EC" w14:textId="77777777" w:rsidR="008E4EBD" w:rsidRDefault="00483AC6">
            <w:pPr>
              <w:pStyle w:val="Compact"/>
              <w:jc w:val="center"/>
            </w:pPr>
            <w:r>
              <w:t>C</w:t>
            </w:r>
          </w:p>
        </w:tc>
        <w:tc>
          <w:tcPr>
            <w:tcW w:w="654" w:type="dxa"/>
            <w:tcBorders>
              <w:top w:val="nil"/>
              <w:left w:val="nil"/>
              <w:bottom w:val="nil"/>
              <w:right w:val="nil"/>
            </w:tcBorders>
          </w:tcPr>
          <w:p w14:paraId="247E64ED" w14:textId="77777777" w:rsidR="008E4EBD" w:rsidRDefault="00483AC6">
            <w:pPr>
              <w:pStyle w:val="Compact"/>
              <w:jc w:val="center"/>
            </w:pPr>
            <w:r>
              <w:t>0.4</w:t>
            </w:r>
          </w:p>
        </w:tc>
        <w:tc>
          <w:tcPr>
            <w:tcW w:w="654" w:type="dxa"/>
            <w:tcBorders>
              <w:top w:val="nil"/>
              <w:left w:val="nil"/>
              <w:bottom w:val="nil"/>
              <w:right w:val="nil"/>
            </w:tcBorders>
          </w:tcPr>
          <w:p w14:paraId="247E64EE" w14:textId="77777777" w:rsidR="008E4EBD" w:rsidRDefault="00483AC6">
            <w:pPr>
              <w:pStyle w:val="Compact"/>
              <w:jc w:val="center"/>
            </w:pPr>
            <w:r>
              <w:t>0.8</w:t>
            </w:r>
          </w:p>
        </w:tc>
        <w:tc>
          <w:tcPr>
            <w:tcW w:w="1700" w:type="dxa"/>
            <w:tcBorders>
              <w:top w:val="nil"/>
              <w:left w:val="nil"/>
              <w:bottom w:val="nil"/>
              <w:right w:val="nil"/>
            </w:tcBorders>
          </w:tcPr>
          <w:p w14:paraId="247E64EF" w14:textId="77777777" w:rsidR="008E4EBD" w:rsidRDefault="00483AC6">
            <w:pPr>
              <w:pStyle w:val="Compact"/>
              <w:jc w:val="center"/>
            </w:pPr>
            <w:r>
              <w:t>0.600 (1.238)</w:t>
            </w:r>
          </w:p>
        </w:tc>
        <w:tc>
          <w:tcPr>
            <w:tcW w:w="1700" w:type="dxa"/>
            <w:tcBorders>
              <w:top w:val="nil"/>
              <w:left w:val="nil"/>
              <w:bottom w:val="nil"/>
              <w:right w:val="nil"/>
            </w:tcBorders>
          </w:tcPr>
          <w:p w14:paraId="247E64F0" w14:textId="77777777" w:rsidR="008E4EBD" w:rsidRDefault="00483AC6">
            <w:pPr>
              <w:pStyle w:val="Compact"/>
              <w:jc w:val="center"/>
            </w:pPr>
            <w:r>
              <w:t>0.197 (0.408)</w:t>
            </w:r>
          </w:p>
        </w:tc>
        <w:tc>
          <w:tcPr>
            <w:tcW w:w="1700" w:type="dxa"/>
            <w:tcBorders>
              <w:top w:val="nil"/>
              <w:left w:val="nil"/>
              <w:bottom w:val="nil"/>
              <w:right w:val="nil"/>
            </w:tcBorders>
          </w:tcPr>
          <w:p w14:paraId="247E64F1" w14:textId="77777777" w:rsidR="008E4EBD" w:rsidRDefault="00483AC6">
            <w:pPr>
              <w:pStyle w:val="Compact"/>
              <w:jc w:val="center"/>
            </w:pPr>
            <w:r>
              <w:t>0.504 (1.040)</w:t>
            </w:r>
          </w:p>
        </w:tc>
        <w:tc>
          <w:tcPr>
            <w:tcW w:w="1703" w:type="dxa"/>
            <w:tcBorders>
              <w:top w:val="nil"/>
              <w:left w:val="nil"/>
              <w:bottom w:val="nil"/>
              <w:right w:val="nil"/>
            </w:tcBorders>
          </w:tcPr>
          <w:p w14:paraId="247E64F2" w14:textId="77777777" w:rsidR="008E4EBD" w:rsidRDefault="00483AC6">
            <w:pPr>
              <w:pStyle w:val="Compact"/>
              <w:jc w:val="center"/>
            </w:pPr>
            <w:r>
              <w:t>0.095 (0.200)</w:t>
            </w:r>
          </w:p>
        </w:tc>
      </w:tr>
      <w:tr w:rsidR="008E4EBD" w14:paraId="247E64FB" w14:textId="77777777">
        <w:tc>
          <w:tcPr>
            <w:tcW w:w="915" w:type="dxa"/>
            <w:tcBorders>
              <w:top w:val="nil"/>
              <w:left w:val="nil"/>
              <w:bottom w:val="nil"/>
              <w:right w:val="nil"/>
            </w:tcBorders>
          </w:tcPr>
          <w:p w14:paraId="247E64F4" w14:textId="77777777" w:rsidR="008E4EBD" w:rsidRDefault="00483AC6">
            <w:pPr>
              <w:pStyle w:val="Compact"/>
              <w:jc w:val="center"/>
            </w:pPr>
            <w:r>
              <w:t>C</w:t>
            </w:r>
          </w:p>
        </w:tc>
        <w:tc>
          <w:tcPr>
            <w:tcW w:w="654" w:type="dxa"/>
            <w:tcBorders>
              <w:top w:val="nil"/>
              <w:left w:val="nil"/>
              <w:bottom w:val="nil"/>
              <w:right w:val="nil"/>
            </w:tcBorders>
          </w:tcPr>
          <w:p w14:paraId="247E64F5" w14:textId="77777777" w:rsidR="008E4EBD" w:rsidRDefault="00483AC6">
            <w:pPr>
              <w:pStyle w:val="Compact"/>
              <w:jc w:val="center"/>
            </w:pPr>
            <w:r>
              <w:t>0.8</w:t>
            </w:r>
          </w:p>
        </w:tc>
        <w:tc>
          <w:tcPr>
            <w:tcW w:w="654" w:type="dxa"/>
            <w:tcBorders>
              <w:top w:val="nil"/>
              <w:left w:val="nil"/>
              <w:bottom w:val="nil"/>
              <w:right w:val="nil"/>
            </w:tcBorders>
          </w:tcPr>
          <w:p w14:paraId="247E64F6" w14:textId="77777777" w:rsidR="008E4EBD" w:rsidRDefault="00483AC6">
            <w:pPr>
              <w:pStyle w:val="Compact"/>
              <w:jc w:val="center"/>
            </w:pPr>
            <w:r>
              <w:t>0.4</w:t>
            </w:r>
          </w:p>
        </w:tc>
        <w:tc>
          <w:tcPr>
            <w:tcW w:w="1700" w:type="dxa"/>
            <w:tcBorders>
              <w:top w:val="nil"/>
              <w:left w:val="nil"/>
              <w:bottom w:val="nil"/>
              <w:right w:val="nil"/>
            </w:tcBorders>
          </w:tcPr>
          <w:p w14:paraId="247E64F7" w14:textId="77777777" w:rsidR="008E4EBD" w:rsidRDefault="00483AC6">
            <w:pPr>
              <w:pStyle w:val="Compact"/>
              <w:jc w:val="center"/>
            </w:pPr>
            <w:r>
              <w:t>0.599 (1.237)</w:t>
            </w:r>
          </w:p>
        </w:tc>
        <w:tc>
          <w:tcPr>
            <w:tcW w:w="1700" w:type="dxa"/>
            <w:tcBorders>
              <w:top w:val="nil"/>
              <w:left w:val="nil"/>
              <w:bottom w:val="nil"/>
              <w:right w:val="nil"/>
            </w:tcBorders>
          </w:tcPr>
          <w:p w14:paraId="247E64F8" w14:textId="77777777" w:rsidR="008E4EBD" w:rsidRDefault="00483AC6">
            <w:pPr>
              <w:pStyle w:val="Compact"/>
              <w:jc w:val="center"/>
            </w:pPr>
            <w:r>
              <w:t>0.192 (0.408)</w:t>
            </w:r>
          </w:p>
        </w:tc>
        <w:tc>
          <w:tcPr>
            <w:tcW w:w="1700" w:type="dxa"/>
            <w:tcBorders>
              <w:top w:val="nil"/>
              <w:left w:val="nil"/>
              <w:bottom w:val="nil"/>
              <w:right w:val="nil"/>
            </w:tcBorders>
          </w:tcPr>
          <w:p w14:paraId="247E64F9" w14:textId="77777777" w:rsidR="008E4EBD" w:rsidRDefault="00483AC6">
            <w:pPr>
              <w:pStyle w:val="Compact"/>
              <w:jc w:val="center"/>
            </w:pPr>
            <w:r>
              <w:t>0.191 (0.407)</w:t>
            </w:r>
          </w:p>
        </w:tc>
        <w:tc>
          <w:tcPr>
            <w:tcW w:w="1703" w:type="dxa"/>
            <w:tcBorders>
              <w:top w:val="nil"/>
              <w:left w:val="nil"/>
              <w:bottom w:val="nil"/>
              <w:right w:val="nil"/>
            </w:tcBorders>
          </w:tcPr>
          <w:p w14:paraId="247E64FA" w14:textId="77777777" w:rsidR="008E4EBD" w:rsidRDefault="00483AC6">
            <w:pPr>
              <w:pStyle w:val="Compact"/>
              <w:jc w:val="center"/>
            </w:pPr>
            <w:r>
              <w:t>0.087 (0.187)</w:t>
            </w:r>
          </w:p>
        </w:tc>
      </w:tr>
      <w:tr w:rsidR="008E4EBD" w14:paraId="247E6503" w14:textId="77777777">
        <w:tc>
          <w:tcPr>
            <w:tcW w:w="915" w:type="dxa"/>
            <w:tcBorders>
              <w:top w:val="nil"/>
              <w:left w:val="nil"/>
              <w:bottom w:val="single" w:sz="12" w:space="0" w:color="auto"/>
              <w:right w:val="nil"/>
            </w:tcBorders>
          </w:tcPr>
          <w:p w14:paraId="247E64FC" w14:textId="77777777" w:rsidR="008E4EBD" w:rsidRDefault="00483AC6">
            <w:pPr>
              <w:pStyle w:val="Compact"/>
              <w:jc w:val="center"/>
            </w:pPr>
            <w:r>
              <w:t>C</w:t>
            </w:r>
          </w:p>
        </w:tc>
        <w:tc>
          <w:tcPr>
            <w:tcW w:w="654" w:type="dxa"/>
            <w:tcBorders>
              <w:top w:val="nil"/>
              <w:left w:val="nil"/>
              <w:bottom w:val="single" w:sz="12" w:space="0" w:color="auto"/>
              <w:right w:val="nil"/>
            </w:tcBorders>
          </w:tcPr>
          <w:p w14:paraId="247E64FD" w14:textId="77777777" w:rsidR="008E4EBD" w:rsidRDefault="00483AC6">
            <w:pPr>
              <w:pStyle w:val="Compact"/>
              <w:jc w:val="center"/>
            </w:pPr>
            <w:r>
              <w:t>0.8</w:t>
            </w:r>
          </w:p>
        </w:tc>
        <w:tc>
          <w:tcPr>
            <w:tcW w:w="654" w:type="dxa"/>
            <w:tcBorders>
              <w:top w:val="nil"/>
              <w:left w:val="nil"/>
              <w:bottom w:val="single" w:sz="12" w:space="0" w:color="auto"/>
              <w:right w:val="nil"/>
            </w:tcBorders>
          </w:tcPr>
          <w:p w14:paraId="247E64FE" w14:textId="77777777" w:rsidR="008E4EBD" w:rsidRDefault="00483AC6">
            <w:pPr>
              <w:pStyle w:val="Compact"/>
              <w:jc w:val="center"/>
            </w:pPr>
            <w:r>
              <w:t>0.8</w:t>
            </w:r>
          </w:p>
        </w:tc>
        <w:tc>
          <w:tcPr>
            <w:tcW w:w="1700" w:type="dxa"/>
            <w:tcBorders>
              <w:top w:val="nil"/>
              <w:left w:val="nil"/>
              <w:bottom w:val="single" w:sz="12" w:space="0" w:color="auto"/>
              <w:right w:val="nil"/>
            </w:tcBorders>
          </w:tcPr>
          <w:p w14:paraId="247E64FF" w14:textId="77777777" w:rsidR="008E4EBD" w:rsidRDefault="00483AC6">
            <w:pPr>
              <w:pStyle w:val="Compact"/>
              <w:jc w:val="center"/>
            </w:pPr>
            <w:r>
              <w:t>0.579 (1.198)</w:t>
            </w:r>
          </w:p>
        </w:tc>
        <w:tc>
          <w:tcPr>
            <w:tcW w:w="1700" w:type="dxa"/>
            <w:tcBorders>
              <w:top w:val="nil"/>
              <w:left w:val="nil"/>
              <w:bottom w:val="single" w:sz="12" w:space="0" w:color="auto"/>
              <w:right w:val="nil"/>
            </w:tcBorders>
          </w:tcPr>
          <w:p w14:paraId="247E6500" w14:textId="77777777" w:rsidR="008E4EBD" w:rsidRDefault="00483AC6">
            <w:pPr>
              <w:pStyle w:val="Compact"/>
              <w:jc w:val="center"/>
            </w:pPr>
            <w:r>
              <w:t>0.131 (0.278)</w:t>
            </w:r>
          </w:p>
        </w:tc>
        <w:tc>
          <w:tcPr>
            <w:tcW w:w="1700" w:type="dxa"/>
            <w:tcBorders>
              <w:top w:val="nil"/>
              <w:left w:val="nil"/>
              <w:bottom w:val="single" w:sz="12" w:space="0" w:color="auto"/>
              <w:right w:val="nil"/>
            </w:tcBorders>
          </w:tcPr>
          <w:p w14:paraId="247E6501" w14:textId="77777777" w:rsidR="008E4EBD" w:rsidRDefault="00483AC6">
            <w:pPr>
              <w:pStyle w:val="Compact"/>
              <w:jc w:val="center"/>
            </w:pPr>
            <w:r>
              <w:t>0.376 (0.786)</w:t>
            </w:r>
          </w:p>
        </w:tc>
        <w:tc>
          <w:tcPr>
            <w:tcW w:w="1703" w:type="dxa"/>
            <w:tcBorders>
              <w:top w:val="nil"/>
              <w:left w:val="nil"/>
              <w:bottom w:val="single" w:sz="12" w:space="0" w:color="auto"/>
              <w:right w:val="nil"/>
            </w:tcBorders>
          </w:tcPr>
          <w:p w14:paraId="247E6502" w14:textId="77777777" w:rsidR="008E4EBD" w:rsidRDefault="00483AC6">
            <w:pPr>
              <w:pStyle w:val="Compact"/>
              <w:jc w:val="center"/>
            </w:pPr>
            <w:r>
              <w:t>0.091 (0.195)</w:t>
            </w:r>
          </w:p>
        </w:tc>
      </w:tr>
    </w:tbl>
    <w:p w14:paraId="247E6504" w14:textId="77777777" w:rsidR="008E4EBD" w:rsidRDefault="00483AC6">
      <w:pPr>
        <w:pStyle w:val="BodyText"/>
      </w:pPr>
      <w:r>
        <w:t>Table 4—Absolute Deviation of Point Predictions from the Oracle BLUP, Missing Area-Years (Mean, with 90th Percentile in Parentheses)</w:t>
      </w:r>
    </w:p>
    <w:tbl>
      <w:tblPr>
        <w:tblStyle w:val="Table"/>
        <w:tblW w:w="9026" w:type="dxa"/>
        <w:tblLayout w:type="fixed"/>
        <w:tblLook w:val="07E0" w:firstRow="1" w:lastRow="1" w:firstColumn="1" w:lastColumn="1" w:noHBand="1" w:noVBand="1"/>
      </w:tblPr>
      <w:tblGrid>
        <w:gridCol w:w="1089"/>
        <w:gridCol w:w="778"/>
        <w:gridCol w:w="778"/>
        <w:gridCol w:w="2334"/>
        <w:gridCol w:w="2023"/>
        <w:gridCol w:w="2024"/>
      </w:tblGrid>
      <w:tr w:rsidR="008E4EBD" w14:paraId="247E650B" w14:textId="77777777">
        <w:tc>
          <w:tcPr>
            <w:tcW w:w="1089" w:type="dxa"/>
            <w:tcBorders>
              <w:top w:val="single" w:sz="12" w:space="0" w:color="auto"/>
              <w:left w:val="nil"/>
              <w:bottom w:val="single" w:sz="4" w:space="0" w:color="auto"/>
              <w:right w:val="nil"/>
            </w:tcBorders>
            <w:vAlign w:val="bottom"/>
          </w:tcPr>
          <w:p w14:paraId="247E6505" w14:textId="77777777" w:rsidR="008E4EBD" w:rsidRDefault="00483AC6">
            <w:pPr>
              <w:pStyle w:val="Compact"/>
              <w:jc w:val="center"/>
            </w:pPr>
            <w:r>
              <w:rPr>
                <w:b/>
                <w:bCs/>
              </w:rPr>
              <w:t>Group</w:t>
            </w:r>
          </w:p>
        </w:tc>
        <w:tc>
          <w:tcPr>
            <w:tcW w:w="778" w:type="dxa"/>
            <w:tcBorders>
              <w:top w:val="single" w:sz="12" w:space="0" w:color="auto"/>
              <w:left w:val="nil"/>
              <w:bottom w:val="single" w:sz="4" w:space="0" w:color="auto"/>
              <w:right w:val="nil"/>
            </w:tcBorders>
            <w:vAlign w:val="bottom"/>
          </w:tcPr>
          <w:p w14:paraId="247E650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78" w:type="dxa"/>
            <w:tcBorders>
              <w:top w:val="single" w:sz="12" w:space="0" w:color="auto"/>
              <w:left w:val="nil"/>
              <w:bottom w:val="single" w:sz="4" w:space="0" w:color="auto"/>
              <w:right w:val="nil"/>
            </w:tcBorders>
            <w:vAlign w:val="bottom"/>
          </w:tcPr>
          <w:p w14:paraId="247E6507"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2334" w:type="dxa"/>
            <w:tcBorders>
              <w:top w:val="single" w:sz="12" w:space="0" w:color="auto"/>
              <w:left w:val="nil"/>
              <w:bottom w:val="single" w:sz="4" w:space="0" w:color="auto"/>
              <w:right w:val="nil"/>
            </w:tcBorders>
            <w:vAlign w:val="bottom"/>
          </w:tcPr>
          <w:p w14:paraId="247E6508" w14:textId="77777777" w:rsidR="008E4EBD" w:rsidRDefault="00483AC6">
            <w:pPr>
              <w:pStyle w:val="Compact"/>
              <w:jc w:val="center"/>
            </w:pPr>
            <w:r>
              <w:rPr>
                <w:b/>
                <w:bCs/>
              </w:rPr>
              <w:t>Synthetic (UFH)</w:t>
            </w:r>
          </w:p>
        </w:tc>
        <w:tc>
          <w:tcPr>
            <w:tcW w:w="2023" w:type="dxa"/>
            <w:tcBorders>
              <w:top w:val="single" w:sz="12" w:space="0" w:color="auto"/>
              <w:left w:val="nil"/>
              <w:bottom w:val="single" w:sz="4" w:space="0" w:color="auto"/>
              <w:right w:val="nil"/>
            </w:tcBorders>
            <w:vAlign w:val="bottom"/>
          </w:tcPr>
          <w:p w14:paraId="247E6509" w14:textId="77777777" w:rsidR="008E4EBD" w:rsidRDefault="00483AC6">
            <w:pPr>
              <w:pStyle w:val="Compact"/>
              <w:jc w:val="center"/>
            </w:pPr>
            <w:r>
              <w:rPr>
                <w:b/>
                <w:bCs/>
              </w:rPr>
              <w:t>MFH-diag</w:t>
            </w:r>
          </w:p>
        </w:tc>
        <w:tc>
          <w:tcPr>
            <w:tcW w:w="2024" w:type="dxa"/>
            <w:tcBorders>
              <w:top w:val="single" w:sz="12" w:space="0" w:color="auto"/>
              <w:left w:val="nil"/>
              <w:bottom w:val="single" w:sz="4" w:space="0" w:color="auto"/>
              <w:right w:val="nil"/>
            </w:tcBorders>
            <w:vAlign w:val="bottom"/>
          </w:tcPr>
          <w:p w14:paraId="247E650A" w14:textId="77777777" w:rsidR="008E4EBD" w:rsidRDefault="00483AC6">
            <w:pPr>
              <w:pStyle w:val="Compact"/>
              <w:jc w:val="center"/>
            </w:pPr>
            <w:r>
              <w:rPr>
                <w:b/>
                <w:bCs/>
              </w:rPr>
              <w:t>MFH-full</w:t>
            </w:r>
          </w:p>
        </w:tc>
      </w:tr>
      <w:tr w:rsidR="008E4EBD" w14:paraId="247E6512" w14:textId="77777777">
        <w:tc>
          <w:tcPr>
            <w:tcW w:w="1089" w:type="dxa"/>
            <w:tcBorders>
              <w:top w:val="nil"/>
              <w:left w:val="nil"/>
              <w:bottom w:val="nil"/>
              <w:right w:val="nil"/>
            </w:tcBorders>
          </w:tcPr>
          <w:p w14:paraId="247E650C" w14:textId="77777777" w:rsidR="008E4EBD" w:rsidRDefault="00483AC6">
            <w:pPr>
              <w:pStyle w:val="Compact"/>
              <w:jc w:val="center"/>
            </w:pPr>
            <w:r>
              <w:t>—</w:t>
            </w:r>
          </w:p>
        </w:tc>
        <w:tc>
          <w:tcPr>
            <w:tcW w:w="778" w:type="dxa"/>
            <w:tcBorders>
              <w:top w:val="nil"/>
              <w:left w:val="nil"/>
              <w:bottom w:val="nil"/>
              <w:right w:val="nil"/>
            </w:tcBorders>
          </w:tcPr>
          <w:p w14:paraId="247E650D" w14:textId="77777777" w:rsidR="008E4EBD" w:rsidRDefault="00483AC6">
            <w:pPr>
              <w:pStyle w:val="Compact"/>
              <w:jc w:val="center"/>
            </w:pPr>
            <w:r>
              <w:t>0.0</w:t>
            </w:r>
          </w:p>
        </w:tc>
        <w:tc>
          <w:tcPr>
            <w:tcW w:w="778" w:type="dxa"/>
            <w:tcBorders>
              <w:top w:val="nil"/>
              <w:left w:val="nil"/>
              <w:bottom w:val="nil"/>
              <w:right w:val="nil"/>
            </w:tcBorders>
          </w:tcPr>
          <w:p w14:paraId="247E650E" w14:textId="77777777" w:rsidR="008E4EBD" w:rsidRDefault="00483AC6">
            <w:pPr>
              <w:pStyle w:val="Compact"/>
              <w:jc w:val="center"/>
            </w:pPr>
            <w:r>
              <w:t>0.0</w:t>
            </w:r>
          </w:p>
        </w:tc>
        <w:tc>
          <w:tcPr>
            <w:tcW w:w="2334" w:type="dxa"/>
            <w:tcBorders>
              <w:top w:val="nil"/>
              <w:left w:val="nil"/>
              <w:bottom w:val="nil"/>
              <w:right w:val="nil"/>
            </w:tcBorders>
          </w:tcPr>
          <w:p w14:paraId="247E650F" w14:textId="77777777" w:rsidR="008E4EBD" w:rsidRDefault="00483AC6">
            <w:pPr>
              <w:pStyle w:val="Compact"/>
              <w:jc w:val="center"/>
            </w:pPr>
            <w:r>
              <w:t>0.094 (0.198)</w:t>
            </w:r>
          </w:p>
        </w:tc>
        <w:tc>
          <w:tcPr>
            <w:tcW w:w="2023" w:type="dxa"/>
            <w:tcBorders>
              <w:top w:val="nil"/>
              <w:left w:val="nil"/>
              <w:bottom w:val="nil"/>
              <w:right w:val="nil"/>
            </w:tcBorders>
          </w:tcPr>
          <w:p w14:paraId="247E6510" w14:textId="77777777" w:rsidR="008E4EBD" w:rsidRDefault="00483AC6">
            <w:pPr>
              <w:pStyle w:val="Compact"/>
              <w:jc w:val="center"/>
            </w:pPr>
            <w:r>
              <w:t>0.130 (0.279)</w:t>
            </w:r>
          </w:p>
        </w:tc>
        <w:tc>
          <w:tcPr>
            <w:tcW w:w="2024" w:type="dxa"/>
            <w:tcBorders>
              <w:top w:val="nil"/>
              <w:left w:val="nil"/>
              <w:bottom w:val="nil"/>
              <w:right w:val="nil"/>
            </w:tcBorders>
          </w:tcPr>
          <w:p w14:paraId="247E6511" w14:textId="77777777" w:rsidR="008E4EBD" w:rsidRDefault="00483AC6">
            <w:pPr>
              <w:pStyle w:val="Compact"/>
              <w:jc w:val="center"/>
            </w:pPr>
            <w:r>
              <w:t>0.130 (0.279)</w:t>
            </w:r>
          </w:p>
        </w:tc>
      </w:tr>
      <w:tr w:rsidR="008E4EBD" w14:paraId="247E6519" w14:textId="77777777">
        <w:tc>
          <w:tcPr>
            <w:tcW w:w="1089" w:type="dxa"/>
            <w:tcBorders>
              <w:top w:val="nil"/>
              <w:left w:val="nil"/>
              <w:bottom w:val="nil"/>
              <w:right w:val="nil"/>
            </w:tcBorders>
          </w:tcPr>
          <w:p w14:paraId="247E6513" w14:textId="77777777" w:rsidR="008E4EBD" w:rsidRDefault="00483AC6">
            <w:pPr>
              <w:pStyle w:val="Compact"/>
              <w:jc w:val="center"/>
            </w:pPr>
            <w:r>
              <w:t>A</w:t>
            </w:r>
          </w:p>
        </w:tc>
        <w:tc>
          <w:tcPr>
            <w:tcW w:w="778" w:type="dxa"/>
            <w:tcBorders>
              <w:top w:val="nil"/>
              <w:left w:val="nil"/>
              <w:bottom w:val="nil"/>
              <w:right w:val="nil"/>
            </w:tcBorders>
          </w:tcPr>
          <w:p w14:paraId="247E6514" w14:textId="77777777" w:rsidR="008E4EBD" w:rsidRDefault="00483AC6">
            <w:pPr>
              <w:pStyle w:val="Compact"/>
              <w:jc w:val="center"/>
            </w:pPr>
            <w:r>
              <w:t>0.0</w:t>
            </w:r>
          </w:p>
        </w:tc>
        <w:tc>
          <w:tcPr>
            <w:tcW w:w="778" w:type="dxa"/>
            <w:tcBorders>
              <w:top w:val="nil"/>
              <w:left w:val="nil"/>
              <w:bottom w:val="nil"/>
              <w:right w:val="nil"/>
            </w:tcBorders>
          </w:tcPr>
          <w:p w14:paraId="247E6515" w14:textId="77777777" w:rsidR="008E4EBD" w:rsidRDefault="00483AC6">
            <w:pPr>
              <w:pStyle w:val="Compact"/>
              <w:jc w:val="center"/>
            </w:pPr>
            <w:r>
              <w:t>0.4</w:t>
            </w:r>
          </w:p>
        </w:tc>
        <w:tc>
          <w:tcPr>
            <w:tcW w:w="2334" w:type="dxa"/>
            <w:tcBorders>
              <w:top w:val="nil"/>
              <w:left w:val="nil"/>
              <w:bottom w:val="nil"/>
              <w:right w:val="nil"/>
            </w:tcBorders>
          </w:tcPr>
          <w:p w14:paraId="247E6516" w14:textId="77777777" w:rsidR="008E4EBD" w:rsidRDefault="00483AC6">
            <w:pPr>
              <w:pStyle w:val="Compact"/>
              <w:jc w:val="center"/>
            </w:pPr>
            <w:r>
              <w:t>0.102 (0.213)</w:t>
            </w:r>
          </w:p>
        </w:tc>
        <w:tc>
          <w:tcPr>
            <w:tcW w:w="2023" w:type="dxa"/>
            <w:tcBorders>
              <w:top w:val="nil"/>
              <w:left w:val="nil"/>
              <w:bottom w:val="nil"/>
              <w:right w:val="nil"/>
            </w:tcBorders>
          </w:tcPr>
          <w:p w14:paraId="247E6517" w14:textId="77777777" w:rsidR="008E4EBD" w:rsidRDefault="00483AC6">
            <w:pPr>
              <w:pStyle w:val="Compact"/>
              <w:jc w:val="center"/>
            </w:pPr>
            <w:r>
              <w:t>0.236 (0.508)</w:t>
            </w:r>
          </w:p>
        </w:tc>
        <w:tc>
          <w:tcPr>
            <w:tcW w:w="2024" w:type="dxa"/>
            <w:tcBorders>
              <w:top w:val="nil"/>
              <w:left w:val="nil"/>
              <w:bottom w:val="nil"/>
              <w:right w:val="nil"/>
            </w:tcBorders>
          </w:tcPr>
          <w:p w14:paraId="247E6518" w14:textId="77777777" w:rsidR="008E4EBD" w:rsidRDefault="00483AC6">
            <w:pPr>
              <w:pStyle w:val="Compact"/>
              <w:jc w:val="center"/>
            </w:pPr>
            <w:r>
              <w:t>0.136 (0.288)</w:t>
            </w:r>
          </w:p>
        </w:tc>
      </w:tr>
      <w:tr w:rsidR="008E4EBD" w14:paraId="247E6520" w14:textId="77777777">
        <w:tc>
          <w:tcPr>
            <w:tcW w:w="1089" w:type="dxa"/>
            <w:tcBorders>
              <w:top w:val="nil"/>
              <w:left w:val="nil"/>
              <w:bottom w:val="nil"/>
              <w:right w:val="nil"/>
            </w:tcBorders>
          </w:tcPr>
          <w:p w14:paraId="247E651A" w14:textId="77777777" w:rsidR="008E4EBD" w:rsidRDefault="00483AC6">
            <w:pPr>
              <w:pStyle w:val="Compact"/>
              <w:jc w:val="center"/>
            </w:pPr>
            <w:r>
              <w:t>A</w:t>
            </w:r>
          </w:p>
        </w:tc>
        <w:tc>
          <w:tcPr>
            <w:tcW w:w="778" w:type="dxa"/>
            <w:tcBorders>
              <w:top w:val="nil"/>
              <w:left w:val="nil"/>
              <w:bottom w:val="nil"/>
              <w:right w:val="nil"/>
            </w:tcBorders>
          </w:tcPr>
          <w:p w14:paraId="247E651B" w14:textId="77777777" w:rsidR="008E4EBD" w:rsidRDefault="00483AC6">
            <w:pPr>
              <w:pStyle w:val="Compact"/>
              <w:jc w:val="center"/>
            </w:pPr>
            <w:r>
              <w:t>0.0</w:t>
            </w:r>
          </w:p>
        </w:tc>
        <w:tc>
          <w:tcPr>
            <w:tcW w:w="778" w:type="dxa"/>
            <w:tcBorders>
              <w:top w:val="nil"/>
              <w:left w:val="nil"/>
              <w:bottom w:val="nil"/>
              <w:right w:val="nil"/>
            </w:tcBorders>
          </w:tcPr>
          <w:p w14:paraId="247E651C" w14:textId="77777777" w:rsidR="008E4EBD" w:rsidRDefault="00483AC6">
            <w:pPr>
              <w:pStyle w:val="Compact"/>
              <w:jc w:val="center"/>
            </w:pPr>
            <w:r>
              <w:t>0.8</w:t>
            </w:r>
          </w:p>
        </w:tc>
        <w:tc>
          <w:tcPr>
            <w:tcW w:w="2334" w:type="dxa"/>
            <w:tcBorders>
              <w:top w:val="nil"/>
              <w:left w:val="nil"/>
              <w:bottom w:val="nil"/>
              <w:right w:val="nil"/>
            </w:tcBorders>
          </w:tcPr>
          <w:p w14:paraId="247E651D" w14:textId="77777777" w:rsidR="008E4EBD" w:rsidRDefault="00483AC6">
            <w:pPr>
              <w:pStyle w:val="Compact"/>
              <w:jc w:val="center"/>
            </w:pPr>
            <w:r>
              <w:t>0.110 (0.225)</w:t>
            </w:r>
          </w:p>
        </w:tc>
        <w:tc>
          <w:tcPr>
            <w:tcW w:w="2023" w:type="dxa"/>
            <w:tcBorders>
              <w:top w:val="nil"/>
              <w:left w:val="nil"/>
              <w:bottom w:val="nil"/>
              <w:right w:val="nil"/>
            </w:tcBorders>
          </w:tcPr>
          <w:p w14:paraId="247E651E" w14:textId="77777777" w:rsidR="008E4EBD" w:rsidRDefault="00483AC6">
            <w:pPr>
              <w:pStyle w:val="Compact"/>
              <w:jc w:val="center"/>
            </w:pPr>
            <w:r>
              <w:t>0.456 (0.948)</w:t>
            </w:r>
          </w:p>
        </w:tc>
        <w:tc>
          <w:tcPr>
            <w:tcW w:w="2024" w:type="dxa"/>
            <w:tcBorders>
              <w:top w:val="nil"/>
              <w:left w:val="nil"/>
              <w:bottom w:val="nil"/>
              <w:right w:val="nil"/>
            </w:tcBorders>
          </w:tcPr>
          <w:p w14:paraId="247E651F" w14:textId="77777777" w:rsidR="008E4EBD" w:rsidRDefault="00483AC6">
            <w:pPr>
              <w:pStyle w:val="Compact"/>
              <w:jc w:val="center"/>
            </w:pPr>
            <w:r>
              <w:t>0.144 (0.303)</w:t>
            </w:r>
          </w:p>
        </w:tc>
      </w:tr>
      <w:tr w:rsidR="008E4EBD" w14:paraId="247E6527" w14:textId="77777777">
        <w:tc>
          <w:tcPr>
            <w:tcW w:w="1089" w:type="dxa"/>
            <w:tcBorders>
              <w:top w:val="nil"/>
              <w:left w:val="nil"/>
              <w:bottom w:val="nil"/>
              <w:right w:val="nil"/>
            </w:tcBorders>
          </w:tcPr>
          <w:p w14:paraId="247E6521" w14:textId="77777777" w:rsidR="008E4EBD" w:rsidRDefault="00483AC6">
            <w:pPr>
              <w:pStyle w:val="Compact"/>
              <w:jc w:val="center"/>
            </w:pPr>
            <w:r>
              <w:t>B</w:t>
            </w:r>
          </w:p>
        </w:tc>
        <w:tc>
          <w:tcPr>
            <w:tcW w:w="778" w:type="dxa"/>
            <w:tcBorders>
              <w:top w:val="nil"/>
              <w:left w:val="nil"/>
              <w:bottom w:val="nil"/>
              <w:right w:val="nil"/>
            </w:tcBorders>
          </w:tcPr>
          <w:p w14:paraId="247E6522" w14:textId="77777777" w:rsidR="008E4EBD" w:rsidRDefault="00483AC6">
            <w:pPr>
              <w:pStyle w:val="Compact"/>
              <w:jc w:val="center"/>
            </w:pPr>
            <w:r>
              <w:t>0.4</w:t>
            </w:r>
          </w:p>
        </w:tc>
        <w:tc>
          <w:tcPr>
            <w:tcW w:w="778" w:type="dxa"/>
            <w:tcBorders>
              <w:top w:val="nil"/>
              <w:left w:val="nil"/>
              <w:bottom w:val="nil"/>
              <w:right w:val="nil"/>
            </w:tcBorders>
          </w:tcPr>
          <w:p w14:paraId="247E6523" w14:textId="77777777" w:rsidR="008E4EBD" w:rsidRDefault="00483AC6">
            <w:pPr>
              <w:pStyle w:val="Compact"/>
              <w:jc w:val="center"/>
            </w:pPr>
            <w:r>
              <w:t>0.0</w:t>
            </w:r>
          </w:p>
        </w:tc>
        <w:tc>
          <w:tcPr>
            <w:tcW w:w="2334" w:type="dxa"/>
            <w:tcBorders>
              <w:top w:val="nil"/>
              <w:left w:val="nil"/>
              <w:bottom w:val="nil"/>
              <w:right w:val="nil"/>
            </w:tcBorders>
          </w:tcPr>
          <w:p w14:paraId="247E6524" w14:textId="77777777" w:rsidR="008E4EBD" w:rsidRDefault="00483AC6">
            <w:pPr>
              <w:pStyle w:val="Compact"/>
              <w:jc w:val="center"/>
            </w:pPr>
            <w:r>
              <w:t>0.254 (0.523)</w:t>
            </w:r>
          </w:p>
        </w:tc>
        <w:tc>
          <w:tcPr>
            <w:tcW w:w="2023" w:type="dxa"/>
            <w:tcBorders>
              <w:top w:val="nil"/>
              <w:left w:val="nil"/>
              <w:bottom w:val="nil"/>
              <w:right w:val="nil"/>
            </w:tcBorders>
          </w:tcPr>
          <w:p w14:paraId="247E6525" w14:textId="77777777" w:rsidR="008E4EBD" w:rsidRDefault="00483AC6">
            <w:pPr>
              <w:pStyle w:val="Compact"/>
              <w:jc w:val="center"/>
            </w:pPr>
            <w:r>
              <w:t>0.128 (0.272)</w:t>
            </w:r>
          </w:p>
        </w:tc>
        <w:tc>
          <w:tcPr>
            <w:tcW w:w="2024" w:type="dxa"/>
            <w:tcBorders>
              <w:top w:val="nil"/>
              <w:left w:val="nil"/>
              <w:bottom w:val="nil"/>
              <w:right w:val="nil"/>
            </w:tcBorders>
          </w:tcPr>
          <w:p w14:paraId="247E6526" w14:textId="77777777" w:rsidR="008E4EBD" w:rsidRDefault="00483AC6">
            <w:pPr>
              <w:pStyle w:val="Compact"/>
              <w:jc w:val="center"/>
            </w:pPr>
            <w:r>
              <w:t>0.128 (0.272)</w:t>
            </w:r>
          </w:p>
        </w:tc>
      </w:tr>
      <w:tr w:rsidR="008E4EBD" w14:paraId="247E652E" w14:textId="77777777">
        <w:tc>
          <w:tcPr>
            <w:tcW w:w="1089" w:type="dxa"/>
            <w:tcBorders>
              <w:top w:val="nil"/>
              <w:left w:val="nil"/>
              <w:bottom w:val="nil"/>
              <w:right w:val="nil"/>
            </w:tcBorders>
          </w:tcPr>
          <w:p w14:paraId="247E6528" w14:textId="77777777" w:rsidR="008E4EBD" w:rsidRDefault="00483AC6">
            <w:pPr>
              <w:pStyle w:val="Compact"/>
              <w:jc w:val="center"/>
            </w:pPr>
            <w:r>
              <w:t>B</w:t>
            </w:r>
          </w:p>
        </w:tc>
        <w:tc>
          <w:tcPr>
            <w:tcW w:w="778" w:type="dxa"/>
            <w:tcBorders>
              <w:top w:val="nil"/>
              <w:left w:val="nil"/>
              <w:bottom w:val="nil"/>
              <w:right w:val="nil"/>
            </w:tcBorders>
          </w:tcPr>
          <w:p w14:paraId="247E6529" w14:textId="77777777" w:rsidR="008E4EBD" w:rsidRDefault="00483AC6">
            <w:pPr>
              <w:pStyle w:val="Compact"/>
              <w:jc w:val="center"/>
            </w:pPr>
            <w:r>
              <w:t>0.8</w:t>
            </w:r>
          </w:p>
        </w:tc>
        <w:tc>
          <w:tcPr>
            <w:tcW w:w="778" w:type="dxa"/>
            <w:tcBorders>
              <w:top w:val="nil"/>
              <w:left w:val="nil"/>
              <w:bottom w:val="nil"/>
              <w:right w:val="nil"/>
            </w:tcBorders>
          </w:tcPr>
          <w:p w14:paraId="247E652A" w14:textId="77777777" w:rsidR="008E4EBD" w:rsidRDefault="00483AC6">
            <w:pPr>
              <w:pStyle w:val="Compact"/>
              <w:jc w:val="center"/>
            </w:pPr>
            <w:r>
              <w:t>0.0</w:t>
            </w:r>
          </w:p>
        </w:tc>
        <w:tc>
          <w:tcPr>
            <w:tcW w:w="2334" w:type="dxa"/>
            <w:tcBorders>
              <w:top w:val="nil"/>
              <w:left w:val="nil"/>
              <w:bottom w:val="nil"/>
              <w:right w:val="nil"/>
            </w:tcBorders>
          </w:tcPr>
          <w:p w14:paraId="247E652B" w14:textId="77777777" w:rsidR="008E4EBD" w:rsidRDefault="00483AC6">
            <w:pPr>
              <w:pStyle w:val="Compact"/>
              <w:jc w:val="center"/>
            </w:pPr>
            <w:r>
              <w:t>0.509 (1.040)</w:t>
            </w:r>
          </w:p>
        </w:tc>
        <w:tc>
          <w:tcPr>
            <w:tcW w:w="2023" w:type="dxa"/>
            <w:tcBorders>
              <w:top w:val="nil"/>
              <w:left w:val="nil"/>
              <w:bottom w:val="nil"/>
              <w:right w:val="nil"/>
            </w:tcBorders>
          </w:tcPr>
          <w:p w14:paraId="247E652C" w14:textId="77777777" w:rsidR="008E4EBD" w:rsidRDefault="00483AC6">
            <w:pPr>
              <w:pStyle w:val="Compact"/>
              <w:jc w:val="center"/>
            </w:pPr>
            <w:r>
              <w:t>0.114 (0.248)</w:t>
            </w:r>
          </w:p>
        </w:tc>
        <w:tc>
          <w:tcPr>
            <w:tcW w:w="2024" w:type="dxa"/>
            <w:tcBorders>
              <w:top w:val="nil"/>
              <w:left w:val="nil"/>
              <w:bottom w:val="nil"/>
              <w:right w:val="nil"/>
            </w:tcBorders>
          </w:tcPr>
          <w:p w14:paraId="247E652D" w14:textId="77777777" w:rsidR="008E4EBD" w:rsidRDefault="00483AC6">
            <w:pPr>
              <w:pStyle w:val="Compact"/>
              <w:jc w:val="center"/>
            </w:pPr>
            <w:r>
              <w:t>0.114 (0.248)</w:t>
            </w:r>
          </w:p>
        </w:tc>
      </w:tr>
      <w:tr w:rsidR="008E4EBD" w14:paraId="247E6535" w14:textId="77777777">
        <w:tc>
          <w:tcPr>
            <w:tcW w:w="1089" w:type="dxa"/>
            <w:tcBorders>
              <w:top w:val="nil"/>
              <w:left w:val="nil"/>
              <w:bottom w:val="nil"/>
              <w:right w:val="nil"/>
            </w:tcBorders>
          </w:tcPr>
          <w:p w14:paraId="247E652F" w14:textId="77777777" w:rsidR="008E4EBD" w:rsidRDefault="00483AC6">
            <w:pPr>
              <w:pStyle w:val="Compact"/>
              <w:jc w:val="center"/>
            </w:pPr>
            <w:r>
              <w:t>C</w:t>
            </w:r>
          </w:p>
        </w:tc>
        <w:tc>
          <w:tcPr>
            <w:tcW w:w="778" w:type="dxa"/>
            <w:tcBorders>
              <w:top w:val="nil"/>
              <w:left w:val="nil"/>
              <w:bottom w:val="nil"/>
              <w:right w:val="nil"/>
            </w:tcBorders>
          </w:tcPr>
          <w:p w14:paraId="247E6530" w14:textId="77777777" w:rsidR="008E4EBD" w:rsidRDefault="00483AC6">
            <w:pPr>
              <w:pStyle w:val="Compact"/>
              <w:jc w:val="center"/>
            </w:pPr>
            <w:r>
              <w:t>0.4</w:t>
            </w:r>
          </w:p>
        </w:tc>
        <w:tc>
          <w:tcPr>
            <w:tcW w:w="778" w:type="dxa"/>
            <w:tcBorders>
              <w:top w:val="nil"/>
              <w:left w:val="nil"/>
              <w:bottom w:val="nil"/>
              <w:right w:val="nil"/>
            </w:tcBorders>
          </w:tcPr>
          <w:p w14:paraId="247E6531" w14:textId="77777777" w:rsidR="008E4EBD" w:rsidRDefault="00483AC6">
            <w:pPr>
              <w:pStyle w:val="Compact"/>
              <w:jc w:val="center"/>
            </w:pPr>
            <w:r>
              <w:t>0.4</w:t>
            </w:r>
          </w:p>
        </w:tc>
        <w:tc>
          <w:tcPr>
            <w:tcW w:w="2334" w:type="dxa"/>
            <w:tcBorders>
              <w:top w:val="nil"/>
              <w:left w:val="nil"/>
              <w:bottom w:val="nil"/>
              <w:right w:val="nil"/>
            </w:tcBorders>
          </w:tcPr>
          <w:p w14:paraId="247E6532" w14:textId="77777777" w:rsidR="008E4EBD" w:rsidRDefault="00483AC6">
            <w:pPr>
              <w:pStyle w:val="Compact"/>
              <w:jc w:val="center"/>
            </w:pPr>
            <w:r>
              <w:t>0.252 (0.521)</w:t>
            </w:r>
          </w:p>
        </w:tc>
        <w:tc>
          <w:tcPr>
            <w:tcW w:w="2023" w:type="dxa"/>
            <w:tcBorders>
              <w:top w:val="nil"/>
              <w:left w:val="nil"/>
              <w:bottom w:val="nil"/>
              <w:right w:val="nil"/>
            </w:tcBorders>
          </w:tcPr>
          <w:p w14:paraId="247E6533" w14:textId="77777777" w:rsidR="008E4EBD" w:rsidRDefault="00483AC6">
            <w:pPr>
              <w:pStyle w:val="Compact"/>
              <w:jc w:val="center"/>
            </w:pPr>
            <w:r>
              <w:t>0.233 (0.495)</w:t>
            </w:r>
          </w:p>
        </w:tc>
        <w:tc>
          <w:tcPr>
            <w:tcW w:w="2024" w:type="dxa"/>
            <w:tcBorders>
              <w:top w:val="nil"/>
              <w:left w:val="nil"/>
              <w:bottom w:val="nil"/>
              <w:right w:val="nil"/>
            </w:tcBorders>
          </w:tcPr>
          <w:p w14:paraId="247E6534" w14:textId="77777777" w:rsidR="008E4EBD" w:rsidRDefault="00483AC6">
            <w:pPr>
              <w:pStyle w:val="Compact"/>
              <w:jc w:val="center"/>
            </w:pPr>
            <w:r>
              <w:t>0.130 (0.275)</w:t>
            </w:r>
          </w:p>
        </w:tc>
      </w:tr>
      <w:tr w:rsidR="008E4EBD" w14:paraId="247E653C" w14:textId="77777777">
        <w:tc>
          <w:tcPr>
            <w:tcW w:w="1089" w:type="dxa"/>
            <w:tcBorders>
              <w:top w:val="nil"/>
              <w:left w:val="nil"/>
              <w:bottom w:val="nil"/>
              <w:right w:val="nil"/>
            </w:tcBorders>
          </w:tcPr>
          <w:p w14:paraId="247E6536" w14:textId="77777777" w:rsidR="008E4EBD" w:rsidRDefault="00483AC6">
            <w:pPr>
              <w:pStyle w:val="Compact"/>
              <w:jc w:val="center"/>
            </w:pPr>
            <w:r>
              <w:lastRenderedPageBreak/>
              <w:t>C</w:t>
            </w:r>
          </w:p>
        </w:tc>
        <w:tc>
          <w:tcPr>
            <w:tcW w:w="778" w:type="dxa"/>
            <w:tcBorders>
              <w:top w:val="nil"/>
              <w:left w:val="nil"/>
              <w:bottom w:val="nil"/>
              <w:right w:val="nil"/>
            </w:tcBorders>
          </w:tcPr>
          <w:p w14:paraId="247E6537" w14:textId="77777777" w:rsidR="008E4EBD" w:rsidRDefault="00483AC6">
            <w:pPr>
              <w:pStyle w:val="Compact"/>
              <w:jc w:val="center"/>
            </w:pPr>
            <w:r>
              <w:t>0.4</w:t>
            </w:r>
          </w:p>
        </w:tc>
        <w:tc>
          <w:tcPr>
            <w:tcW w:w="778" w:type="dxa"/>
            <w:tcBorders>
              <w:top w:val="nil"/>
              <w:left w:val="nil"/>
              <w:bottom w:val="nil"/>
              <w:right w:val="nil"/>
            </w:tcBorders>
          </w:tcPr>
          <w:p w14:paraId="247E6538" w14:textId="77777777" w:rsidR="008E4EBD" w:rsidRDefault="00483AC6">
            <w:pPr>
              <w:pStyle w:val="Compact"/>
              <w:jc w:val="center"/>
            </w:pPr>
            <w:r>
              <w:t>0.8</w:t>
            </w:r>
          </w:p>
        </w:tc>
        <w:tc>
          <w:tcPr>
            <w:tcW w:w="2334" w:type="dxa"/>
            <w:tcBorders>
              <w:top w:val="nil"/>
              <w:left w:val="nil"/>
              <w:bottom w:val="nil"/>
              <w:right w:val="nil"/>
            </w:tcBorders>
          </w:tcPr>
          <w:p w14:paraId="247E6539" w14:textId="77777777" w:rsidR="008E4EBD" w:rsidRDefault="00483AC6">
            <w:pPr>
              <w:pStyle w:val="Compact"/>
              <w:jc w:val="center"/>
            </w:pPr>
            <w:r>
              <w:t>0.260 (0.538)</w:t>
            </w:r>
          </w:p>
        </w:tc>
        <w:tc>
          <w:tcPr>
            <w:tcW w:w="2023" w:type="dxa"/>
            <w:tcBorders>
              <w:top w:val="nil"/>
              <w:left w:val="nil"/>
              <w:bottom w:val="nil"/>
              <w:right w:val="nil"/>
            </w:tcBorders>
          </w:tcPr>
          <w:p w14:paraId="247E653A" w14:textId="77777777" w:rsidR="008E4EBD" w:rsidRDefault="00483AC6">
            <w:pPr>
              <w:pStyle w:val="Compact"/>
              <w:jc w:val="center"/>
            </w:pPr>
            <w:r>
              <w:t>0.459 (0.960)</w:t>
            </w:r>
          </w:p>
        </w:tc>
        <w:tc>
          <w:tcPr>
            <w:tcW w:w="2024" w:type="dxa"/>
            <w:tcBorders>
              <w:top w:val="nil"/>
              <w:left w:val="nil"/>
              <w:bottom w:val="nil"/>
              <w:right w:val="nil"/>
            </w:tcBorders>
          </w:tcPr>
          <w:p w14:paraId="247E653B" w14:textId="77777777" w:rsidR="008E4EBD" w:rsidRDefault="00483AC6">
            <w:pPr>
              <w:pStyle w:val="Compact"/>
              <w:jc w:val="center"/>
            </w:pPr>
            <w:r>
              <w:t>0.136 (0.285)</w:t>
            </w:r>
          </w:p>
        </w:tc>
      </w:tr>
      <w:tr w:rsidR="008E4EBD" w14:paraId="247E6543" w14:textId="77777777">
        <w:tc>
          <w:tcPr>
            <w:tcW w:w="1089" w:type="dxa"/>
            <w:tcBorders>
              <w:top w:val="nil"/>
              <w:left w:val="nil"/>
              <w:bottom w:val="nil"/>
              <w:right w:val="nil"/>
            </w:tcBorders>
          </w:tcPr>
          <w:p w14:paraId="247E653D" w14:textId="77777777" w:rsidR="008E4EBD" w:rsidRDefault="00483AC6">
            <w:pPr>
              <w:pStyle w:val="Compact"/>
              <w:jc w:val="center"/>
            </w:pPr>
            <w:r>
              <w:t>C</w:t>
            </w:r>
          </w:p>
        </w:tc>
        <w:tc>
          <w:tcPr>
            <w:tcW w:w="778" w:type="dxa"/>
            <w:tcBorders>
              <w:top w:val="nil"/>
              <w:left w:val="nil"/>
              <w:bottom w:val="nil"/>
              <w:right w:val="nil"/>
            </w:tcBorders>
          </w:tcPr>
          <w:p w14:paraId="247E653E" w14:textId="77777777" w:rsidR="008E4EBD" w:rsidRDefault="00483AC6">
            <w:pPr>
              <w:pStyle w:val="Compact"/>
              <w:jc w:val="center"/>
            </w:pPr>
            <w:r>
              <w:t>0.8</w:t>
            </w:r>
          </w:p>
        </w:tc>
        <w:tc>
          <w:tcPr>
            <w:tcW w:w="778" w:type="dxa"/>
            <w:tcBorders>
              <w:top w:val="nil"/>
              <w:left w:val="nil"/>
              <w:bottom w:val="nil"/>
              <w:right w:val="nil"/>
            </w:tcBorders>
          </w:tcPr>
          <w:p w14:paraId="247E653F" w14:textId="77777777" w:rsidR="008E4EBD" w:rsidRDefault="00483AC6">
            <w:pPr>
              <w:pStyle w:val="Compact"/>
              <w:jc w:val="center"/>
            </w:pPr>
            <w:r>
              <w:t>0.4</w:t>
            </w:r>
          </w:p>
        </w:tc>
        <w:tc>
          <w:tcPr>
            <w:tcW w:w="2334" w:type="dxa"/>
            <w:tcBorders>
              <w:top w:val="nil"/>
              <w:left w:val="nil"/>
              <w:bottom w:val="nil"/>
              <w:right w:val="nil"/>
            </w:tcBorders>
          </w:tcPr>
          <w:p w14:paraId="247E6540" w14:textId="77777777" w:rsidR="008E4EBD" w:rsidRDefault="00483AC6">
            <w:pPr>
              <w:pStyle w:val="Compact"/>
              <w:jc w:val="center"/>
            </w:pPr>
            <w:r>
              <w:t>0.484 (0.990)</w:t>
            </w:r>
          </w:p>
        </w:tc>
        <w:tc>
          <w:tcPr>
            <w:tcW w:w="2023" w:type="dxa"/>
            <w:tcBorders>
              <w:top w:val="nil"/>
              <w:left w:val="nil"/>
              <w:bottom w:val="nil"/>
              <w:right w:val="nil"/>
            </w:tcBorders>
          </w:tcPr>
          <w:p w14:paraId="247E6541" w14:textId="77777777" w:rsidR="008E4EBD" w:rsidRDefault="00483AC6">
            <w:pPr>
              <w:pStyle w:val="Compact"/>
              <w:jc w:val="center"/>
            </w:pPr>
            <w:r>
              <w:t>0.210 (0.443)</w:t>
            </w:r>
          </w:p>
        </w:tc>
        <w:tc>
          <w:tcPr>
            <w:tcW w:w="2024" w:type="dxa"/>
            <w:tcBorders>
              <w:top w:val="nil"/>
              <w:left w:val="nil"/>
              <w:bottom w:val="nil"/>
              <w:right w:val="nil"/>
            </w:tcBorders>
          </w:tcPr>
          <w:p w14:paraId="247E6542" w14:textId="77777777" w:rsidR="008E4EBD" w:rsidRDefault="00483AC6">
            <w:pPr>
              <w:pStyle w:val="Compact"/>
              <w:jc w:val="center"/>
            </w:pPr>
            <w:r>
              <w:t>0.115 (0.248)</w:t>
            </w:r>
          </w:p>
        </w:tc>
      </w:tr>
      <w:tr w:rsidR="008E4EBD" w14:paraId="247E654A" w14:textId="77777777">
        <w:tc>
          <w:tcPr>
            <w:tcW w:w="1089" w:type="dxa"/>
            <w:tcBorders>
              <w:top w:val="nil"/>
              <w:left w:val="nil"/>
              <w:bottom w:val="single" w:sz="12" w:space="0" w:color="auto"/>
              <w:right w:val="nil"/>
            </w:tcBorders>
          </w:tcPr>
          <w:p w14:paraId="247E6544" w14:textId="77777777" w:rsidR="008E4EBD" w:rsidRDefault="00483AC6">
            <w:pPr>
              <w:pStyle w:val="Compact"/>
              <w:jc w:val="center"/>
            </w:pPr>
            <w:r>
              <w:t>C</w:t>
            </w:r>
          </w:p>
        </w:tc>
        <w:tc>
          <w:tcPr>
            <w:tcW w:w="778" w:type="dxa"/>
            <w:tcBorders>
              <w:top w:val="nil"/>
              <w:left w:val="nil"/>
              <w:bottom w:val="single" w:sz="12" w:space="0" w:color="auto"/>
              <w:right w:val="nil"/>
            </w:tcBorders>
          </w:tcPr>
          <w:p w14:paraId="247E6545" w14:textId="77777777" w:rsidR="008E4EBD" w:rsidRDefault="00483AC6">
            <w:pPr>
              <w:pStyle w:val="Compact"/>
              <w:jc w:val="center"/>
            </w:pPr>
            <w:r>
              <w:t>0.8</w:t>
            </w:r>
          </w:p>
        </w:tc>
        <w:tc>
          <w:tcPr>
            <w:tcW w:w="778" w:type="dxa"/>
            <w:tcBorders>
              <w:top w:val="nil"/>
              <w:left w:val="nil"/>
              <w:bottom w:val="single" w:sz="12" w:space="0" w:color="auto"/>
              <w:right w:val="nil"/>
            </w:tcBorders>
          </w:tcPr>
          <w:p w14:paraId="247E6546" w14:textId="77777777" w:rsidR="008E4EBD" w:rsidRDefault="00483AC6">
            <w:pPr>
              <w:pStyle w:val="Compact"/>
              <w:jc w:val="center"/>
            </w:pPr>
            <w:r>
              <w:t>0.8</w:t>
            </w:r>
          </w:p>
        </w:tc>
        <w:tc>
          <w:tcPr>
            <w:tcW w:w="2334" w:type="dxa"/>
            <w:tcBorders>
              <w:top w:val="nil"/>
              <w:left w:val="nil"/>
              <w:bottom w:val="single" w:sz="12" w:space="0" w:color="auto"/>
              <w:right w:val="nil"/>
            </w:tcBorders>
          </w:tcPr>
          <w:p w14:paraId="247E6547" w14:textId="77777777" w:rsidR="008E4EBD" w:rsidRDefault="00483AC6">
            <w:pPr>
              <w:pStyle w:val="Compact"/>
              <w:jc w:val="center"/>
            </w:pPr>
            <w:r>
              <w:t>0.474 (0.978)</w:t>
            </w:r>
          </w:p>
        </w:tc>
        <w:tc>
          <w:tcPr>
            <w:tcW w:w="2023" w:type="dxa"/>
            <w:tcBorders>
              <w:top w:val="nil"/>
              <w:left w:val="nil"/>
              <w:bottom w:val="single" w:sz="12" w:space="0" w:color="auto"/>
              <w:right w:val="nil"/>
            </w:tcBorders>
          </w:tcPr>
          <w:p w14:paraId="247E6548" w14:textId="77777777" w:rsidR="008E4EBD" w:rsidRDefault="00483AC6">
            <w:pPr>
              <w:pStyle w:val="Compact"/>
              <w:jc w:val="center"/>
            </w:pPr>
            <w:r>
              <w:t>0.363 (0.747)</w:t>
            </w:r>
          </w:p>
        </w:tc>
        <w:tc>
          <w:tcPr>
            <w:tcW w:w="2024" w:type="dxa"/>
            <w:tcBorders>
              <w:top w:val="nil"/>
              <w:left w:val="nil"/>
              <w:bottom w:val="single" w:sz="12" w:space="0" w:color="auto"/>
              <w:right w:val="nil"/>
            </w:tcBorders>
          </w:tcPr>
          <w:p w14:paraId="247E6549" w14:textId="77777777" w:rsidR="008E4EBD" w:rsidRDefault="00483AC6">
            <w:pPr>
              <w:pStyle w:val="Compact"/>
              <w:jc w:val="center"/>
            </w:pPr>
            <w:r>
              <w:t>0.117 (0.247)</w:t>
            </w:r>
          </w:p>
        </w:tc>
      </w:tr>
    </w:tbl>
    <w:p w14:paraId="247E654B" w14:textId="58CCD6AB" w:rsidR="008E4EBD" w:rsidRDefault="00483AC6">
      <w:pPr>
        <w:pStyle w:val="BodyText"/>
      </w:pPr>
      <w:r>
        <w:t xml:space="preserve">Three observations follow. First, the misspecification leaves the aggregate level of the map essentially untouched: the mean prediction bias of every shrinkage estimator is below 0.005 </w:t>
      </w:r>
      <w:r w:rsidR="009C18C8">
        <w:t>across all scenarios, consistent with the result in</w:t>
      </w:r>
      <w:r>
        <w:t xml:space="preserve"> Section 5 that prediction unbiasedness survives covariance misspecification. The damage is invisible in aggregate diagnostics. Second, the individual point estimates move materially.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the MFH-diag point prediction for an observed area-year differs from the true BLUP by 0.54 on average—more than half a standard deviation of the area effect (</w:t>
      </w:r>
      <m:oMath>
        <m:r>
          <w:rPr>
            <w:rFonts w:ascii="Cambria Math" w:hAnsi="Cambria Math"/>
          </w:rPr>
          <m:t>A</m:t>
        </m:r>
        <m:r>
          <w:rPr>
            <w:rFonts w:ascii="Cambria Math" w:hAnsi="Cambria Math"/>
          </w:rPr>
          <m:t>=1</m:t>
        </m:r>
      </m:oMath>
      <w:r>
        <w:t>)—and by more than 1.13 for one area-year in ten. UFH differs by 0.30 on average. MFH-full stays within 0.10 of the oracle in every scenario, indistinguishable from the pure parameter-estimation noise visible in the baseline (0.08). For missing area-years</w:t>
      </w:r>
      <w:r w:rsidR="009C18C8">
        <w:t>,</w:t>
      </w:r>
      <w:r>
        <w:t xml:space="preserve"> the same pattern </w:t>
      </w:r>
      <w:proofErr w:type="gramStart"/>
      <w:r>
        <w:t>holds:</w:t>
      </w:r>
      <w:proofErr w:type="gramEnd"/>
      <w:r>
        <w:t xml:space="preserve">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the MFH-diag prediction sits 0.46 from the true BLUP on average against 0.14 for MFH-full. Third, the model upgrade can move the numbers in the wrong direction: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UFH point estimates are </w:t>
      </w:r>
      <w:r>
        <w:rPr>
          <w:i/>
        </w:rPr>
        <w:t>closer</w:t>
      </w:r>
      <w:r>
        <w:t xml:space="preserve"> to the oracle (0.13) than MFH-diag’s (0.38)—switching from UFH to a multivariate model while keeping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default pushes the published estimates further from the optimal ones. For poverty mapping</w:t>
      </w:r>
      <w:r w:rsidR="009C18C8">
        <w:t>,</w:t>
      </w:r>
      <w:r>
        <w:t xml:space="preserve"> these magnitudes matter directly: point estimates of this kind drive area rankings, eligibility thresholds, and budget allocations, and area-specific shifts of half a standard deviation—uncorrelated with any aggregate diagnostic—can reorder areas around any policy cutoff.</w:t>
      </w:r>
    </w:p>
    <w:p w14:paraId="247E654C" w14:textId="77777777" w:rsidR="008E4EBD" w:rsidRDefault="00483AC6">
      <w:pPr>
        <w:pStyle w:val="BodyText"/>
      </w:pPr>
      <w:r>
        <w:t xml:space="preserve">These results also answer a question of internal consistency. The Fay–Herriot tradition treats the diagonal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as known </w:t>
      </w:r>
      <w:r>
        <w:rPr>
          <w:i/>
        </w:rPr>
        <w:t>because the survey design supplies it</w:t>
      </w:r>
      <w:r>
        <w:t xml:space="preserve">. If empirical analysis of the same design—rotation patterns, overlapping primary sampling units, shared interview waves—shows that the sampling errors are autocorrelated, then setting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is not a neutral simplification; it is a working model that contradicts design information the analyst has already accepted as known on the diagonal. The estimates in Annex Table A.3 show what the contradiction costs: the likelihood, denied the true source of the cross-year correlation, relocates it into the area effects, and every prediction weight built on </w:t>
      </w:r>
      <m:oMath>
        <m:acc>
          <m:accPr>
            <m:ctrlPr>
              <w:rPr>
                <w:rFonts w:ascii="Cambria Math" w:hAnsi="Cambria Math"/>
              </w:rPr>
            </m:ctrlPr>
          </m:accPr>
          <m:e>
            <m:r>
              <w:rPr>
                <w:rFonts w:ascii="Cambria Math" w:hAnsi="Cambria Math"/>
              </w:rPr>
              <m:t>G</m:t>
            </m:r>
          </m:e>
        </m:acc>
      </m:oMath>
      <w:r>
        <w:t xml:space="preserve"> inherits the error. The consistent practice is to carry the design information through in full: if the design implies sampling-error covariances, they belong in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exactly as the sampling variances do.</w:t>
      </w:r>
    </w:p>
    <w:p w14:paraId="247E654D" w14:textId="77777777" w:rsidR="008E4EBD" w:rsidRDefault="00483AC6">
      <w:pPr>
        <w:pStyle w:val="Heading1"/>
      </w:pPr>
      <w:bookmarkStart w:id="20" w:name="implications-for-practice"/>
      <w:r>
        <w:t>12. Implications for practice</w:t>
      </w:r>
      <w:bookmarkEnd w:id="20"/>
    </w:p>
    <w:p w14:paraId="247E654E" w14:textId="77777777" w:rsidR="008E4EBD" w:rsidRDefault="00483AC6">
      <w:pPr>
        <w:pStyle w:val="Heading2"/>
      </w:pPr>
      <w:bookmarkStart w:id="21" w:name="Xbd7eb046e5e18c708c7b345183d2261cd01fd30"/>
      <w:r>
        <w:t>12.1. Reporting uncertainty for observed and missing area-years</w:t>
      </w:r>
      <w:bookmarkEnd w:id="21"/>
    </w:p>
    <w:p w14:paraId="247E654F" w14:textId="77777777" w:rsidR="008E4EBD" w:rsidRDefault="00483AC6">
      <w:pPr>
        <w:pStyle w:val="FirstParagraph"/>
      </w:pPr>
      <w:r>
        <w:t>The distinction between observed and missing direct estimates should be reflected in uncertainty reporting. For a known covariance matrix, the conditional prediction variance for a missing target has the form</w:t>
      </w:r>
    </w:p>
    <w:p w14:paraId="247E6550"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m</m:t>
              </m:r>
            </m:sub>
          </m:sSub>
          <m:r>
            <w:rPr>
              <w:rFonts w:ascii="Cambria Math" w:hAnsi="Cambria Math"/>
            </w:rPr>
            <m:t>)=</m:t>
          </m:r>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C</m:t>
              </m:r>
            </m:e>
            <m:sub>
              <m:r>
                <m:rPr>
                  <m:nor/>
                </m:rPr>
                <m:t>om</m:t>
              </m:r>
            </m:sub>
          </m:sSub>
          <m:r>
            <w:rPr>
              <w:rFonts w:ascii="Cambria Math" w:hAnsi="Cambria Math"/>
            </w:rPr>
            <m:t>+</m:t>
          </m:r>
          <m:r>
            <m:rPr>
              <m:nor/>
            </m:rPr>
            <m:t>(β-estimation component)</m:t>
          </m:r>
          <m:r>
            <w:rPr>
              <w:rFonts w:ascii="Cambria Math" w:hAnsi="Cambria Math"/>
            </w:rPr>
            <m:t>,</m:t>
          </m:r>
        </m:oMath>
      </m:oMathPara>
    </w:p>
    <w:p w14:paraId="247E6551" w14:textId="77777777" w:rsidR="008E4EBD" w:rsidRDefault="00483AC6">
      <w:pPr>
        <w:pStyle w:val="BodyText"/>
      </w:pPr>
      <w:r>
        <w:t xml:space="preserve">so the reduction below the synthetic-prediction variance </w:t>
      </w:r>
      <m:oMath>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oMath>
      <w:r>
        <w:t xml:space="preserve"> is exactly the explained covariance term </w:t>
      </w:r>
      <m:oMath>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C</m:t>
            </m:r>
          </m:e>
          <m:sub>
            <m:r>
              <m:rPr>
                <m:nor/>
              </m:rPr>
              <m:t>om</m:t>
            </m:r>
          </m:sub>
        </m:sSub>
      </m:oMath>
      <w:r>
        <w:t xml:space="preserve">. When covariance parameters are estimated, the EBLUP MSE includes additional terms from variance-component estimation, analogous to the </w:t>
      </w:r>
      <m:oMath>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term of Prasad and Rao (1990); analytic </w:t>
      </w:r>
      <w:r>
        <w:lastRenderedPageBreak/>
        <w:t>approximations (Datta and Lahiri, 2000; Datta, Rao, and Smith, 2005) and parametric bootstrap methods (González-Manteiga et al., 2008) are available.</w:t>
      </w:r>
    </w:p>
    <w:p w14:paraId="247E6552" w14:textId="0D20E199" w:rsidR="008E4EBD" w:rsidRDefault="00483AC6">
      <w:pPr>
        <w:pStyle w:val="BodyText"/>
      </w:pPr>
      <w:r>
        <w:t xml:space="preserve">Reported RMSEs and coefficients of variation (CVs) should flag, for each estimate, the information set on which it is based: (i) an observed direct estimate for the same area-year; (ii) temporal or multivariate borrowing from other observed years; (iii) spatial borrowing from other areas; or (iv) purely synthetic prediction. This classification is important for interpretation. A small CV for an area with a direct estimate and a small CV for an area with no direct estimate </w:t>
      </w:r>
      <w:proofErr w:type="gramStart"/>
      <w:r>
        <w:t>do</w:t>
      </w:r>
      <w:proofErr w:type="gramEnd"/>
      <w:r>
        <w:t xml:space="preserve"> not carry the same evidentiary </w:t>
      </w:r>
      <w:r w:rsidR="00530C79">
        <w:t>weight if the latter is heavily model-dependent: the former is anchored in area-specific data, whereas</w:t>
      </w:r>
      <w:r>
        <w:t xml:space="preserve"> the latter inherits the model’s assumptions wholesale. Publications should avoid presenting complete maps as if all area estimates had the same direct empirical support.</w:t>
      </w:r>
    </w:p>
    <w:p w14:paraId="247E6553" w14:textId="77777777" w:rsidR="008E4EBD" w:rsidRDefault="00483AC6">
      <w:pPr>
        <w:pStyle w:val="Heading2"/>
      </w:pPr>
      <w:bookmarkStart w:id="22" w:name="X8618a2869d195aad50115e8c20b78c42d0970b5"/>
      <w:r>
        <w:t>12.2. Implementation steps for MFH with missing area-years</w:t>
      </w:r>
      <w:bookmarkEnd w:id="22"/>
    </w:p>
    <w:p w14:paraId="247E6554" w14:textId="77777777" w:rsidR="008E4EBD" w:rsidRDefault="00483AC6">
      <w:pPr>
        <w:pStyle w:val="FirstParagraph"/>
      </w:pPr>
      <w:r>
        <w:t>Operationally, the MFH estimator with missing area-years can be implemented as follows.</w:t>
      </w:r>
    </w:p>
    <w:p w14:paraId="247E6555" w14:textId="77777777" w:rsidR="008E4EBD" w:rsidRDefault="00483AC6">
      <w:pPr>
        <w:numPr>
          <w:ilvl w:val="0"/>
          <w:numId w:val="3"/>
        </w:numPr>
      </w:pPr>
      <w:r>
        <w:t xml:space="preserve">Stack all available direct estimates into a single observed vector </w:t>
      </w:r>
      <m:oMath>
        <m:sSub>
          <m:sSubPr>
            <m:ctrlPr>
              <w:rPr>
                <w:rFonts w:ascii="Cambria Math" w:hAnsi="Cambria Math"/>
              </w:rPr>
            </m:ctrlPr>
          </m:sSubPr>
          <m:e>
            <m:r>
              <w:rPr>
                <w:rFonts w:ascii="Cambria Math" w:hAnsi="Cambria Math"/>
              </w:rPr>
              <m:t>y</m:t>
            </m:r>
          </m:e>
          <m:sub>
            <m:r>
              <w:rPr>
                <w:rFonts w:ascii="Cambria Math" w:hAnsi="Cambria Math"/>
              </w:rPr>
              <m:t>o</m:t>
            </m:r>
          </m:sub>
        </m:sSub>
      </m:oMath>
      <w:r>
        <w:t>. Exclude missing area-years from this vector; do not treat them as zeros or as direct estimates with arbitrarily large variance unless the software formulation explicitly justifies that approximation.</w:t>
      </w:r>
    </w:p>
    <w:p w14:paraId="247E6556" w14:textId="77777777" w:rsidR="008E4EBD" w:rsidRDefault="00483AC6">
      <w:pPr>
        <w:numPr>
          <w:ilvl w:val="0"/>
          <w:numId w:val="3"/>
        </w:numPr>
      </w:pPr>
      <w:r>
        <w:t xml:space="preserve">Build the corresponding observed design matrix </w:t>
      </w:r>
      <m:oMath>
        <m:sSub>
          <m:sSubPr>
            <m:ctrlPr>
              <w:rPr>
                <w:rFonts w:ascii="Cambria Math" w:hAnsi="Cambria Math"/>
              </w:rPr>
            </m:ctrlPr>
          </m:sSubPr>
          <m:e>
            <m:r>
              <w:rPr>
                <w:rFonts w:ascii="Cambria Math" w:hAnsi="Cambria Math"/>
              </w:rPr>
              <m:t>X</m:t>
            </m:r>
          </m:e>
          <m:sub>
            <m:r>
              <w:rPr>
                <w:rFonts w:ascii="Cambria Math" w:hAnsi="Cambria Math"/>
              </w:rPr>
              <m:t>o</m:t>
            </m:r>
          </m:sub>
        </m:sSub>
      </m:oMath>
      <w:r>
        <w:t xml:space="preserve">, and build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for the area-years to be predicted but not observed.</w:t>
      </w:r>
    </w:p>
    <w:p w14:paraId="247E6557" w14:textId="77777777" w:rsidR="008E4EBD" w:rsidRDefault="00483AC6">
      <w:pPr>
        <w:numPr>
          <w:ilvl w:val="0"/>
          <w:numId w:val="3"/>
        </w:numPr>
      </w:pPr>
      <w:r>
        <w:t xml:space="preserve">Specify the covariance model for the area effects and sampling errors. This determines </w:t>
      </w:r>
      <m:oMath>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oMath>
      <w:r>
        <w:t xml:space="preserve"> and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oMath>
      <w:r>
        <w:t>; parsimonious structures (AR(1) in time, conditional or simultaneous autoregressive structures in space) keep the parameter count manageable.</w:t>
      </w:r>
    </w:p>
    <w:p w14:paraId="247E6558" w14:textId="77777777" w:rsidR="008E4EBD" w:rsidRDefault="00483AC6">
      <w:pPr>
        <w:numPr>
          <w:ilvl w:val="0"/>
          <w:numId w:val="3"/>
        </w:numPr>
      </w:pPr>
      <w:r>
        <w:t xml:space="preserve">Obtain the sampling-error covariance matrix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 from the survey design wherever possible. In repeated surveys, rotating panels, or designs that reuse primary sampling units, the sampling covariances between direct estimates for the same area in different years can be computed or estimated by the same design-based methods used for the sampling variances. Supplying these covariances to the model is the multivariate analog of the standard convention of treating the </w:t>
      </w:r>
      <m:oMath>
        <m:sSub>
          <m:sSubPr>
            <m:ctrlPr>
              <w:rPr>
                <w:rFonts w:ascii="Cambria Math" w:hAnsi="Cambria Math"/>
              </w:rPr>
            </m:ctrlPr>
          </m:sSubPr>
          <m:e>
            <m:r>
              <w:rPr>
                <w:rFonts w:ascii="Cambria Math" w:hAnsi="Cambria Math"/>
              </w:rPr>
              <m:t>D</m:t>
            </m:r>
          </m:e>
          <m:sub>
            <m:r>
              <m:rPr>
                <m:nor/>
              </m:rPr>
              <m:t>it</m:t>
            </m:r>
          </m:sub>
        </m:sSub>
      </m:oMath>
      <w:r>
        <w:t xml:space="preserve"> as known; defaulting to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when the design induces correlation is a covariance misspecification that the model cannot repair by estimating </w:t>
      </w:r>
      <m:oMath>
        <m:r>
          <w:rPr>
            <w:rFonts w:ascii="Cambria Math" w:hAnsi="Cambria Math"/>
          </w:rPr>
          <m:t>G</m:t>
        </m:r>
      </m:oMath>
      <w:r>
        <w:t>, however flexibly (Section 11.3).</w:t>
      </w:r>
    </w:p>
    <w:p w14:paraId="247E6559" w14:textId="77777777" w:rsidR="008E4EBD" w:rsidRDefault="00483AC6">
      <w:pPr>
        <w:numPr>
          <w:ilvl w:val="0"/>
          <w:numId w:val="3"/>
        </w:numPr>
      </w:pPr>
      <w:r>
        <w:t xml:space="preserve">Estimate </w:t>
      </w:r>
      <m:oMath>
        <m:r>
          <w:rPr>
            <w:rFonts w:ascii="Cambria Math" w:hAnsi="Cambria Math"/>
          </w:rPr>
          <m:t>β</m:t>
        </m:r>
      </m:oMath>
      <w:r>
        <w:t xml:space="preserve"> by GLS using only observed direct estimates: </w:t>
      </w:r>
      <m:oMath>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r>
          <w:rPr>
            <w:rFonts w:ascii="Cambria Math" w:hAnsi="Cambria Math"/>
          </w:rPr>
          <m:t>'</m:t>
        </m:r>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o</m:t>
            </m:r>
          </m:sub>
        </m:sSub>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o</m:t>
            </m:r>
          </m:sub>
        </m:sSub>
        <m:r>
          <w:rPr>
            <w:rFonts w:ascii="Cambria Math" w:hAnsi="Cambria Math"/>
          </w:rPr>
          <m:t>'</m:t>
        </m:r>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y</m:t>
            </m:r>
          </m:e>
          <m:sub>
            <m:r>
              <w:rPr>
                <w:rFonts w:ascii="Cambria Math" w:hAnsi="Cambria Math"/>
              </w:rPr>
              <m:t>o</m:t>
            </m:r>
          </m:sub>
        </m:sSub>
      </m:oMath>
      <w:r>
        <w:t>.</w:t>
      </w:r>
    </w:p>
    <w:p w14:paraId="247E655A" w14:textId="77777777" w:rsidR="008E4EBD" w:rsidRDefault="00483AC6">
      <w:pPr>
        <w:numPr>
          <w:ilvl w:val="0"/>
          <w:numId w:val="3"/>
        </w:numPr>
      </w:pPr>
      <w:r>
        <w:t>Estimate unknown variance and covariance parameters by ML, REML, method of moments, or a structured covariance estimator, depending on the design and data limitations.</w:t>
      </w:r>
    </w:p>
    <w:p w14:paraId="247E655B" w14:textId="77777777" w:rsidR="008E4EBD" w:rsidRDefault="00483AC6">
      <w:pPr>
        <w:numPr>
          <w:ilvl w:val="0"/>
          <w:numId w:val="3"/>
        </w:numPr>
      </w:pPr>
      <w:r>
        <w:t xml:space="preserve">Compute the EBLUP for missing targets as </w:t>
      </w:r>
      <m:oMath>
        <m:sSub>
          <m:sSubPr>
            <m:ctrlPr>
              <w:rPr>
                <w:rFonts w:ascii="Cambria Math" w:hAnsi="Cambria Math"/>
              </w:rPr>
            </m:ctrlPr>
          </m:sSubPr>
          <m:e>
            <m:r>
              <w:rPr>
                <w:rFonts w:ascii="Cambria Math" w:hAnsi="Cambria Math"/>
              </w:rPr>
              <m:t>X</m:t>
            </m:r>
          </m:e>
          <m:sub>
            <m:r>
              <w:rPr>
                <w:rFonts w:ascii="Cambria Math" w:hAnsi="Cambria Math"/>
              </w:rPr>
              <m:t>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acc>
          <m:accPr>
            <m:ctrlPr>
              <w:rPr>
                <w:rFonts w:ascii="Cambria Math" w:hAnsi="Cambria Math"/>
              </w:rPr>
            </m:ctrlPr>
          </m:accPr>
          <m:e>
            <m:r>
              <w:rPr>
                <w:rFonts w:ascii="Cambria Math" w:hAnsi="Cambria Math"/>
              </w:rPr>
              <m:t>β</m:t>
            </m:r>
          </m:e>
        </m:acc>
        <m:r>
          <w:rPr>
            <w:rFonts w:ascii="Cambria Math" w:hAnsi="Cambria Math"/>
          </w:rPr>
          <m:t>)</m:t>
        </m:r>
      </m:oMath>
      <w:r>
        <w:t>.</w:t>
      </w:r>
    </w:p>
    <w:p w14:paraId="247E655C" w14:textId="77777777" w:rsidR="008E4EBD" w:rsidRDefault="00483AC6">
      <w:pPr>
        <w:numPr>
          <w:ilvl w:val="0"/>
          <w:numId w:val="3"/>
        </w:numPr>
      </w:pPr>
      <w:r>
        <w:t xml:space="preserve">Compute MSEs using an approximation that reflects prediction variance, </w:t>
      </w:r>
      <m:oMath>
        <m:r>
          <w:rPr>
            <w:rFonts w:ascii="Cambria Math" w:hAnsi="Cambria Math"/>
          </w:rPr>
          <m:t>β</m:t>
        </m:r>
      </m:oMath>
      <w:r>
        <w:t xml:space="preserve"> -estimation error, and variance-component estimation error; flag estimates for missing area-years, whose uncertainty and model dependence differ from those of ordinary observed area-years.</w:t>
      </w:r>
    </w:p>
    <w:p w14:paraId="247E655D" w14:textId="77777777" w:rsidR="008E4EBD" w:rsidRDefault="00483AC6">
      <w:pPr>
        <w:pStyle w:val="Heading2"/>
      </w:pPr>
      <w:bookmarkStart w:id="23" w:name="summary-of-estimator-behavior"/>
      <w:r>
        <w:lastRenderedPageBreak/>
        <w:t>12.3. Summary of estimator behavior</w:t>
      </w:r>
      <w:bookmarkEnd w:id="23"/>
    </w:p>
    <w:p w14:paraId="247E655E" w14:textId="23874503" w:rsidR="008E4EBD" w:rsidRDefault="00483AC6">
      <w:pPr>
        <w:pStyle w:val="FirstParagraph"/>
      </w:pPr>
      <w:r>
        <w:t xml:space="preserve">Table 5 </w:t>
      </w:r>
      <w:r w:rsidR="00E308C7">
        <w:t>summarizes the qualitative conclusions from Sections 5–11 in a format</w:t>
      </w:r>
      <w:r>
        <w:t xml:space="preserve"> suitable for guidance documents. “MFH (diag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denotes a multivariate model that estimates the area-effect covariance </w:t>
      </w:r>
      <m:oMath>
        <m:r>
          <w:rPr>
            <w:rFonts w:ascii="Cambria Math" w:hAnsi="Cambria Math"/>
          </w:rPr>
          <m:t>G</m:t>
        </m:r>
      </m:oMath>
      <w:r>
        <w:t xml:space="preserve"> but assumes independent sampling errors; “MFH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denotes the same model with the sampling-error covariance, including off-diagonal terms, supplied from the survey design.</w:t>
      </w:r>
    </w:p>
    <w:p w14:paraId="247E655F" w14:textId="77777777" w:rsidR="008E4EBD" w:rsidRDefault="00483AC6">
      <w:pPr>
        <w:pStyle w:val="BodyText"/>
      </w:pPr>
      <w:r>
        <w:t>Table 5—Summary of Estimator Behavior</w:t>
      </w:r>
    </w:p>
    <w:tbl>
      <w:tblPr>
        <w:tblStyle w:val="Table"/>
        <w:tblW w:w="9026" w:type="dxa"/>
        <w:tblLayout w:type="fixed"/>
        <w:tblLook w:val="07E0" w:firstRow="1" w:lastRow="1" w:firstColumn="1" w:lastColumn="1" w:noHBand="1" w:noVBand="1"/>
      </w:tblPr>
      <w:tblGrid>
        <w:gridCol w:w="1805"/>
        <w:gridCol w:w="1805"/>
        <w:gridCol w:w="1805"/>
        <w:gridCol w:w="1805"/>
        <w:gridCol w:w="1806"/>
      </w:tblGrid>
      <w:tr w:rsidR="008E4EBD" w14:paraId="247E6565" w14:textId="77777777">
        <w:tc>
          <w:tcPr>
            <w:tcW w:w="1805" w:type="dxa"/>
            <w:tcBorders>
              <w:top w:val="single" w:sz="12" w:space="0" w:color="auto"/>
              <w:left w:val="nil"/>
              <w:bottom w:val="single" w:sz="4" w:space="0" w:color="auto"/>
              <w:right w:val="nil"/>
            </w:tcBorders>
            <w:vAlign w:val="bottom"/>
          </w:tcPr>
          <w:p w14:paraId="247E6560" w14:textId="77777777" w:rsidR="008E4EBD" w:rsidRDefault="00483AC6">
            <w:pPr>
              <w:pStyle w:val="Compact"/>
              <w:jc w:val="left"/>
            </w:pPr>
            <w:r>
              <w:rPr>
                <w:b/>
                <w:bCs/>
              </w:rPr>
              <w:t>Case</w:t>
            </w:r>
          </w:p>
        </w:tc>
        <w:tc>
          <w:tcPr>
            <w:tcW w:w="1805" w:type="dxa"/>
            <w:tcBorders>
              <w:top w:val="single" w:sz="12" w:space="0" w:color="auto"/>
              <w:left w:val="nil"/>
              <w:bottom w:val="single" w:sz="4" w:space="0" w:color="auto"/>
              <w:right w:val="nil"/>
            </w:tcBorders>
            <w:vAlign w:val="bottom"/>
          </w:tcPr>
          <w:p w14:paraId="247E6561" w14:textId="77777777" w:rsidR="008E4EBD" w:rsidRDefault="00483AC6">
            <w:pPr>
              <w:pStyle w:val="Compact"/>
              <w:jc w:val="left"/>
            </w:pPr>
            <w:r>
              <w:rPr>
                <w:b/>
                <w:bCs/>
              </w:rPr>
              <w:t>UFH</w:t>
            </w:r>
          </w:p>
        </w:tc>
        <w:tc>
          <w:tcPr>
            <w:tcW w:w="1805" w:type="dxa"/>
            <w:tcBorders>
              <w:top w:val="single" w:sz="12" w:space="0" w:color="auto"/>
              <w:left w:val="nil"/>
              <w:bottom w:val="single" w:sz="4" w:space="0" w:color="auto"/>
              <w:right w:val="nil"/>
            </w:tcBorders>
            <w:vAlign w:val="bottom"/>
          </w:tcPr>
          <w:p w14:paraId="247E6562" w14:textId="77777777" w:rsidR="008E4EBD" w:rsidRDefault="00483AC6">
            <w:pPr>
              <w:pStyle w:val="Compact"/>
              <w:jc w:val="left"/>
            </w:pPr>
            <w:r>
              <w:rPr>
                <w:b/>
                <w:bCs/>
              </w:rPr>
              <w:t xml:space="preserve">MFH (diag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b/>
                <w:bCs/>
              </w:rPr>
              <w:t>)</w:t>
            </w:r>
          </w:p>
        </w:tc>
        <w:tc>
          <w:tcPr>
            <w:tcW w:w="1805" w:type="dxa"/>
            <w:tcBorders>
              <w:top w:val="single" w:sz="12" w:space="0" w:color="auto"/>
              <w:left w:val="nil"/>
              <w:bottom w:val="single" w:sz="4" w:space="0" w:color="auto"/>
              <w:right w:val="nil"/>
            </w:tcBorders>
            <w:vAlign w:val="bottom"/>
          </w:tcPr>
          <w:p w14:paraId="247E6563" w14:textId="77777777" w:rsidR="008E4EBD" w:rsidRDefault="00483AC6">
            <w:pPr>
              <w:pStyle w:val="Compact"/>
              <w:jc w:val="left"/>
            </w:pPr>
            <w:r>
              <w:rPr>
                <w:b/>
                <w:bCs/>
              </w:rPr>
              <w:t xml:space="preserve">MFH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b/>
                <w:bCs/>
              </w:rPr>
              <w:t>)</w:t>
            </w:r>
          </w:p>
        </w:tc>
        <w:tc>
          <w:tcPr>
            <w:tcW w:w="1806" w:type="dxa"/>
            <w:tcBorders>
              <w:top w:val="single" w:sz="12" w:space="0" w:color="auto"/>
              <w:left w:val="nil"/>
              <w:bottom w:val="single" w:sz="4" w:space="0" w:color="auto"/>
              <w:right w:val="nil"/>
            </w:tcBorders>
            <w:vAlign w:val="bottom"/>
          </w:tcPr>
          <w:p w14:paraId="247E6564" w14:textId="77777777" w:rsidR="008E4EBD" w:rsidRDefault="00483AC6">
            <w:pPr>
              <w:pStyle w:val="Compact"/>
              <w:jc w:val="left"/>
            </w:pPr>
            <w:r>
              <w:rPr>
                <w:b/>
                <w:bCs/>
              </w:rPr>
              <w:t>Interpretation</w:t>
            </w:r>
          </w:p>
        </w:tc>
      </w:tr>
      <w:tr w:rsidR="008E4EBD" w14:paraId="247E656B" w14:textId="77777777">
        <w:tc>
          <w:tcPr>
            <w:tcW w:w="1805" w:type="dxa"/>
            <w:tcBorders>
              <w:top w:val="nil"/>
              <w:left w:val="nil"/>
              <w:bottom w:val="nil"/>
              <w:right w:val="nil"/>
            </w:tcBorders>
          </w:tcPr>
          <w:p w14:paraId="247E6566" w14:textId="77777777" w:rsidR="008E4EBD" w:rsidRDefault="00483AC6">
            <w:pPr>
              <w:pStyle w:val="Compact"/>
              <w:jc w:val="left"/>
            </w:pPr>
            <w:r>
              <w:t>Direct estimate available; no temporal/spatial dependence</w:t>
            </w:r>
          </w:p>
        </w:tc>
        <w:tc>
          <w:tcPr>
            <w:tcW w:w="1805" w:type="dxa"/>
            <w:tcBorders>
              <w:top w:val="nil"/>
              <w:left w:val="nil"/>
              <w:bottom w:val="nil"/>
              <w:right w:val="nil"/>
            </w:tcBorders>
          </w:tcPr>
          <w:p w14:paraId="247E6567" w14:textId="77777777" w:rsidR="008E4EBD" w:rsidRDefault="00483AC6">
            <w:pPr>
              <w:pStyle w:val="Compact"/>
              <w:jc w:val="left"/>
            </w:pPr>
            <w:r>
              <w:t xml:space="preserve">EBLUP converges to UFH BLUP if </w:t>
            </w:r>
            <m:oMath>
              <m:r>
                <w:rPr>
                  <w:rFonts w:ascii="Cambria Math" w:hAnsi="Cambria Math"/>
                </w:rPr>
                <m:t>A</m:t>
              </m:r>
            </m:oMath>
            <w:r>
              <w:t xml:space="preserve"> is consistently estimated.</w:t>
            </w:r>
          </w:p>
        </w:tc>
        <w:tc>
          <w:tcPr>
            <w:tcW w:w="1805" w:type="dxa"/>
            <w:tcBorders>
              <w:top w:val="nil"/>
              <w:left w:val="nil"/>
              <w:bottom w:val="nil"/>
              <w:right w:val="nil"/>
            </w:tcBorders>
          </w:tcPr>
          <w:p w14:paraId="247E6568" w14:textId="77777777" w:rsidR="008E4EBD" w:rsidRDefault="00483AC6">
            <w:pPr>
              <w:pStyle w:val="Compact"/>
              <w:jc w:val="left"/>
            </w:pPr>
            <w:r>
              <w:t>Also valid; extra structure is estimated as null.</w:t>
            </w:r>
          </w:p>
        </w:tc>
        <w:tc>
          <w:tcPr>
            <w:tcW w:w="1805" w:type="dxa"/>
            <w:tcBorders>
              <w:top w:val="nil"/>
              <w:left w:val="nil"/>
              <w:bottom w:val="nil"/>
              <w:right w:val="nil"/>
            </w:tcBorders>
          </w:tcPr>
          <w:p w14:paraId="247E6569" w14:textId="77777777" w:rsidR="008E4EBD" w:rsidRDefault="00483AC6">
            <w:pPr>
              <w:pStyle w:val="Compact"/>
              <w:jc w:val="left"/>
            </w:pPr>
            <w:r>
              <w:t>Also valid; extra structure is estimated as null.</w:t>
            </w:r>
          </w:p>
        </w:tc>
        <w:tc>
          <w:tcPr>
            <w:tcW w:w="1806" w:type="dxa"/>
            <w:tcBorders>
              <w:top w:val="nil"/>
              <w:left w:val="nil"/>
              <w:bottom w:val="nil"/>
              <w:right w:val="nil"/>
            </w:tcBorders>
          </w:tcPr>
          <w:p w14:paraId="247E656A" w14:textId="77777777" w:rsidR="008E4EBD" w:rsidRDefault="00483AC6">
            <w:pPr>
              <w:pStyle w:val="Compact"/>
              <w:jc w:val="left"/>
            </w:pPr>
            <w:r>
              <w:t>UFH is adequate under its assumptions.</w:t>
            </w:r>
          </w:p>
        </w:tc>
      </w:tr>
      <w:tr w:rsidR="008E4EBD" w14:paraId="247E6571" w14:textId="77777777">
        <w:tc>
          <w:tcPr>
            <w:tcW w:w="1805" w:type="dxa"/>
            <w:tcBorders>
              <w:top w:val="nil"/>
              <w:left w:val="nil"/>
              <w:bottom w:val="nil"/>
              <w:right w:val="nil"/>
            </w:tcBorders>
          </w:tcPr>
          <w:p w14:paraId="247E656C" w14:textId="77777777" w:rsidR="008E4EBD" w:rsidRDefault="00483AC6">
            <w:pPr>
              <w:pStyle w:val="Compact"/>
              <w:jc w:val="left"/>
            </w:pPr>
            <w:r>
              <w:t>Direct estimate available; area effects autocorrelated, sampling errors independent</w:t>
            </w:r>
          </w:p>
        </w:tc>
        <w:tc>
          <w:tcPr>
            <w:tcW w:w="1805" w:type="dxa"/>
            <w:tcBorders>
              <w:top w:val="nil"/>
              <w:left w:val="nil"/>
              <w:bottom w:val="nil"/>
              <w:right w:val="nil"/>
            </w:tcBorders>
          </w:tcPr>
          <w:p w14:paraId="247E656D" w14:textId="77777777" w:rsidR="008E4EBD" w:rsidRDefault="00483AC6">
            <w:pPr>
              <w:pStyle w:val="Compact"/>
              <w:jc w:val="left"/>
            </w:pPr>
            <w:r>
              <w:t>Does not converge to the true BLUP.</w:t>
            </w:r>
          </w:p>
        </w:tc>
        <w:tc>
          <w:tcPr>
            <w:tcW w:w="1805" w:type="dxa"/>
            <w:tcBorders>
              <w:top w:val="nil"/>
              <w:left w:val="nil"/>
              <w:bottom w:val="nil"/>
              <w:right w:val="nil"/>
            </w:tcBorders>
          </w:tcPr>
          <w:p w14:paraId="247E656E" w14:textId="77777777" w:rsidR="008E4EBD" w:rsidRDefault="00483AC6">
            <w:pPr>
              <w:pStyle w:val="Compact"/>
              <w:jc w:val="left"/>
            </w:pPr>
            <w:r>
              <w:t xml:space="preserve">Converges to true BLUP (coincides with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when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w:t>
            </w:r>
          </w:p>
        </w:tc>
        <w:tc>
          <w:tcPr>
            <w:tcW w:w="1805" w:type="dxa"/>
            <w:tcBorders>
              <w:top w:val="nil"/>
              <w:left w:val="nil"/>
              <w:bottom w:val="nil"/>
              <w:right w:val="nil"/>
            </w:tcBorders>
          </w:tcPr>
          <w:p w14:paraId="247E656F" w14:textId="77777777" w:rsidR="008E4EBD" w:rsidRDefault="00483AC6">
            <w:pPr>
              <w:pStyle w:val="Compact"/>
              <w:jc w:val="left"/>
            </w:pPr>
            <w:r>
              <w:t>Converges to true BLUP.</w:t>
            </w:r>
          </w:p>
        </w:tc>
        <w:tc>
          <w:tcPr>
            <w:tcW w:w="1806" w:type="dxa"/>
            <w:tcBorders>
              <w:top w:val="nil"/>
              <w:left w:val="nil"/>
              <w:bottom w:val="nil"/>
              <w:right w:val="nil"/>
            </w:tcBorders>
          </w:tcPr>
          <w:p w14:paraId="247E6570" w14:textId="77777777" w:rsidR="008E4EBD" w:rsidRDefault="00483AC6">
            <w:pPr>
              <w:pStyle w:val="Compact"/>
              <w:jc w:val="left"/>
            </w:pPr>
            <w:r>
              <w:t xml:space="preserve">Modeling </w:t>
            </w:r>
            <m:oMath>
              <m:r>
                <w:rPr>
                  <w:rFonts w:ascii="Cambria Math" w:hAnsi="Cambria Math"/>
                </w:rPr>
                <m:t>G</m:t>
              </m:r>
            </m:oMath>
            <w:r>
              <w:t xml:space="preserve"> is sufficient when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truly diagonal.</w:t>
            </w:r>
          </w:p>
        </w:tc>
      </w:tr>
      <w:tr w:rsidR="008E4EBD" w14:paraId="247E6577" w14:textId="77777777">
        <w:tc>
          <w:tcPr>
            <w:tcW w:w="1805" w:type="dxa"/>
            <w:tcBorders>
              <w:top w:val="nil"/>
              <w:left w:val="nil"/>
              <w:bottom w:val="nil"/>
              <w:right w:val="nil"/>
            </w:tcBorders>
          </w:tcPr>
          <w:p w14:paraId="247E6572" w14:textId="77777777" w:rsidR="008E4EBD" w:rsidRDefault="00483AC6">
            <w:pPr>
              <w:pStyle w:val="Compact"/>
              <w:jc w:val="left"/>
            </w:pPr>
            <w:r>
              <w:t>Direct estimate available; sampling errors autocorrelated (rotating panel, overlapping samples)</w:t>
            </w:r>
          </w:p>
        </w:tc>
        <w:tc>
          <w:tcPr>
            <w:tcW w:w="1805" w:type="dxa"/>
            <w:tcBorders>
              <w:top w:val="nil"/>
              <w:left w:val="nil"/>
              <w:bottom w:val="nil"/>
              <w:right w:val="nil"/>
            </w:tcBorders>
          </w:tcPr>
          <w:p w14:paraId="247E6573" w14:textId="77777777" w:rsidR="008E4EBD" w:rsidRDefault="00483AC6">
            <w:pPr>
              <w:pStyle w:val="Compact"/>
              <w:jc w:val="left"/>
            </w:pPr>
            <w:r>
              <w:t xml:space="preserve">Does not converge to the true BLUP; ignores off-diagonal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w:t>
            </w:r>
          </w:p>
        </w:tc>
        <w:tc>
          <w:tcPr>
            <w:tcW w:w="1805" w:type="dxa"/>
            <w:tcBorders>
              <w:top w:val="nil"/>
              <w:left w:val="nil"/>
              <w:bottom w:val="nil"/>
              <w:right w:val="nil"/>
            </w:tcBorders>
          </w:tcPr>
          <w:p w14:paraId="247E6574" w14:textId="77777777" w:rsidR="008E4EBD" w:rsidRDefault="00483AC6">
            <w:pPr>
              <w:pStyle w:val="Compact"/>
              <w:jc w:val="left"/>
            </w:pPr>
            <w:r>
              <w:t xml:space="preserve">Does not converge to the true BLUP; absorbs sampling-error correlation into </w:t>
            </w:r>
            <m:oMath>
              <m:acc>
                <m:accPr>
                  <m:ctrlPr>
                    <w:rPr>
                      <w:rFonts w:ascii="Cambria Math" w:hAnsi="Cambria Math"/>
                    </w:rPr>
                  </m:ctrlPr>
                </m:accPr>
                <m:e>
                  <m:r>
                    <w:rPr>
                      <w:rFonts w:ascii="Cambria Math" w:hAnsi="Cambria Math"/>
                    </w:rPr>
                    <m:t>G</m:t>
                  </m:r>
                </m:e>
              </m:acc>
            </m:oMath>
            <w:r>
              <w:t xml:space="preserve"> and can be </w:t>
            </w:r>
            <w:r>
              <w:rPr>
                <w:i/>
              </w:rPr>
              <w:t>worse</w:t>
            </w:r>
            <w:r>
              <w:t xml:space="preserve"> than UFH.</w:t>
            </w:r>
          </w:p>
        </w:tc>
        <w:tc>
          <w:tcPr>
            <w:tcW w:w="1805" w:type="dxa"/>
            <w:tcBorders>
              <w:top w:val="nil"/>
              <w:left w:val="nil"/>
              <w:bottom w:val="nil"/>
              <w:right w:val="nil"/>
            </w:tcBorders>
          </w:tcPr>
          <w:p w14:paraId="247E6575" w14:textId="77777777" w:rsidR="008E4EBD" w:rsidRDefault="00483AC6">
            <w:pPr>
              <w:pStyle w:val="Compact"/>
              <w:jc w:val="left"/>
            </w:pPr>
            <w:r>
              <w:t>Converges to true BLUP.</w:t>
            </w:r>
          </w:p>
        </w:tc>
        <w:tc>
          <w:tcPr>
            <w:tcW w:w="1806" w:type="dxa"/>
            <w:tcBorders>
              <w:top w:val="nil"/>
              <w:left w:val="nil"/>
              <w:bottom w:val="nil"/>
              <w:right w:val="nil"/>
            </w:tcBorders>
          </w:tcPr>
          <w:p w14:paraId="247E6576" w14:textId="77777777" w:rsidR="008E4EBD" w:rsidRDefault="00483AC6">
            <w:pPr>
              <w:pStyle w:val="Compact"/>
              <w:jc w:val="left"/>
            </w:pPr>
            <w:r>
              <w:t xml:space="preserve">MFH alone is not enough;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must include the design-induced covariance.</w:t>
            </w:r>
          </w:p>
        </w:tc>
      </w:tr>
      <w:tr w:rsidR="008E4EBD" w14:paraId="247E657D" w14:textId="77777777">
        <w:tc>
          <w:tcPr>
            <w:tcW w:w="1805" w:type="dxa"/>
            <w:tcBorders>
              <w:top w:val="nil"/>
              <w:left w:val="nil"/>
              <w:bottom w:val="nil"/>
              <w:right w:val="nil"/>
            </w:tcBorders>
          </w:tcPr>
          <w:p w14:paraId="247E6578" w14:textId="77777777" w:rsidR="008E4EBD" w:rsidRDefault="00483AC6">
            <w:pPr>
              <w:pStyle w:val="Compact"/>
              <w:jc w:val="left"/>
            </w:pPr>
            <w:r>
              <w:t>Area-year missing, same area observed in other years; area effects persistent</w:t>
            </w:r>
          </w:p>
        </w:tc>
        <w:tc>
          <w:tcPr>
            <w:tcW w:w="1805" w:type="dxa"/>
            <w:tcBorders>
              <w:top w:val="nil"/>
              <w:left w:val="nil"/>
              <w:bottom w:val="nil"/>
              <w:right w:val="nil"/>
            </w:tcBorders>
          </w:tcPr>
          <w:p w14:paraId="247E6579" w14:textId="77777777" w:rsidR="008E4EBD" w:rsidRDefault="00483AC6">
            <w:pPr>
              <w:pStyle w:val="Compact"/>
              <w:jc w:val="left"/>
            </w:pPr>
            <w:r>
              <w:t xml:space="preserve">Synthetic only: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oMath>
            <w:r>
              <w:t>.</w:t>
            </w:r>
          </w:p>
        </w:tc>
        <w:tc>
          <w:tcPr>
            <w:tcW w:w="1805" w:type="dxa"/>
            <w:tcBorders>
              <w:top w:val="nil"/>
              <w:left w:val="nil"/>
              <w:bottom w:val="nil"/>
              <w:right w:val="nil"/>
            </w:tcBorders>
          </w:tcPr>
          <w:p w14:paraId="247E657A" w14:textId="77777777" w:rsidR="008E4EBD" w:rsidRDefault="00483AC6">
            <w:pPr>
              <w:pStyle w:val="Compact"/>
              <w:jc w:val="left"/>
            </w:pPr>
            <w:r>
              <w:t>Conditional prediction with distorted weights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oMath>
            <w:r>
              <w:t xml:space="preserve"> misspecified); gains partly or fully forfeited.</w:t>
            </w:r>
          </w:p>
        </w:tc>
        <w:tc>
          <w:tcPr>
            <w:tcW w:w="1805" w:type="dxa"/>
            <w:tcBorders>
              <w:top w:val="nil"/>
              <w:left w:val="nil"/>
              <w:bottom w:val="nil"/>
              <w:right w:val="nil"/>
            </w:tcBorders>
          </w:tcPr>
          <w:p w14:paraId="247E657B" w14:textId="77777777" w:rsidR="008E4EBD" w:rsidRDefault="00483AC6">
            <w:pPr>
              <w:pStyle w:val="Compact"/>
              <w:jc w:val="left"/>
            </w:pPr>
            <w:r>
              <w:t>Conditional MFH prediction approaches oracle BLUP.</w:t>
            </w:r>
          </w:p>
        </w:tc>
        <w:tc>
          <w:tcPr>
            <w:tcW w:w="1806" w:type="dxa"/>
            <w:tcBorders>
              <w:top w:val="nil"/>
              <w:left w:val="nil"/>
              <w:bottom w:val="nil"/>
              <w:right w:val="nil"/>
            </w:tcBorders>
          </w:tcPr>
          <w:p w14:paraId="247E657C" w14:textId="77777777" w:rsidR="008E4EBD" w:rsidRDefault="00483AC6">
            <w:pPr>
              <w:pStyle w:val="Compact"/>
              <w:jc w:val="left"/>
            </w:pPr>
            <w:r>
              <w:t xml:space="preserve">Borrowing over time requires both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be right.</w:t>
            </w:r>
          </w:p>
        </w:tc>
      </w:tr>
      <w:tr w:rsidR="008E4EBD" w14:paraId="247E6583" w14:textId="77777777">
        <w:tc>
          <w:tcPr>
            <w:tcW w:w="1805" w:type="dxa"/>
            <w:tcBorders>
              <w:top w:val="nil"/>
              <w:left w:val="nil"/>
              <w:bottom w:val="nil"/>
              <w:right w:val="nil"/>
            </w:tcBorders>
          </w:tcPr>
          <w:p w14:paraId="247E657E" w14:textId="77777777" w:rsidR="008E4EBD" w:rsidRDefault="00483AC6">
            <w:pPr>
              <w:pStyle w:val="Compact"/>
              <w:jc w:val="left"/>
            </w:pPr>
            <w:r>
              <w:t>Area-year missing; area effects independent over time</w:t>
            </w:r>
          </w:p>
        </w:tc>
        <w:tc>
          <w:tcPr>
            <w:tcW w:w="1805" w:type="dxa"/>
            <w:tcBorders>
              <w:top w:val="nil"/>
              <w:left w:val="nil"/>
              <w:bottom w:val="nil"/>
              <w:right w:val="nil"/>
            </w:tcBorders>
          </w:tcPr>
          <w:p w14:paraId="247E657F" w14:textId="77777777" w:rsidR="008E4EBD" w:rsidRDefault="00483AC6">
            <w:pPr>
              <w:pStyle w:val="Compact"/>
              <w:jc w:val="left"/>
            </w:pPr>
            <w:r>
              <w:t>Synthetic only.</w:t>
            </w:r>
          </w:p>
        </w:tc>
        <w:tc>
          <w:tcPr>
            <w:tcW w:w="1805" w:type="dxa"/>
            <w:tcBorders>
              <w:top w:val="nil"/>
              <w:left w:val="nil"/>
              <w:bottom w:val="nil"/>
              <w:right w:val="nil"/>
            </w:tcBorders>
          </w:tcPr>
          <w:p w14:paraId="247E6580" w14:textId="77777777" w:rsidR="008E4EBD" w:rsidRDefault="00483AC6">
            <w:pPr>
              <w:pStyle w:val="Compact"/>
              <w:jc w:val="left"/>
            </w:pPr>
            <w:r>
              <w:t xml:space="preserve">Spurious borrowing if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&gt;0</m:t>
              </m:r>
            </m:oMath>
            <w:r>
              <w:t>; worse than synthetic.</w:t>
            </w:r>
          </w:p>
        </w:tc>
        <w:tc>
          <w:tcPr>
            <w:tcW w:w="1805" w:type="dxa"/>
            <w:tcBorders>
              <w:top w:val="nil"/>
              <w:left w:val="nil"/>
              <w:bottom w:val="nil"/>
              <w:right w:val="nil"/>
            </w:tcBorders>
          </w:tcPr>
          <w:p w14:paraId="247E6581" w14:textId="77777777" w:rsidR="008E4EBD" w:rsidRDefault="00483AC6">
            <w:pPr>
              <w:pStyle w:val="Compact"/>
              <w:jc w:val="left"/>
            </w:pPr>
            <w:r>
              <w:t>Synthetic in the limit (correctly learns there is nothing to borrow).</w:t>
            </w:r>
          </w:p>
        </w:tc>
        <w:tc>
          <w:tcPr>
            <w:tcW w:w="1806" w:type="dxa"/>
            <w:tcBorders>
              <w:top w:val="nil"/>
              <w:left w:val="nil"/>
              <w:bottom w:val="nil"/>
              <w:right w:val="nil"/>
            </w:tcBorders>
          </w:tcPr>
          <w:p w14:paraId="247E6582" w14:textId="77777777" w:rsidR="008E4EBD" w:rsidRDefault="00483AC6">
            <w:pPr>
              <w:pStyle w:val="Compact"/>
              <w:jc w:val="left"/>
            </w:pPr>
            <w:r>
              <w:t>Sampling-error correlation alone carries no information about a missing target.</w:t>
            </w:r>
          </w:p>
        </w:tc>
      </w:tr>
      <w:tr w:rsidR="008E4EBD" w14:paraId="247E6589" w14:textId="77777777">
        <w:tc>
          <w:tcPr>
            <w:tcW w:w="1805" w:type="dxa"/>
            <w:tcBorders>
              <w:top w:val="nil"/>
              <w:left w:val="nil"/>
              <w:bottom w:val="nil"/>
              <w:right w:val="nil"/>
            </w:tcBorders>
          </w:tcPr>
          <w:p w14:paraId="247E6584" w14:textId="77777777" w:rsidR="008E4EBD" w:rsidRDefault="00483AC6">
            <w:pPr>
              <w:pStyle w:val="Compact"/>
              <w:jc w:val="left"/>
            </w:pPr>
            <w:r>
              <w:t xml:space="preserve">Area has no direct estimates </w:t>
            </w:r>
            <w:r>
              <w:lastRenderedPageBreak/>
              <w:t>in any year; no spatial links</w:t>
            </w:r>
          </w:p>
        </w:tc>
        <w:tc>
          <w:tcPr>
            <w:tcW w:w="1805" w:type="dxa"/>
            <w:tcBorders>
              <w:top w:val="nil"/>
              <w:left w:val="nil"/>
              <w:bottom w:val="nil"/>
              <w:right w:val="nil"/>
            </w:tcBorders>
          </w:tcPr>
          <w:p w14:paraId="247E6585" w14:textId="77777777" w:rsidR="008E4EBD" w:rsidRDefault="00483AC6">
            <w:pPr>
              <w:pStyle w:val="Compact"/>
              <w:jc w:val="left"/>
            </w:pPr>
            <w:r>
              <w:lastRenderedPageBreak/>
              <w:t>Synthetic only.</w:t>
            </w:r>
          </w:p>
        </w:tc>
        <w:tc>
          <w:tcPr>
            <w:tcW w:w="1805" w:type="dxa"/>
            <w:tcBorders>
              <w:top w:val="nil"/>
              <w:left w:val="nil"/>
              <w:bottom w:val="nil"/>
              <w:right w:val="nil"/>
            </w:tcBorders>
          </w:tcPr>
          <w:p w14:paraId="247E6586" w14:textId="77777777" w:rsidR="008E4EBD" w:rsidRDefault="00483AC6">
            <w:pPr>
              <w:pStyle w:val="Compact"/>
              <w:jc w:val="left"/>
            </w:pPr>
            <w:r>
              <w:t>Synthetic only.</w:t>
            </w:r>
          </w:p>
        </w:tc>
        <w:tc>
          <w:tcPr>
            <w:tcW w:w="1805" w:type="dxa"/>
            <w:tcBorders>
              <w:top w:val="nil"/>
              <w:left w:val="nil"/>
              <w:bottom w:val="nil"/>
              <w:right w:val="nil"/>
            </w:tcBorders>
          </w:tcPr>
          <w:p w14:paraId="247E6587" w14:textId="77777777" w:rsidR="008E4EBD" w:rsidRDefault="00483AC6">
            <w:pPr>
              <w:pStyle w:val="Compact"/>
              <w:jc w:val="left"/>
            </w:pPr>
            <w:r>
              <w:t>Synthetic only.</w:t>
            </w:r>
          </w:p>
        </w:tc>
        <w:tc>
          <w:tcPr>
            <w:tcW w:w="1806" w:type="dxa"/>
            <w:tcBorders>
              <w:top w:val="nil"/>
              <w:left w:val="nil"/>
              <w:bottom w:val="nil"/>
              <w:right w:val="nil"/>
            </w:tcBorders>
          </w:tcPr>
          <w:p w14:paraId="247E6588" w14:textId="77777777" w:rsidR="008E4EBD" w:rsidRDefault="00483AC6">
            <w:pPr>
              <w:pStyle w:val="Compact"/>
              <w:jc w:val="left"/>
            </w:pPr>
            <w:r>
              <w:t xml:space="preserve">No area-specific information is </w:t>
            </w:r>
            <w:r>
              <w:lastRenderedPageBreak/>
              <w:t>available.</w:t>
            </w:r>
          </w:p>
        </w:tc>
      </w:tr>
      <w:tr w:rsidR="008E4EBD" w14:paraId="247E658F" w14:textId="77777777">
        <w:tc>
          <w:tcPr>
            <w:tcW w:w="1805" w:type="dxa"/>
            <w:tcBorders>
              <w:top w:val="nil"/>
              <w:left w:val="nil"/>
              <w:bottom w:val="single" w:sz="12" w:space="0" w:color="auto"/>
              <w:right w:val="nil"/>
            </w:tcBorders>
          </w:tcPr>
          <w:p w14:paraId="247E658A" w14:textId="77777777" w:rsidR="008E4EBD" w:rsidRDefault="00483AC6">
            <w:pPr>
              <w:pStyle w:val="Compact"/>
              <w:jc w:val="left"/>
            </w:pPr>
            <w:r>
              <w:lastRenderedPageBreak/>
              <w:t>Area has no direct estimates but spatial links are modeled</w:t>
            </w:r>
          </w:p>
        </w:tc>
        <w:tc>
          <w:tcPr>
            <w:tcW w:w="1805" w:type="dxa"/>
            <w:tcBorders>
              <w:top w:val="nil"/>
              <w:left w:val="nil"/>
              <w:bottom w:val="single" w:sz="12" w:space="0" w:color="auto"/>
              <w:right w:val="nil"/>
            </w:tcBorders>
          </w:tcPr>
          <w:p w14:paraId="247E658B" w14:textId="77777777" w:rsidR="008E4EBD" w:rsidRDefault="00483AC6">
            <w:pPr>
              <w:pStyle w:val="Compact"/>
              <w:jc w:val="left"/>
            </w:pPr>
            <w:r>
              <w:t>Synthetic only.</w:t>
            </w:r>
          </w:p>
        </w:tc>
        <w:tc>
          <w:tcPr>
            <w:tcW w:w="1805" w:type="dxa"/>
            <w:tcBorders>
              <w:top w:val="nil"/>
              <w:left w:val="nil"/>
              <w:bottom w:val="single" w:sz="12" w:space="0" w:color="auto"/>
              <w:right w:val="nil"/>
            </w:tcBorders>
          </w:tcPr>
          <w:p w14:paraId="247E658C" w14:textId="77777777" w:rsidR="008E4EBD" w:rsidRDefault="00483AC6">
            <w:pPr>
              <w:pStyle w:val="Compact"/>
              <w:jc w:val="left"/>
            </w:pPr>
            <w:r>
              <w:t>Spatial BLUP-type prediction possible, subject to the same covariance caveats.</w:t>
            </w:r>
          </w:p>
        </w:tc>
        <w:tc>
          <w:tcPr>
            <w:tcW w:w="1805" w:type="dxa"/>
            <w:tcBorders>
              <w:top w:val="nil"/>
              <w:left w:val="nil"/>
              <w:bottom w:val="single" w:sz="12" w:space="0" w:color="auto"/>
              <w:right w:val="nil"/>
            </w:tcBorders>
          </w:tcPr>
          <w:p w14:paraId="247E658D" w14:textId="77777777" w:rsidR="008E4EBD" w:rsidRDefault="00483AC6">
            <w:pPr>
              <w:pStyle w:val="Compact"/>
              <w:jc w:val="left"/>
            </w:pPr>
            <w:r>
              <w:t>Spatial/spatio-temporal BLUP-type prediction may be possible.</w:t>
            </w:r>
          </w:p>
        </w:tc>
        <w:tc>
          <w:tcPr>
            <w:tcW w:w="1806" w:type="dxa"/>
            <w:tcBorders>
              <w:top w:val="nil"/>
              <w:left w:val="nil"/>
              <w:bottom w:val="single" w:sz="12" w:space="0" w:color="auto"/>
              <w:right w:val="nil"/>
            </w:tcBorders>
          </w:tcPr>
          <w:p w14:paraId="247E658E" w14:textId="77777777" w:rsidR="008E4EBD" w:rsidRDefault="00483AC6">
            <w:pPr>
              <w:pStyle w:val="Compact"/>
              <w:jc w:val="left"/>
            </w:pPr>
            <w:r>
              <w:t>Requires valid cross-area covariance.</w:t>
            </w:r>
          </w:p>
        </w:tc>
      </w:tr>
    </w:tbl>
    <w:p w14:paraId="247E6590" w14:textId="77777777" w:rsidR="008E4EBD" w:rsidRDefault="00483AC6">
      <w:pPr>
        <w:pStyle w:val="Heading1"/>
      </w:pPr>
      <w:bookmarkStart w:id="24" w:name="conclusion"/>
      <w:r>
        <w:t>13. Conclusion</w:t>
      </w:r>
      <w:bookmarkEnd w:id="24"/>
    </w:p>
    <w:p w14:paraId="247E6591" w14:textId="77777777" w:rsidR="008E4EBD" w:rsidRDefault="00483AC6">
      <w:pPr>
        <w:pStyle w:val="FirstParagraph"/>
      </w:pPr>
      <w:r>
        <w:t xml:space="preserve">FH-type estimators should be interpreted as predictors of realized area-specific quantities, not merely as estimators of conditional means. The synthetic component </w:t>
      </w:r>
      <m:oMath>
        <m:r>
          <w:rPr>
            <w:rFonts w:ascii="Cambria Math" w:hAnsi="Cambria Math"/>
          </w:rPr>
          <m:t>x</m:t>
        </m:r>
        <m:r>
          <w:rPr>
            <w:rFonts w:ascii="Cambria Math" w:hAnsi="Cambria Math"/>
          </w:rPr>
          <m:t>'</m:t>
        </m:r>
        <m:acc>
          <m:accPr>
            <m:ctrlPr>
              <w:rPr>
                <w:rFonts w:ascii="Cambria Math" w:hAnsi="Cambria Math"/>
              </w:rPr>
            </m:ctrlPr>
          </m:accPr>
          <m:e>
            <m:r>
              <w:rPr>
                <w:rFonts w:ascii="Cambria Math" w:hAnsi="Cambria Math"/>
              </w:rPr>
              <m:t>β</m:t>
            </m:r>
          </m:e>
        </m:acc>
      </m:oMath>
      <w:r>
        <w:t xml:space="preserve"> estimates the regression mean, but the BLUP of the area parameter </w:t>
      </w:r>
      <m:oMath>
        <m:r>
          <w:rPr>
            <w:rFonts w:ascii="Cambria Math" w:hAnsi="Cambria Math"/>
          </w:rPr>
          <m:t>x</m:t>
        </m:r>
        <m:r>
          <w:rPr>
            <w:rFonts w:ascii="Cambria Math" w:hAnsi="Cambria Math"/>
          </w:rPr>
          <m:t>'</m:t>
        </m:r>
        <m:r>
          <w:rPr>
            <w:rFonts w:ascii="Cambria Math" w:hAnsi="Cambria Math"/>
          </w:rPr>
          <m:t>β</m:t>
        </m:r>
        <m:r>
          <w:rPr>
            <w:rFonts w:ascii="Cambria Math" w:hAnsi="Cambria Math"/>
          </w:rPr>
          <m:t>+</m:t>
        </m:r>
        <m:r>
          <w:rPr>
            <w:rFonts w:ascii="Cambria Math" w:hAnsi="Cambria Math"/>
          </w:rPr>
          <m:t>u</m:t>
        </m:r>
      </m:oMath>
      <w:r>
        <w:t xml:space="preserve"> also requires a covariance-based prediction of the realized area effect. As a result, covariance specification is central to the definition of the BLUP: misspecifying it does not break prediction unbiasedness, but it changes the probability limit of the predictor—the EBLUP converges to the BLUP under the working covariance matrix, not to the BLUP under the true covariance matrix—and the resulting MSE deficit persists asymptotically.</w:t>
      </w:r>
    </w:p>
    <w:p w14:paraId="247E6592" w14:textId="4E7F7D92" w:rsidR="008E4EBD" w:rsidRDefault="00483AC6">
      <w:pPr>
        <w:pStyle w:val="BodyText"/>
      </w:pPr>
      <w:r>
        <w:t xml:space="preserve">The central message is therefore more precise than “UFH versus MFH.” The BLUP is defined by the full covariance structure of both the area effects and the sampling errors. UFH is a special working model that sets all cross-time and cross-area covariances to zero. MFH improves on UFH only </w:t>
      </w:r>
      <w:r w:rsidR="00E308C7">
        <w:t>insofar as</w:t>
      </w:r>
      <w:r>
        <w:t xml:space="preserve"> it includes the covariance components that are </w:t>
      </w:r>
      <w:proofErr w:type="gramStart"/>
      <w:r>
        <w:t>actually present</w:t>
      </w:r>
      <w:proofErr w:type="gramEnd"/>
      <w:r>
        <w:t xml:space="preserve">. Our simulations make the point concrete in both directions. When area effects are persistent and sampling errors </w:t>
      </w:r>
      <w:r w:rsidR="00E308C7">
        <w:t xml:space="preserve">are </w:t>
      </w:r>
      <w:r>
        <w:t>independent, MFH captures large gains that UFH structurally cannot. But when sampling errors are autocorrelated—the normal situation in rotating panels and repeated surveys with overlapping samples—an MFH model that estimates the area-effect covariance while assuming a diagonal sampling-error covariance does not conve</w:t>
      </w:r>
      <w:r>
        <w:t xml:space="preserve">rge to the true BLUP, absorbs the design-induced correlation into a spurious estimate of the area-effect persistence, and can be substantially </w:t>
      </w:r>
      <w:r>
        <w:rPr>
          <w:i/>
        </w:rPr>
        <w:t>less</w:t>
      </w:r>
      <w:r>
        <w:t xml:space="preserve"> accurate than UFH for observed area-years and worse than purely synthetic prediction for missing ones. Nor is the damage confined to efficiency: the point estimates themselves move—by half a standard deviation of the area effect for the typical area-year in the most autocorrelated scenarios—while remaining unbiased on average, so the distortion never shows up in</w:t>
      </w:r>
      <w:r>
        <w:t xml:space="preserve"> aggregate diagnostics, only in the area-by-area numbers that poverty maps exist to provide. Only the MFH estimator that uses the correct sampling-error covariance approaches the oracle BLUP. The asymmetry of the two covariance components is the practical key: the area-effect covariance must be modeled, but the sampling-error covariance is often known or estimable from the survey design, so supplying it is a matter of using information the producer already controls.</w:t>
      </w:r>
    </w:p>
    <w:p w14:paraId="247E6593" w14:textId="6F8A70A3" w:rsidR="008E4EBD" w:rsidRDefault="00483AC6">
      <w:pPr>
        <w:pStyle w:val="BodyText"/>
      </w:pPr>
      <w:proofErr w:type="gramStart"/>
      <w:r>
        <w:t>For the production of</w:t>
      </w:r>
      <w:proofErr w:type="gramEnd"/>
      <w:r>
        <w:t xml:space="preserve"> </w:t>
      </w:r>
      <w:r w:rsidR="00B3142B">
        <w:t>small-area poverty statistics, there are four operational lessons</w:t>
      </w:r>
      <w:r>
        <w:t xml:space="preserve">. First, test for and model intertemporal and spatial dependence rather than defaulting to the univariate model; the cost of the richer model is negligible when the dependence is absent. Second, compute the sampling-error covariances implied by the survey design—not only the sampling variances—and supply the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the model; this is the multivariate extension of the standard Fay–Herriot convention and is a precondition for </w:t>
      </w:r>
      <w:r>
        <w:lastRenderedPageBreak/>
        <w:t>the multivariate model to deliver its promised gains. Third, exploit earlier survey rounds through multivariate models when current-round coverage is incomplete; the partitioned predictor of Section 10 is the disciplined way to do so, with the caveat that its conditional weights are only as good as the covariance matrices behind them. Fourth, report uncertainty in a way that distinguishes data-</w:t>
      </w:r>
      <w:r>
        <w:t>anchored estimates from model-dependent ones, so that users of poverty maps can see which numbers rest on area-specific evidence. Extensions of the present argument to nonlinear poverty indicators via empirical best prediction (Molina and Rao, 2010), and to models with measurement error in covariates (Ybarra and Lohr, 2008), follow the same covariance-centered logic and are left for future elaboration.</w:t>
      </w:r>
    </w:p>
    <w:p w14:paraId="247E6594" w14:textId="77777777" w:rsidR="008E4EBD" w:rsidRDefault="00483AC6">
      <w:pPr>
        <w:pStyle w:val="Heading1"/>
      </w:pPr>
      <w:bookmarkStart w:id="25" w:name="references"/>
      <w:r>
        <w:t>References</w:t>
      </w:r>
      <w:bookmarkEnd w:id="25"/>
    </w:p>
    <w:p w14:paraId="247E6595" w14:textId="77777777" w:rsidR="008E4EBD" w:rsidRDefault="00483AC6">
      <w:pPr>
        <w:pStyle w:val="FirstParagraph"/>
      </w:pPr>
      <w:r>
        <w:t>Battese, G. E., R. M. Harter, and W. A. Fuller (1988): “An Error-Components Model for Prediction of County Crop Areas Using Survey and Satellite Data,” Journal of the American Statistical Association, 83, 28–36.</w:t>
      </w:r>
    </w:p>
    <w:p w14:paraId="247E6596" w14:textId="77777777" w:rsidR="008E4EBD" w:rsidRDefault="00483AC6">
      <w:pPr>
        <w:pStyle w:val="BodyText"/>
      </w:pPr>
      <w:r>
        <w:t>Benavent, R., and D. Morales (2016): “Multivariate Fay–Herriot Models for Small Area Estimation,” Computational Statistics and Data Analysis, 94, 372–390.</w:t>
      </w:r>
    </w:p>
    <w:p w14:paraId="247E6597" w14:textId="77777777" w:rsidR="008E4EBD" w:rsidRDefault="00483AC6">
      <w:pPr>
        <w:pStyle w:val="BodyText"/>
      </w:pPr>
      <w:r>
        <w:t>Datta, G. S., and P. Lahiri (2000): “A Unified Measure of Uncertainty of Estimated Best Linear Unbiased Predictors in Small Area Estimation Problems,” Statistica Sinica, 10, 613–627.</w:t>
      </w:r>
    </w:p>
    <w:p w14:paraId="247E6598" w14:textId="77777777" w:rsidR="008E4EBD" w:rsidRDefault="00483AC6">
      <w:pPr>
        <w:pStyle w:val="BodyText"/>
      </w:pPr>
      <w:r>
        <w:t>Datta, G. S., J. N. K. Rao, and D. D. Smith (2005): “On Measuring the Variability of Small Area Estimators Under a Basic Area Level Model,” Biometrika, 92, 183–196.</w:t>
      </w:r>
    </w:p>
    <w:p w14:paraId="247E6599" w14:textId="77777777" w:rsidR="008E4EBD" w:rsidRDefault="00483AC6">
      <w:pPr>
        <w:pStyle w:val="BodyText"/>
      </w:pPr>
      <w:r>
        <w:t>Elbers, C., J. O. Lanjouw, and P. Lanjouw (2003): “Micro-Level Estimation of Poverty and Inequality,” Econometrica, 71, 355–364.</w:t>
      </w:r>
    </w:p>
    <w:p w14:paraId="247E659A" w14:textId="77777777" w:rsidR="008E4EBD" w:rsidRDefault="00483AC6">
      <w:pPr>
        <w:pStyle w:val="BodyText"/>
      </w:pPr>
      <w:r>
        <w:t>Esteban, M. D., D. Morales, A. Pérez, and L. Santamaría (2012): “Small Area Estimation of Poverty Proportions Under Area-Level Time Models,” Computational Statistics and Data Analysis, 56, 2840–2855.</w:t>
      </w:r>
    </w:p>
    <w:p w14:paraId="247E659B" w14:textId="77777777" w:rsidR="008E4EBD" w:rsidRDefault="00483AC6">
      <w:pPr>
        <w:pStyle w:val="BodyText"/>
      </w:pPr>
      <w:r>
        <w:t>Fay, R. E., and R. A. Herriot (1979): “Estimates of Income for Small Places: An Application of James–Stein Procedures to Census Data,” Journal of the American Statistical Association, 74, 269–277.</w:t>
      </w:r>
    </w:p>
    <w:p w14:paraId="247E659C" w14:textId="77777777" w:rsidR="008E4EBD" w:rsidRDefault="00483AC6">
      <w:pPr>
        <w:pStyle w:val="BodyText"/>
      </w:pPr>
      <w:r>
        <w:t>Ghosh, M., and J. N. K. Rao (1994): “Small Area Estimation: An Appraisal,” Statistical Science, 9, 55–76.</w:t>
      </w:r>
    </w:p>
    <w:p w14:paraId="247E659D" w14:textId="77777777" w:rsidR="008E4EBD" w:rsidRDefault="00483AC6">
      <w:pPr>
        <w:pStyle w:val="BodyText"/>
      </w:pPr>
      <w:r>
        <w:t>González-Manteiga, W., M. J. Lombardía, I. Molina, D. Morales, and L. Santamaría (2008): “Analytic and Bootstrap Approximations of Prediction Errors Under a Multivariate Fay–Herriot Model,” Computational Statistics and Data Analysis, 52, 5242–5252.</w:t>
      </w:r>
    </w:p>
    <w:p w14:paraId="247E659E" w14:textId="77777777" w:rsidR="008E4EBD" w:rsidRDefault="00483AC6">
      <w:pPr>
        <w:pStyle w:val="BodyText"/>
      </w:pPr>
      <w:r>
        <w:t>Henderson, C. R. (1975): “Best Linear Unbiased Estimation and Prediction Under a Selection Model,” Biometrics, 31, 423–447.</w:t>
      </w:r>
    </w:p>
    <w:p w14:paraId="247E659F" w14:textId="77777777" w:rsidR="008E4EBD" w:rsidRDefault="00483AC6">
      <w:pPr>
        <w:pStyle w:val="BodyText"/>
      </w:pPr>
      <w:r>
        <w:t>Jiang, J., and P. Lahiri (2006): “Mixed Model Prediction and Small Area Estimation,” TEST, 15, 1–96.</w:t>
      </w:r>
    </w:p>
    <w:p w14:paraId="247E65A0" w14:textId="77777777" w:rsidR="008E4EBD" w:rsidRDefault="00483AC6">
      <w:pPr>
        <w:pStyle w:val="BodyText"/>
      </w:pPr>
      <w:r>
        <w:lastRenderedPageBreak/>
        <w:t>Kackar, R. N., and D. A. Harville (1984): “Approximations for Standard Errors of Estimators of Fixed and Random Effects in Mixed Linear Models,” Journal of the American Statistical Association, 79, 853–862.</w:t>
      </w:r>
    </w:p>
    <w:p w14:paraId="247E65A1" w14:textId="77777777" w:rsidR="008E4EBD" w:rsidRDefault="00483AC6">
      <w:pPr>
        <w:pStyle w:val="BodyText"/>
      </w:pPr>
      <w:r>
        <w:t>Marhuenda, Y., I. Molina, and D. Morales (2013): “Small Area Estimation with Spatio-Temporal Fay–Herriot Models,” Computational Statistics and Data Analysis, 58, 308–325.</w:t>
      </w:r>
    </w:p>
    <w:p w14:paraId="247E65A2" w14:textId="77777777" w:rsidR="008E4EBD" w:rsidRDefault="00483AC6">
      <w:pPr>
        <w:pStyle w:val="BodyText"/>
      </w:pPr>
      <w:r>
        <w:t>Molina, I., and J. N. K. Rao (2010): “Small Area Estimation of Poverty Indicators,” Canadian Journal of Statistics, 38, 369–385.</w:t>
      </w:r>
    </w:p>
    <w:p w14:paraId="247E65A3" w14:textId="77777777" w:rsidR="008E4EBD" w:rsidRDefault="00483AC6">
      <w:pPr>
        <w:pStyle w:val="BodyText"/>
      </w:pPr>
      <w:r>
        <w:t>Pfeffermann, D. (2013): “New Important Developments in Small Area Estimation,” Statistical Science, 28, 40–68.</w:t>
      </w:r>
    </w:p>
    <w:p w14:paraId="247E65A4" w14:textId="77777777" w:rsidR="008E4EBD" w:rsidRDefault="00483AC6">
      <w:pPr>
        <w:pStyle w:val="BodyText"/>
      </w:pPr>
      <w:r>
        <w:t>Prasad, N. G. N., and J. N. K. Rao (1990): “The Estimation of the Mean Squared Error of Small-Area Estimators,” Journal of the American Statistical Association, 85, 163–171.</w:t>
      </w:r>
    </w:p>
    <w:p w14:paraId="247E65A5" w14:textId="77777777" w:rsidR="008E4EBD" w:rsidRDefault="00483AC6">
      <w:pPr>
        <w:pStyle w:val="BodyText"/>
      </w:pPr>
      <w:r>
        <w:t>Pratesi, M., and N. Salvati (2008): “Small Area Estimation: The EBLUP Estimator Based on Spatially Correlated Random Area Effects,” Statistical Methods and Applications, 17, 113–141.</w:t>
      </w:r>
    </w:p>
    <w:p w14:paraId="247E65A6" w14:textId="77777777" w:rsidR="008E4EBD" w:rsidRDefault="00483AC6">
      <w:pPr>
        <w:pStyle w:val="BodyText"/>
      </w:pPr>
      <w:r>
        <w:t>Rao, J. N. K., and I. Molina (2015): Small Area Estimation, Second Edition. Hoboken, NJ: John Wiley and Sons.</w:t>
      </w:r>
    </w:p>
    <w:p w14:paraId="247E65A7" w14:textId="77777777" w:rsidR="008E4EBD" w:rsidRDefault="00483AC6">
      <w:pPr>
        <w:pStyle w:val="BodyText"/>
      </w:pPr>
      <w:r>
        <w:t>Rao, J. N. K., and M. Yu (1994): “Small Area Estimation by Combining Time Series and Cross-Sectional Data,” Canadian Journal of Statistics, 22, 511–528.</w:t>
      </w:r>
    </w:p>
    <w:p w14:paraId="247E65A8" w14:textId="77777777" w:rsidR="008E4EBD" w:rsidRDefault="00483AC6">
      <w:pPr>
        <w:pStyle w:val="BodyText"/>
      </w:pPr>
      <w:r>
        <w:t>Robinson, G. K. (1991): “That BLUP Is a Good Thing: The Estimation of Random Effects,” Statistical Science, 6, 15–32.</w:t>
      </w:r>
    </w:p>
    <w:p w14:paraId="247E65A9" w14:textId="77777777" w:rsidR="008E4EBD" w:rsidRDefault="00483AC6">
      <w:pPr>
        <w:pStyle w:val="BodyText"/>
      </w:pPr>
      <w:r>
        <w:t>Ybarra, L. M. R., and S. L. Lohr (2008): “Small Area Estimation When Auxiliary Information Is Measured with Error,” Biometrika, 95, 919–931.</w:t>
      </w:r>
    </w:p>
    <w:p w14:paraId="4C86BAA3" w14:textId="77777777" w:rsidR="00B3142B" w:rsidRDefault="00B3142B">
      <w:pPr>
        <w:spacing w:after="200" w:line="240" w:lineRule="auto"/>
        <w:jc w:val="left"/>
        <w:rPr>
          <w:b/>
          <w:bCs/>
          <w:color w:val="000000"/>
          <w:sz w:val="24"/>
          <w:szCs w:val="24"/>
        </w:rPr>
      </w:pPr>
      <w:bookmarkStart w:id="26" w:name="annex-a.-monte-carlo-simulation-details"/>
      <w:r>
        <w:br w:type="page"/>
      </w:r>
    </w:p>
    <w:p w14:paraId="247E65AA" w14:textId="6B12D51D" w:rsidR="008E4EBD" w:rsidRDefault="00483AC6">
      <w:pPr>
        <w:pStyle w:val="Heading1"/>
      </w:pPr>
      <w:r>
        <w:lastRenderedPageBreak/>
        <w:t>Annex A. Monte Carlo Simulation Details</w:t>
      </w:r>
      <w:bookmarkEnd w:id="26"/>
    </w:p>
    <w:p w14:paraId="247E65AB" w14:textId="77777777" w:rsidR="008E4EBD" w:rsidRDefault="00483AC6">
      <w:pPr>
        <w:pStyle w:val="FirstParagraph"/>
      </w:pPr>
      <w:r>
        <w:t>This annex documents the design, estimators, and computational implementation of the Monte Carlo experiment reported in Section 11, and presents the full results with Monte Carlo standard errors and theoretical benchmarks. The replication script run_fh_covariance_monte_carlo.R accompanies this revised note and implements the same experiment in base R, with command-line options for the number of replications, selected scenarios, seeds, output directory, and parallel execution over scenarios. The earlier Pyth</w:t>
      </w:r>
      <w:r>
        <w:t>on prototype, montecarlo_ufh_mfh_rev.py, produces the same design logic with NumPy and SciPy but is no longer the only referenced replication path.</w:t>
      </w:r>
    </w:p>
    <w:p w14:paraId="247E65AC" w14:textId="77777777" w:rsidR="008E4EBD" w:rsidRDefault="00483AC6">
      <w:pPr>
        <w:pStyle w:val="Heading2"/>
      </w:pPr>
      <w:bookmarkStart w:id="27" w:name="a.1.-data-generating-process"/>
      <w:r>
        <w:t>A.1. Data-generating process</w:t>
      </w:r>
      <w:bookmarkEnd w:id="27"/>
    </w:p>
    <w:p w14:paraId="247E65AD" w14:textId="77777777" w:rsidR="008E4EBD" w:rsidRDefault="00483AC6">
      <w:pPr>
        <w:pStyle w:val="FirstParagraph"/>
      </w:pPr>
      <w:r>
        <w:t>Direct estimates are generated from the multivariate area-level model</w:t>
      </w:r>
    </w:p>
    <w:p w14:paraId="247E65AE"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5AF" w14:textId="77777777" w:rsidR="008E4EBD" w:rsidRDefault="00483AC6">
      <w:pPr>
        <w:pStyle w:val="BodyText"/>
      </w:pPr>
      <w:r>
        <w:t xml:space="preserve">with </w:t>
      </w:r>
      <m:oMath>
        <m:r>
          <w:rPr>
            <w:rFonts w:ascii="Cambria Math" w:hAnsi="Cambria Math"/>
          </w:rPr>
          <m:t>m</m:t>
        </m:r>
        <m:r>
          <w:rPr>
            <w:rFonts w:ascii="Cambria Math" w:hAnsi="Cambria Math"/>
          </w:rPr>
          <m:t>=100</m:t>
        </m:r>
      </m:oMath>
      <w:r>
        <w:t xml:space="preserve"> areas and </w:t>
      </w:r>
      <m:oMath>
        <m:r>
          <w:rPr>
            <w:rFonts w:ascii="Cambria Math" w:hAnsi="Cambria Math"/>
          </w:rPr>
          <m:t>T</m:t>
        </m:r>
        <m:r>
          <w:rPr>
            <w:rFonts w:ascii="Cambria Math" w:hAnsi="Cambria Math"/>
          </w:rPr>
          <m:t>=3</m:t>
        </m:r>
      </m:oMath>
      <w:r>
        <w:t xml:space="preserve"> periods. The fixed quantities are drawn once—from a generator initialized with the same seed—and held constant across all replications and scenarios: the auxiliary variable </w:t>
      </w:r>
      <m:oMath>
        <m:sSub>
          <m:sSubPr>
            <m:ctrlPr>
              <w:rPr>
                <w:rFonts w:ascii="Cambria Math" w:hAnsi="Cambria Math"/>
              </w:rPr>
            </m:ctrlPr>
          </m:sSubPr>
          <m:e>
            <m:r>
              <w:rPr>
                <w:rFonts w:ascii="Cambria Math" w:hAnsi="Cambria Math"/>
              </w:rPr>
              <m:t>z</m:t>
            </m:r>
          </m:e>
          <m:sub>
            <m:r>
              <m:rPr>
                <m:nor/>
              </m:rPr>
              <m:t>it</m:t>
            </m:r>
          </m:sub>
        </m:sSub>
      </m:oMath>
      <w:r>
        <w:t xml:space="preserve"> is drawn from the uniform distribution on </w:t>
      </w:r>
      <m:oMath>
        <m:r>
          <w:rPr>
            <w:rFonts w:ascii="Cambria Math" w:hAnsi="Cambria Math"/>
          </w:rPr>
          <m:t>(0,1)</m:t>
        </m:r>
      </m:oMath>
      <w:r>
        <w:t xml:space="preserve">, and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are drawn from the uniform distribution on </w:t>
      </w:r>
      <m:oMath>
        <m:r>
          <w:rPr>
            <w:rFonts w:ascii="Cambria Math" w:hAnsi="Cambria Math"/>
          </w:rPr>
          <m:t>(0.5,1.5)</m:t>
        </m:r>
      </m:oMath>
      <w:r>
        <w:t xml:space="preserve">. The coefficients are </w:t>
      </w:r>
      <m:oMath>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)'=(1,2)'</m:t>
        </m:r>
      </m:oMath>
      <w:r>
        <w:t>.</w:t>
      </w:r>
    </w:p>
    <w:p w14:paraId="247E65B0" w14:textId="77777777" w:rsidR="008E4EBD" w:rsidRDefault="00483AC6">
      <w:pPr>
        <w:pStyle w:val="BodyText"/>
      </w:pPr>
      <w:r>
        <w:t xml:space="preserve">The stochastic components are redrawn in every replication. The area-effect vectors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3</m:t>
            </m:r>
          </m:sub>
        </m:sSub>
        <m:r>
          <w:rPr>
            <w:rFonts w:ascii="Cambria Math" w:hAnsi="Cambria Math"/>
          </w:rPr>
          <m:t>)'</m:t>
        </m:r>
      </m:oMath>
      <w:r>
        <w:t xml:space="preserve"> are independent across areas and drawn from </w:t>
      </w:r>
      <m:oMath>
        <m:r>
          <w:rPr>
            <w:rFonts w:ascii="Cambria Math" w:hAnsi="Cambria Math"/>
          </w:rPr>
          <m:t>N</m:t>
        </m:r>
        <m:r>
          <w:rPr>
            <w:rFonts w:ascii="Cambria Math" w:hAnsi="Cambria Math"/>
          </w:rPr>
          <m:t>(0,</m:t>
        </m:r>
        <m:r>
          <w:rPr>
            <w:rFonts w:ascii="Cambria Math" w:hAnsi="Cambria Math"/>
          </w:rPr>
          <m:t>G</m:t>
        </m:r>
        <m:r>
          <w:rPr>
            <w:rFonts w:ascii="Cambria Math" w:hAnsi="Cambria Math"/>
          </w:rPr>
          <m:t>)</m:t>
        </m:r>
      </m:oMath>
      <w:r>
        <w:t xml:space="preserve"> with</w:t>
      </w:r>
    </w:p>
    <w:p w14:paraId="247E65B1" w14:textId="77777777" w:rsidR="008E4EBD" w:rsidRDefault="00483AC6">
      <w:pPr>
        <w:pStyle w:val="BodyText"/>
        <w:spacing w:before="0" w:after="160" w:line="240" w:lineRule="atLeast"/>
        <w:jc w:val="center"/>
      </w:pPr>
      <m:oMathPara>
        <m:oMathParaPr>
          <m:jc m:val="center"/>
        </m:oMathParaPr>
        <m:oMath>
          <m:r>
            <w:rPr>
              <w:rFonts w:ascii="Cambria Math" w:hAnsi="Cambria Math"/>
            </w:rPr>
            <m:t>G</m:t>
          </m:r>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u</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,  </m:t>
          </m:r>
          <m:r>
            <w:rPr>
              <w:rFonts w:ascii="Cambria Math" w:hAnsi="Cambria Math"/>
            </w:rPr>
            <m:t>A</m:t>
          </m:r>
          <m:r>
            <w:rPr>
              <w:rFonts w:ascii="Cambria Math" w:hAnsi="Cambria Math"/>
            </w:rPr>
            <m:t>=1.</m:t>
          </m:r>
        </m:oMath>
      </m:oMathPara>
    </w:p>
    <w:p w14:paraId="247E65B2" w14:textId="77777777" w:rsidR="008E4EBD" w:rsidRDefault="00483AC6">
      <w:pPr>
        <w:pStyle w:val="BodyText"/>
      </w:pPr>
      <w:r>
        <w:t xml:space="preserve">The sampling-error vectors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3</m:t>
            </m:r>
          </m:sub>
        </m:sSub>
        <m:r>
          <w:rPr>
            <w:rFonts w:ascii="Cambria Math" w:hAnsi="Cambria Math"/>
          </w:rPr>
          <m:t>)'</m:t>
        </m:r>
      </m:oMath>
      <w:r>
        <w:t xml:space="preserve"> are independent across areas, independent of </w:t>
      </w:r>
      <m:oMath>
        <m:r>
          <w:rPr>
            <w:rFonts w:ascii="Cambria Math" w:hAnsi="Cambria Math"/>
          </w:rPr>
          <m:t>u</m:t>
        </m:r>
      </m:oMath>
      <w:r>
        <w:t xml:space="preserve">, and drawn from </w:t>
      </w:r>
      <m:oMath>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with</w:t>
      </w:r>
    </w:p>
    <w:p w14:paraId="247E65B3"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m:t>
          </m:r>
        </m:oMath>
      </m:oMathPara>
    </w:p>
    <w:p w14:paraId="247E65B4" w14:textId="77777777" w:rsidR="008E4EBD" w:rsidRDefault="00483AC6">
      <w:pPr>
        <w:pStyle w:val="BodyText"/>
      </w:pPr>
      <w:r>
        <w:t xml:space="preserve">Both vectors are generated by premultiplying standard normal vectors by the Cholesky factors of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respectively. The full matrix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 is treated as known to the correctly specified estimator, extending the Fay–Herriot convention of known sampling variances to known sampling covariances; this reflects the case in which the sampling-error covariance is available from the survey design. The scenario grid crosses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∈{0, 0.4, 0.8}</m:t>
        </m:r>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∈{0, 0.4, 0.8}</m:t>
        </m:r>
      </m:oMath>
      <w:r>
        <w:t xml:space="preserve"> in the three groups described in Section 11.2 (nine scenarios in total). The target in every cell is the realized area parameter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z</m:t>
            </m:r>
          </m:e>
          <m:sub>
            <m:r>
              <m:rPr>
                <m:nor/>
              </m:rPr>
              <m:t>it</m:t>
            </m:r>
          </m:sub>
        </m:sSub>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w:t>
      </w:r>
    </w:p>
    <w:p w14:paraId="247E65B5" w14:textId="77777777" w:rsidR="008E4EBD" w:rsidRDefault="00483AC6">
      <w:pPr>
        <w:pStyle w:val="BodyText"/>
      </w:pPr>
      <w:r>
        <w:t xml:space="preserve">Missingness is imposed by deleting the final-period direct estimate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3</m:t>
            </m:r>
          </m:sub>
        </m:sSub>
      </m:oMath>
      <w:r>
        <w:t xml:space="preserve"> for a simple random sample of 20 percent of areas (20 areas), redrawn in each replication. Each scenario comprises </w:t>
      </w:r>
      <m:oMath>
        <m:r>
          <w:rPr>
            <w:rFonts w:ascii="Cambria Math" w:hAnsi="Cambria Math"/>
          </w:rPr>
          <m:t>R</m:t>
        </m:r>
        <m:r>
          <w:rPr>
            <w:rFonts w:ascii="Cambria Math" w:hAnsi="Cambria Math"/>
          </w:rPr>
          <m:t>=500</m:t>
        </m:r>
      </m:oMath>
      <w:r>
        <w:t xml:space="preserve"> replications.</w:t>
      </w:r>
    </w:p>
    <w:p w14:paraId="247E65B6" w14:textId="77777777" w:rsidR="008E4EBD" w:rsidRDefault="00483AC6">
      <w:pPr>
        <w:pStyle w:val="Heading2"/>
      </w:pPr>
      <w:bookmarkStart w:id="28" w:name="a.2.-predictors-compared"/>
      <w:r>
        <w:t>A.2. Predictors compared</w:t>
      </w:r>
      <w:bookmarkEnd w:id="28"/>
    </w:p>
    <w:p w14:paraId="247E65B7" w14:textId="77777777" w:rsidR="008E4EBD" w:rsidRDefault="00483AC6">
      <w:pPr>
        <w:pStyle w:val="FirstParagraph"/>
      </w:pPr>
      <w:r>
        <w:t>Five predictors are computed in every replication.</w:t>
      </w:r>
    </w:p>
    <w:p w14:paraId="247E65B8" w14:textId="77777777" w:rsidR="008E4EBD" w:rsidRDefault="00483AC6">
      <w:pPr>
        <w:pStyle w:val="BodyText"/>
      </w:pPr>
      <w:r>
        <w:t xml:space="preserve">Synthetic predictor. θ_it^SYN = x_it'β_UFH, where x_it = (1, z_it)' and β_UFH is the GLS estimator from the pooled univariate fit described next. This is the only feasible quantity UFH can produce for </w:t>
      </w:r>
      <w:r>
        <w:lastRenderedPageBreak/>
        <w:t>missing area-years. It should be distinguished from the oracle synthetic component x_it'β, which uses the true β and appears only inside the infeasible oracle benchmark.</w:t>
      </w:r>
    </w:p>
    <w:p w14:paraId="247E65B9" w14:textId="77777777" w:rsidR="008E4EBD" w:rsidRDefault="00483AC6">
      <w:pPr>
        <w:pStyle w:val="BodyText"/>
      </w:pPr>
      <w:r>
        <w:rPr>
          <w:b/>
        </w:rPr>
        <w:t>UFH.</w:t>
      </w:r>
      <w:r>
        <w:t xml:space="preserve"> All observed area-years are pooled and treated as a univariate Fay–Herriot model with a common model variance </w:t>
      </w:r>
      <m:oMath>
        <m:r>
          <w:rPr>
            <w:rFonts w:ascii="Cambria Math" w:hAnsi="Cambria Math"/>
          </w:rPr>
          <m:t>A</m:t>
        </m:r>
      </m:oMath>
      <w:r>
        <w:t xml:space="preserve">, using only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and assuming no cross-year covariance of any kind. The variance is estimated by the Fay–Herriot iterative moment method: </w:t>
      </w:r>
      <m:oMath>
        <m:acc>
          <m:accPr>
            <m:ctrlPr>
              <w:rPr>
                <w:rFonts w:ascii="Cambria Math" w:hAnsi="Cambria Math"/>
              </w:rPr>
            </m:ctrlPr>
          </m:accPr>
          <m:e>
            <m:r>
              <w:rPr>
                <w:rFonts w:ascii="Cambria Math" w:hAnsi="Cambria Math"/>
              </w:rPr>
              <m:t>A</m:t>
            </m:r>
          </m:e>
        </m:acc>
      </m:oMath>
      <w:r>
        <w:t xml:space="preserve"> solves</w:t>
      </w:r>
    </w:p>
    <w:p w14:paraId="247E65BA" w14:textId="77777777" w:rsidR="008E4EBD" w:rsidRDefault="00483AC6">
      <w:pPr>
        <w:pStyle w:val="BodyText"/>
        <w:spacing w:before="0" w:after="160" w:line="240" w:lineRule="atLeast"/>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nor/>
                </m:rPr>
                <m:t>obs</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 </m:t>
                          </m:r>
                        </m:e>
                      </m:d>
                    </m:e>
                    <m:sup>
                      <m:r>
                        <w:rPr>
                          <w:rFonts w:ascii="Cambria Math" w:hAnsi="Cambria Math"/>
                        </w:rPr>
                        <m:t>2</m:t>
                      </m:r>
                    </m:sup>
                  </m:sSup>
                </m:num>
                <m:den>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den>
              </m:f>
            </m:e>
          </m:nary>
          <m:r>
            <w:rPr>
              <w:rFonts w:ascii="Cambria Math" w:hAnsi="Cambria Math"/>
            </w:rPr>
            <m:t>=</m:t>
          </m:r>
          <m:r>
            <w:rPr>
              <w:rFonts w:ascii="Cambria Math" w:hAnsi="Cambria Math"/>
            </w:rPr>
            <m:t>n</m:t>
          </m:r>
          <m:r>
            <w:rPr>
              <w:rFonts w:ascii="Cambria Math" w:hAnsi="Cambria Math"/>
            </w:rPr>
            <m:t>-</m:t>
          </m:r>
          <m:r>
            <w:rPr>
              <w:rFonts w:ascii="Cambria Math" w:hAnsi="Cambria Math"/>
            </w:rPr>
            <m:t>p</m:t>
          </m:r>
          <m:r>
            <w:rPr>
              <w:rFonts w:ascii="Cambria Math" w:hAnsi="Cambria Math"/>
            </w:rPr>
            <m:t>,</m:t>
          </m:r>
        </m:oMath>
      </m:oMathPara>
    </w:p>
    <w:p w14:paraId="247E65BB" w14:textId="77777777" w:rsidR="008E4EBD" w:rsidRDefault="00483AC6">
      <w:pPr>
        <w:pStyle w:val="BodyText"/>
      </w:pPr>
      <w:r>
        <w:t xml:space="preserve">where </w:t>
      </w:r>
      <m:oMath>
        <m:r>
          <w:rPr>
            <w:rFonts w:ascii="Cambria Math" w:hAnsi="Cambria Math"/>
          </w:rPr>
          <m:t>n</m:t>
        </m:r>
      </m:oMath>
      <w:r>
        <w:t xml:space="preserve"> is the number of observed cells, </w:t>
      </w:r>
      <m:oMath>
        <m:r>
          <w:rPr>
            <w:rFonts w:ascii="Cambria Math" w:hAnsi="Cambria Math"/>
          </w:rPr>
          <m:t>p</m:t>
        </m:r>
        <m:r>
          <w:rPr>
            <w:rFonts w:ascii="Cambria Math" w:hAnsi="Cambria Math"/>
          </w:rPr>
          <m:t>=2</m:t>
        </m:r>
      </m:oMath>
      <w:r>
        <w:t xml:space="preserve">, and </w:t>
      </w: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oMath>
      <w:r>
        <w:t xml:space="preserve"> is the weighted GLS estimator with weights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recomputed at each candidate value of </w:t>
      </w:r>
      <m:oMath>
        <m:r>
          <w:rPr>
            <w:rFonts w:ascii="Cambria Math" w:hAnsi="Cambria Math"/>
          </w:rPr>
          <m:t>A</m:t>
        </m:r>
      </m:oMath>
      <w:r>
        <w:t xml:space="preserve">. The equation is solved by bisection on </w:t>
      </w:r>
      <m:oMath>
        <m:r>
          <w:rPr>
            <w:rFonts w:ascii="Cambria Math" w:hAnsi="Cambria Math"/>
          </w:rPr>
          <m:t>[0,20]</m:t>
        </m:r>
      </m:oMath>
      <w:r>
        <w:t xml:space="preserve">, with </w:t>
      </w:r>
      <m:oMath>
        <m:acc>
          <m:accPr>
            <m:ctrlPr>
              <w:rPr>
                <w:rFonts w:ascii="Cambria Math" w:hAnsi="Cambria Math"/>
              </w:rPr>
            </m:ctrlPr>
          </m:accPr>
          <m:e>
            <m:r>
              <w:rPr>
                <w:rFonts w:ascii="Cambria Math" w:hAnsi="Cambria Math"/>
              </w:rPr>
              <m:t>A</m:t>
            </m:r>
          </m:e>
        </m:acc>
      </m:oMath>
      <w:r>
        <w:t xml:space="preserve"> truncated at zero when no positive root exists. The predictor is then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w:r>
        <w:t xml:space="preserve">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m:rPr>
                <m:nor/>
              </m:rPr>
              <m:t>it</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r>
              <w:rPr>
                <w:rFonts w:ascii="Cambria Math" w:hAnsi="Cambria Math"/>
              </w:rPr>
              <m:t>D</m:t>
            </m:r>
          </m:e>
          <m:sub>
            <m:r>
              <m:rPr>
                <m:nor/>
              </m:rPr>
              <m:t>it</m:t>
            </m:r>
          </m:sub>
        </m:sSub>
        <m:r>
          <w:rPr>
            <w:rFonts w:ascii="Cambria Math" w:hAnsi="Cambria Math"/>
          </w:rPr>
          <m:t>)</m:t>
        </m:r>
      </m:oMath>
      <w:r>
        <w:t>, evaluated at observed cells. (We refer to this predictor simply as UFH: it is an EBLUP only under its own working model, in which both the area effects and the sampling errors are independent across years; when either is autocorrelated, the label EBLUP would be misleading.)</w:t>
      </w:r>
    </w:p>
    <w:p w14:paraId="247E65BC" w14:textId="77777777" w:rsidR="008E4EBD" w:rsidRDefault="00483AC6">
      <w:pPr>
        <w:pStyle w:val="BodyText"/>
      </w:pPr>
      <w:r>
        <w:rPr>
          <w:b/>
        </w:rPr>
        <w:t>MFH EBLUP with diagonal sampling-error covariance (MFH-diag).</w:t>
      </w:r>
      <w:r>
        <w:t xml:space="preserve"> The working covariance is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is, the area-effect covariance family is correctly specified but the sampling-error covariance is truncated to its diagonal, </w:t>
      </w: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diag</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parameters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are estimated by Gaussian maximum likelihood on areas with complete data, with </w:t>
      </w:r>
      <m:oMath>
        <m:r>
          <w:rPr>
            <w:rFonts w:ascii="Cambria Math" w:hAnsi="Cambria Math"/>
          </w:rPr>
          <m:t>β</m:t>
        </m:r>
      </m:oMath>
      <w:r>
        <w:t xml:space="preserve"> profiled out by GLS at each evaluation; the log-likelihood is, up to a constant,</w:t>
      </w:r>
    </w:p>
    <w:p w14:paraId="247E65BD" w14:textId="77777777" w:rsidR="008E4EBD" w:rsidRDefault="00483AC6">
      <w:pPr>
        <w:pStyle w:val="BodyText"/>
        <w:spacing w:before="0" w:after="160" w:line="240" w:lineRule="atLeast"/>
        <w:jc w:val="center"/>
      </w:pPr>
      <m:oMathPara>
        <m:oMathParaPr>
          <m:jc m:val="center"/>
        </m:oMathParaPr>
        <m:oMath>
          <m:r>
            <m:rPr>
              <m:scr m:val="script"/>
              <m:sty m:val="p"/>
            </m:rPr>
            <w:rPr>
              <w:rFonts w:ascii="Cambria Math" w:hAnsi="Cambria Math"/>
            </w:rPr>
            <m:t>l</m:t>
          </m:r>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r>
                    <m:rPr>
                      <m:nor/>
                    </m:rPr>
                    <m:t>logdet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e>
                  </m:d>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e>
                  </m:d>
                </m:e>
              </m:d>
            </m:e>
          </m:nary>
          <m:r>
            <w:rPr>
              <w:rFonts w:ascii="Cambria Math" w:hAnsi="Cambria Math"/>
            </w:rPr>
            <m:t>.</m:t>
          </m:r>
        </m:oMath>
      </m:oMathPara>
    </w:p>
    <w:p w14:paraId="247E65BE" w14:textId="77777777" w:rsidR="008E4EBD" w:rsidRDefault="00483AC6">
      <w:pPr>
        <w:pStyle w:val="BodyText"/>
      </w:pPr>
      <w:r>
        <w:t xml:space="preserve">The likelihood is maximized over the unconstrained parameterization </w:t>
      </w:r>
      <m:oMath>
        <m:r>
          <w:rPr>
            <w:rFonts w:ascii="Cambria Math" w:hAnsi="Cambria Math"/>
          </w:rPr>
          <m:t>(</m:t>
        </m:r>
        <m:r>
          <m:rPr>
            <m:nor/>
          </m:rPr>
          <m:t>log</m:t>
        </m:r>
        <m:r>
          <w:rPr>
            <w:rFonts w:ascii="Cambria Math" w:hAnsi="Cambria Math"/>
          </w:rPr>
          <m:t>A</m:t>
        </m:r>
        <m:r>
          <w:rPr>
            <w:rFonts w:ascii="Cambria Math" w:hAnsi="Cambria Math"/>
          </w:rPr>
          <m:t>, </m:t>
        </m:r>
        <m:r>
          <m:rPr>
            <m:nor/>
          </m:rPr>
          <m:t>arctanh</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by the Nelder–Mead simplex method from two starting points,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)=(1,0.3)</m:t>
        </m:r>
      </m:oMath>
      <w:r>
        <w:t xml:space="preserve"> and </w:t>
      </w:r>
      <m:oMath>
        <m:r>
          <w:rPr>
            <w:rFonts w:ascii="Cambria Math" w:hAnsi="Cambria Math"/>
          </w:rPr>
          <m:t>(0.5,0.7)</m:t>
        </m:r>
      </m:oMath>
      <w:r>
        <w:t xml:space="preserve">, keeping the better optimum; non–positive definite candidates are rejected by a Cholesky check. For complete areas, the predictor is </w:t>
      </w:r>
      <m:oMath>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G</m:t>
            </m:r>
          </m:e>
        </m:acc>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w:r>
        <w:t xml:space="preserve"> with </w:t>
      </w:r>
      <m:oMath>
        <m:acc>
          <m:accPr>
            <m:ctrlPr>
              <w:rPr>
                <w:rFonts w:ascii="Cambria Math" w:hAnsi="Cambria Math"/>
              </w:rPr>
            </m:ctrlPr>
          </m:accPr>
          <m:e>
            <m:r>
              <w:rPr>
                <w:rFonts w:ascii="Cambria Math" w:hAnsi="Cambria Math"/>
              </w:rPr>
              <m:t>G</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acc>
          <m:accPr>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For an area missing period 3, the partitioned conditional predictor of Section 10 is used with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ρ</m:t>
                </m:r>
              </m:e>
            </m:acc>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r>
          <w:rPr>
            <w:rFonts w:ascii="Cambria Math" w:hAnsi="Cambria Math"/>
          </w:rPr>
          <m:t>)</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oo</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2</m:t>
            </m:r>
          </m:sub>
        </m:sSub>
        <m:r>
          <w:rPr>
            <w:rFonts w:ascii="Cambria Math" w:hAnsi="Cambria Math"/>
          </w:rPr>
          <m:t>)</m:t>
        </m:r>
      </m:oMath>
      <w:r>
        <w:t xml:space="preserve">, where </w:t>
      </w:r>
      <m:oMath>
        <m:r>
          <w:rPr>
            <w:rFonts w:ascii="Cambria Math" w:hAnsi="Cambria Math"/>
          </w:rPr>
          <m:t>o</m:t>
        </m:r>
        <m:r>
          <w:rPr>
            <w:rFonts w:ascii="Cambria Math" w:hAnsi="Cambria Math"/>
          </w:rPr>
          <m:t>={1,2}</m:t>
        </m:r>
      </m:oMath>
      <w:r>
        <w:t xml:space="preserve"> denotes the observed periods.</w:t>
      </w:r>
    </w:p>
    <w:p w14:paraId="247E65BF" w14:textId="77777777" w:rsidR="008E4EBD" w:rsidRDefault="00483AC6">
      <w:pPr>
        <w:pStyle w:val="BodyText"/>
      </w:pPr>
      <w:r>
        <w:rPr>
          <w:b/>
        </w:rPr>
        <w:t>MFH EBLUP with correct sampling-error covariance (MFH-full).</w:t>
      </w:r>
      <w:r>
        <w:t xml:space="preserve"> Identical to MFH-diag except that the working covariance uses the true sampling-error covariance matrix,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elements—supplied as known. Only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are estimated, again by maximum likelihood. The missing-period predictor uses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is the observed block of the true sampling-error covariance. Note that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oMath>
      <w:r>
        <w:t xml:space="preserve"> contains no sampling-error terms in either MFH variant, because the target excludes the sampling error and </w:t>
      </w:r>
      <m:oMath>
        <m:r>
          <w:rPr>
            <w:rFonts w:ascii="Cambria Math" w:hAnsi="Cambria Math"/>
          </w:rPr>
          <m:t>u</m:t>
        </m:r>
        <m:r>
          <w:rPr>
            <w:rFonts w:ascii="Cambria Math" w:hAnsi="Cambria Math"/>
          </w:rPr>
          <m:t>⊥</m:t>
        </m:r>
        <m:r>
          <w:rPr>
            <w:rFonts w:ascii="Cambria Math" w:hAnsi="Cambria Math"/>
          </w:rPr>
          <m:t>e</m:t>
        </m:r>
      </m:oMath>
      <w:r>
        <w:t xml:space="preserve">; the two variants differ only through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oMath>
      <w:r>
        <w:t xml:space="preserve"> and through the parameter estimates themselves.</w:t>
      </w:r>
    </w:p>
    <w:p w14:paraId="247E65C0" w14:textId="77777777" w:rsidR="008E4EBD" w:rsidRDefault="00483AC6">
      <w:pPr>
        <w:pStyle w:val="BodyText"/>
      </w:pPr>
      <w:r>
        <w:rPr>
          <w:b/>
        </w:rPr>
        <w:t>Oracle BLUP.</w:t>
      </w:r>
      <w:r>
        <w:t xml:space="preserve"> The same formulas evaluated at the true </w:t>
      </w:r>
      <m:oMath>
        <m:r>
          <w:rPr>
            <w:rFonts w:ascii="Cambria Math" w:hAnsi="Cambria Math"/>
          </w:rPr>
          <m:t>β</m:t>
        </m:r>
      </m:oMath>
      <w:r>
        <w:t xml:space="preserve">,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This benchmark is infeasible in practice and bounds the achievable MSE from below.</w:t>
      </w:r>
    </w:p>
    <w:p w14:paraId="247E65C1" w14:textId="77777777" w:rsidR="008E4EBD" w:rsidRDefault="00483AC6">
      <w:pPr>
        <w:pStyle w:val="Heading2"/>
      </w:pPr>
      <w:bookmarkStart w:id="29" w:name="a.3.-evaluation-criteria"/>
      <w:r>
        <w:lastRenderedPageBreak/>
        <w:t>A.3. Evaluation criteria</w:t>
      </w:r>
      <w:bookmarkEnd w:id="29"/>
    </w:p>
    <w:p w14:paraId="247E65C2" w14:textId="77777777" w:rsidR="008E4EBD" w:rsidRDefault="00483AC6">
      <w:pPr>
        <w:pStyle w:val="FirstParagraph"/>
      </w:pPr>
      <w:r>
        <w:t>For each replication, squared prediction errors are averaged over the relevant cells: observed-cell results are computed over all cells of areas with complete data, so that the comparison among the predictors is not contaminated by the missingness mechanism; missing-cell results are computed over the deleted final-period cells. Reported MSEs are means of these replication-level averages over the R = 500 replications. The Monte Carlo standard error of each reported MSE is the standard deviation of the replic</w:t>
      </w:r>
      <w:r>
        <w:t>ation-level averages divided by sqrt(R).</w:t>
      </w:r>
    </w:p>
    <w:p w14:paraId="247E65C3" w14:textId="77777777" w:rsidR="008E4EBD" w:rsidRDefault="00483AC6">
      <w:pPr>
        <w:pStyle w:val="BodyText"/>
      </w:pPr>
      <w:r>
        <w:t xml:space="preserve">In addition to MSEs against the realized targets, we record, for every feasible predictor and every cell, the absolute deviation of its point prediction from the oracle BLUP computed on the same data,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oracle</m:t>
            </m:r>
          </m:sup>
        </m:sSubSup>
        <m:r>
          <w:rPr>
            <w:rFonts w:ascii="Cambria Math" w:hAnsi="Cambria Math"/>
          </w:rPr>
          <m:t>|</m:t>
        </m:r>
      </m:oMath>
      <w:r>
        <w:t xml:space="preserve">, pooled across cells and replications (Tables 3 and 4 report the mean and the 90th percentile), together with the mean prediction bias </w:t>
      </w:r>
      <m:oMath>
        <m: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oMath>
      <w:r>
        <w:t xml:space="preserve"> of the MFH variants. The deviation metric measures how far the published point estimates sit from the optimal predictions; the bias confirms that covariance misspecification leaves prediction unbiasedness intact while reshuffling the estimates across areas.</w:t>
      </w:r>
    </w:p>
    <w:p w14:paraId="247E65C4" w14:textId="320509AB" w:rsidR="008E4EBD" w:rsidRDefault="00483AC6">
      <w:pPr>
        <w:pStyle w:val="BodyText"/>
      </w:pPr>
      <w:r>
        <w:t>As a check on the simulation, we also report the theoretical leading term of the prediction MSE under known parameters, averaged over cells using the fixed D_it draw and the true covariance structure: for observed cells, the average of the diagonal elements of G - G(G + D_i)^-1G; for missing cells, the average of A - C_mo V_i,oo^-1 C_om, with C_mo = G_mo and V_i,oo = G_oo + D_i,oo. These leading terms are the conditional-variance benchmarks for the oracle BLUP. Feasible EBLUPs are expected to lie above them</w:t>
      </w:r>
      <w:r>
        <w:t xml:space="preserve"> because β and the covariance parameters are estimated.</w:t>
      </w:r>
    </w:p>
    <w:p w14:paraId="247E65C5" w14:textId="77777777" w:rsidR="008E4EBD" w:rsidRDefault="00483AC6">
      <w:pPr>
        <w:pStyle w:val="Heading2"/>
      </w:pPr>
      <w:bookmarkStart w:id="30" w:name="a.4.-full-results"/>
      <w:r>
        <w:t>A.4. Full results</w:t>
      </w:r>
      <w:bookmarkEnd w:id="30"/>
    </w:p>
    <w:p w14:paraId="247E65C6" w14:textId="77777777" w:rsidR="008E4EBD" w:rsidRDefault="00483AC6">
      <w:pPr>
        <w:pStyle w:val="FirstParagraph"/>
      </w:pPr>
      <w:r>
        <w:t>Table A.1 reports the observed-cell results with Monte Carlo standard errors in parentheses. The empirical MSE of the oracle BLUP is close to the theoretical leading term in every scenario, confirming that the simulation is computing the intended conditional predictor. The feasible MFH-full estimator lies slightly above the oracle because β, A, and ρ_u are estimated. The UFH EBLUP is statistically indistinguishable from its own working-model optimum (approximately 0.50, the value of the UFH leading term E[A</w:t>
      </w:r>
      <w:r>
        <w:t>D/(A + D)] = 0.491) in all nine scenarios: it converges, as the theory of Section 5 predicts, to its pseudo-BLUP regardless of either form of dependence. MFH-full tracks the declining true bound throughout. MFH-diag coincides with MFH-full when ρ_e = 0 (the working models are then identical) and deteriorates sharply as ρ_e rises, falling below UFH whenever ρ_e = 0.8.</w:t>
      </w:r>
    </w:p>
    <w:p w14:paraId="247E65C7" w14:textId="77777777" w:rsidR="008E4EBD" w:rsidRDefault="00483AC6">
      <w:pPr>
        <w:pStyle w:val="BodyText"/>
      </w:pPr>
      <w:r>
        <w:t>Table A.1—Observed Area-Years: Empirical MSE, Monte Carlo Standard Errors, and Theoretical Benchmark</w:t>
      </w:r>
    </w:p>
    <w:tbl>
      <w:tblPr>
        <w:tblStyle w:val="Table"/>
        <w:tblW w:w="9026" w:type="dxa"/>
        <w:tblLayout w:type="fixed"/>
        <w:tblLook w:val="07E0" w:firstRow="1" w:lastRow="1" w:firstColumn="1" w:lastColumn="1" w:noHBand="1" w:noVBand="1"/>
      </w:tblPr>
      <w:tblGrid>
        <w:gridCol w:w="518"/>
        <w:gridCol w:w="518"/>
        <w:gridCol w:w="1348"/>
        <w:gridCol w:w="1348"/>
        <w:gridCol w:w="1348"/>
        <w:gridCol w:w="1348"/>
        <w:gridCol w:w="1348"/>
        <w:gridCol w:w="1250"/>
      </w:tblGrid>
      <w:tr w:rsidR="008E4EBD" w14:paraId="247E65D0" w14:textId="77777777">
        <w:tc>
          <w:tcPr>
            <w:tcW w:w="518" w:type="dxa"/>
            <w:tcBorders>
              <w:top w:val="single" w:sz="12" w:space="0" w:color="auto"/>
              <w:left w:val="nil"/>
              <w:bottom w:val="single" w:sz="4" w:space="0" w:color="auto"/>
              <w:right w:val="nil"/>
            </w:tcBorders>
            <w:vAlign w:val="bottom"/>
          </w:tcPr>
          <w:p w14:paraId="247E65C8"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518" w:type="dxa"/>
            <w:tcBorders>
              <w:top w:val="single" w:sz="12" w:space="0" w:color="auto"/>
              <w:left w:val="nil"/>
              <w:bottom w:val="single" w:sz="4" w:space="0" w:color="auto"/>
              <w:right w:val="nil"/>
            </w:tcBorders>
            <w:vAlign w:val="bottom"/>
          </w:tcPr>
          <w:p w14:paraId="247E65C9"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348" w:type="dxa"/>
            <w:tcBorders>
              <w:top w:val="single" w:sz="12" w:space="0" w:color="auto"/>
              <w:left w:val="nil"/>
              <w:bottom w:val="single" w:sz="4" w:space="0" w:color="auto"/>
              <w:right w:val="nil"/>
            </w:tcBorders>
            <w:vAlign w:val="bottom"/>
          </w:tcPr>
          <w:p w14:paraId="247E65CA" w14:textId="77777777" w:rsidR="008E4EBD" w:rsidRDefault="00483AC6">
            <w:pPr>
              <w:pStyle w:val="Compact"/>
              <w:jc w:val="center"/>
            </w:pPr>
            <w:r>
              <w:rPr>
                <w:b/>
                <w:bCs/>
              </w:rPr>
              <w:t>Synthetic</w:t>
            </w:r>
          </w:p>
        </w:tc>
        <w:tc>
          <w:tcPr>
            <w:tcW w:w="1348" w:type="dxa"/>
            <w:tcBorders>
              <w:top w:val="single" w:sz="12" w:space="0" w:color="auto"/>
              <w:left w:val="nil"/>
              <w:bottom w:val="single" w:sz="4" w:space="0" w:color="auto"/>
              <w:right w:val="nil"/>
            </w:tcBorders>
            <w:vAlign w:val="bottom"/>
          </w:tcPr>
          <w:p w14:paraId="247E65CB" w14:textId="77777777" w:rsidR="008E4EBD" w:rsidRDefault="00483AC6">
            <w:pPr>
              <w:pStyle w:val="Compact"/>
              <w:jc w:val="center"/>
            </w:pPr>
            <w:r>
              <w:rPr>
                <w:b/>
                <w:bCs/>
              </w:rPr>
              <w:t>UFH</w:t>
            </w:r>
          </w:p>
        </w:tc>
        <w:tc>
          <w:tcPr>
            <w:tcW w:w="1348" w:type="dxa"/>
            <w:tcBorders>
              <w:top w:val="single" w:sz="12" w:space="0" w:color="auto"/>
              <w:left w:val="nil"/>
              <w:bottom w:val="single" w:sz="4" w:space="0" w:color="auto"/>
              <w:right w:val="nil"/>
            </w:tcBorders>
            <w:vAlign w:val="bottom"/>
          </w:tcPr>
          <w:p w14:paraId="247E65CC" w14:textId="77777777" w:rsidR="008E4EBD" w:rsidRDefault="00483AC6">
            <w:pPr>
              <w:pStyle w:val="Compact"/>
              <w:jc w:val="center"/>
            </w:pPr>
            <w:r>
              <w:rPr>
                <w:b/>
                <w:bCs/>
              </w:rPr>
              <w:t>MFH-diag</w:t>
            </w:r>
          </w:p>
        </w:tc>
        <w:tc>
          <w:tcPr>
            <w:tcW w:w="1348" w:type="dxa"/>
            <w:tcBorders>
              <w:top w:val="single" w:sz="12" w:space="0" w:color="auto"/>
              <w:left w:val="nil"/>
              <w:bottom w:val="single" w:sz="4" w:space="0" w:color="auto"/>
              <w:right w:val="nil"/>
            </w:tcBorders>
            <w:vAlign w:val="bottom"/>
          </w:tcPr>
          <w:p w14:paraId="247E65CD" w14:textId="77777777" w:rsidR="008E4EBD" w:rsidRDefault="00483AC6">
            <w:pPr>
              <w:pStyle w:val="Compact"/>
              <w:jc w:val="center"/>
            </w:pPr>
            <w:r>
              <w:rPr>
                <w:b/>
                <w:bCs/>
              </w:rPr>
              <w:t>MFH-full</w:t>
            </w:r>
          </w:p>
        </w:tc>
        <w:tc>
          <w:tcPr>
            <w:tcW w:w="1348" w:type="dxa"/>
            <w:tcBorders>
              <w:top w:val="single" w:sz="12" w:space="0" w:color="auto"/>
              <w:left w:val="nil"/>
              <w:bottom w:val="single" w:sz="4" w:space="0" w:color="auto"/>
              <w:right w:val="nil"/>
            </w:tcBorders>
            <w:vAlign w:val="bottom"/>
          </w:tcPr>
          <w:p w14:paraId="247E65CE" w14:textId="77777777" w:rsidR="008E4EBD" w:rsidRDefault="00483AC6">
            <w:pPr>
              <w:pStyle w:val="Compact"/>
              <w:jc w:val="center"/>
            </w:pPr>
            <w:r>
              <w:rPr>
                <w:b/>
                <w:bCs/>
              </w:rPr>
              <w:t>Oracle BLUP</w:t>
            </w:r>
          </w:p>
        </w:tc>
        <w:tc>
          <w:tcPr>
            <w:tcW w:w="1250" w:type="dxa"/>
            <w:tcBorders>
              <w:top w:val="single" w:sz="12" w:space="0" w:color="auto"/>
              <w:left w:val="nil"/>
              <w:bottom w:val="single" w:sz="4" w:space="0" w:color="auto"/>
              <w:right w:val="nil"/>
            </w:tcBorders>
            <w:vAlign w:val="bottom"/>
          </w:tcPr>
          <w:p w14:paraId="247E65CF" w14:textId="77777777" w:rsidR="008E4EBD" w:rsidRDefault="00483AC6">
            <w:pPr>
              <w:pStyle w:val="Compact"/>
              <w:jc w:val="center"/>
            </w:pPr>
            <w:r>
              <w:rPr>
                <w:b/>
                <w:bCs/>
              </w:rPr>
              <w:t>Leading term</w:t>
            </w:r>
          </w:p>
        </w:tc>
      </w:tr>
      <w:tr w:rsidR="008E4EBD" w14:paraId="247E65D9" w14:textId="77777777">
        <w:tc>
          <w:tcPr>
            <w:tcW w:w="518" w:type="dxa"/>
            <w:tcBorders>
              <w:top w:val="nil"/>
              <w:left w:val="nil"/>
              <w:bottom w:val="nil"/>
              <w:right w:val="nil"/>
            </w:tcBorders>
          </w:tcPr>
          <w:p w14:paraId="247E65D1" w14:textId="77777777" w:rsidR="008E4EBD" w:rsidRDefault="00483AC6">
            <w:pPr>
              <w:pStyle w:val="Compact"/>
              <w:jc w:val="center"/>
            </w:pPr>
            <w:r>
              <w:t>0.0</w:t>
            </w:r>
          </w:p>
        </w:tc>
        <w:tc>
          <w:tcPr>
            <w:tcW w:w="518" w:type="dxa"/>
            <w:tcBorders>
              <w:top w:val="nil"/>
              <w:left w:val="nil"/>
              <w:bottom w:val="nil"/>
              <w:right w:val="nil"/>
            </w:tcBorders>
          </w:tcPr>
          <w:p w14:paraId="247E65D2" w14:textId="77777777" w:rsidR="008E4EBD" w:rsidRDefault="00483AC6">
            <w:pPr>
              <w:pStyle w:val="Compact"/>
              <w:jc w:val="center"/>
            </w:pPr>
            <w:r>
              <w:t>0.0</w:t>
            </w:r>
          </w:p>
        </w:tc>
        <w:tc>
          <w:tcPr>
            <w:tcW w:w="1348" w:type="dxa"/>
            <w:tcBorders>
              <w:top w:val="nil"/>
              <w:left w:val="nil"/>
              <w:bottom w:val="nil"/>
              <w:right w:val="nil"/>
            </w:tcBorders>
          </w:tcPr>
          <w:p w14:paraId="247E65D3" w14:textId="77777777" w:rsidR="008E4EBD" w:rsidRDefault="00483AC6">
            <w:pPr>
              <w:pStyle w:val="Compact"/>
              <w:jc w:val="center"/>
            </w:pPr>
            <w:r>
              <w:t>1.005 (0.004)</w:t>
            </w:r>
          </w:p>
        </w:tc>
        <w:tc>
          <w:tcPr>
            <w:tcW w:w="1348" w:type="dxa"/>
            <w:tcBorders>
              <w:top w:val="nil"/>
              <w:left w:val="nil"/>
              <w:bottom w:val="nil"/>
              <w:right w:val="nil"/>
            </w:tcBorders>
          </w:tcPr>
          <w:p w14:paraId="247E65D4" w14:textId="77777777" w:rsidR="008E4EBD" w:rsidRDefault="00483AC6">
            <w:pPr>
              <w:pStyle w:val="Compact"/>
              <w:jc w:val="center"/>
            </w:pPr>
            <w:r>
              <w:t>0.496 (0.002)</w:t>
            </w:r>
          </w:p>
        </w:tc>
        <w:tc>
          <w:tcPr>
            <w:tcW w:w="1348" w:type="dxa"/>
            <w:tcBorders>
              <w:top w:val="nil"/>
              <w:left w:val="nil"/>
              <w:bottom w:val="nil"/>
              <w:right w:val="nil"/>
            </w:tcBorders>
          </w:tcPr>
          <w:p w14:paraId="247E65D5" w14:textId="77777777" w:rsidR="008E4EBD" w:rsidRDefault="00483AC6">
            <w:pPr>
              <w:pStyle w:val="Compact"/>
              <w:jc w:val="center"/>
            </w:pPr>
            <w:r>
              <w:t>0.501 (0.002)</w:t>
            </w:r>
          </w:p>
        </w:tc>
        <w:tc>
          <w:tcPr>
            <w:tcW w:w="1348" w:type="dxa"/>
            <w:tcBorders>
              <w:top w:val="nil"/>
              <w:left w:val="nil"/>
              <w:bottom w:val="nil"/>
              <w:right w:val="nil"/>
            </w:tcBorders>
          </w:tcPr>
          <w:p w14:paraId="247E65D6" w14:textId="77777777" w:rsidR="008E4EBD" w:rsidRDefault="00483AC6">
            <w:pPr>
              <w:pStyle w:val="Compact"/>
              <w:jc w:val="center"/>
            </w:pPr>
            <w:r>
              <w:t>0.501 (0.002)</w:t>
            </w:r>
          </w:p>
        </w:tc>
        <w:tc>
          <w:tcPr>
            <w:tcW w:w="1348" w:type="dxa"/>
            <w:tcBorders>
              <w:top w:val="nil"/>
              <w:left w:val="nil"/>
              <w:bottom w:val="nil"/>
              <w:right w:val="nil"/>
            </w:tcBorders>
          </w:tcPr>
          <w:p w14:paraId="247E65D7" w14:textId="77777777" w:rsidR="008E4EBD" w:rsidRDefault="00483AC6">
            <w:pPr>
              <w:pStyle w:val="Compact"/>
              <w:jc w:val="center"/>
            </w:pPr>
            <w:r>
              <w:t>0.489 (0.002)</w:t>
            </w:r>
          </w:p>
        </w:tc>
        <w:tc>
          <w:tcPr>
            <w:tcW w:w="1250" w:type="dxa"/>
            <w:tcBorders>
              <w:top w:val="nil"/>
              <w:left w:val="nil"/>
              <w:bottom w:val="nil"/>
              <w:right w:val="nil"/>
            </w:tcBorders>
          </w:tcPr>
          <w:p w14:paraId="247E65D8" w14:textId="77777777" w:rsidR="008E4EBD" w:rsidRDefault="00483AC6">
            <w:pPr>
              <w:pStyle w:val="Compact"/>
              <w:jc w:val="center"/>
            </w:pPr>
            <w:r>
              <w:t>0.486</w:t>
            </w:r>
          </w:p>
        </w:tc>
      </w:tr>
      <w:tr w:rsidR="008E4EBD" w14:paraId="247E65E2" w14:textId="77777777">
        <w:tc>
          <w:tcPr>
            <w:tcW w:w="518" w:type="dxa"/>
            <w:tcBorders>
              <w:top w:val="nil"/>
              <w:left w:val="nil"/>
              <w:bottom w:val="nil"/>
              <w:right w:val="nil"/>
            </w:tcBorders>
          </w:tcPr>
          <w:p w14:paraId="247E65DA" w14:textId="77777777" w:rsidR="008E4EBD" w:rsidRDefault="00483AC6">
            <w:pPr>
              <w:pStyle w:val="Compact"/>
              <w:jc w:val="center"/>
            </w:pPr>
            <w:r>
              <w:t>0.0</w:t>
            </w:r>
          </w:p>
        </w:tc>
        <w:tc>
          <w:tcPr>
            <w:tcW w:w="518" w:type="dxa"/>
            <w:tcBorders>
              <w:top w:val="nil"/>
              <w:left w:val="nil"/>
              <w:bottom w:val="nil"/>
              <w:right w:val="nil"/>
            </w:tcBorders>
          </w:tcPr>
          <w:p w14:paraId="247E65DB" w14:textId="77777777" w:rsidR="008E4EBD" w:rsidRDefault="00483AC6">
            <w:pPr>
              <w:pStyle w:val="Compact"/>
              <w:jc w:val="center"/>
            </w:pPr>
            <w:r>
              <w:t>0.4</w:t>
            </w:r>
          </w:p>
        </w:tc>
        <w:tc>
          <w:tcPr>
            <w:tcW w:w="1348" w:type="dxa"/>
            <w:tcBorders>
              <w:top w:val="nil"/>
              <w:left w:val="nil"/>
              <w:bottom w:val="nil"/>
              <w:right w:val="nil"/>
            </w:tcBorders>
          </w:tcPr>
          <w:p w14:paraId="247E65DC" w14:textId="77777777" w:rsidR="008E4EBD" w:rsidRDefault="00483AC6">
            <w:pPr>
              <w:pStyle w:val="Compact"/>
              <w:jc w:val="center"/>
            </w:pPr>
            <w:r>
              <w:t>1.007 (0.004)</w:t>
            </w:r>
          </w:p>
        </w:tc>
        <w:tc>
          <w:tcPr>
            <w:tcW w:w="1348" w:type="dxa"/>
            <w:tcBorders>
              <w:top w:val="nil"/>
              <w:left w:val="nil"/>
              <w:bottom w:val="nil"/>
              <w:right w:val="nil"/>
            </w:tcBorders>
          </w:tcPr>
          <w:p w14:paraId="247E65DD" w14:textId="77777777" w:rsidR="008E4EBD" w:rsidRDefault="00483AC6">
            <w:pPr>
              <w:pStyle w:val="Compact"/>
              <w:jc w:val="center"/>
            </w:pPr>
            <w:r>
              <w:t>0.498 (0.002)</w:t>
            </w:r>
          </w:p>
        </w:tc>
        <w:tc>
          <w:tcPr>
            <w:tcW w:w="1348" w:type="dxa"/>
            <w:tcBorders>
              <w:top w:val="nil"/>
              <w:left w:val="nil"/>
              <w:bottom w:val="nil"/>
              <w:right w:val="nil"/>
            </w:tcBorders>
          </w:tcPr>
          <w:p w14:paraId="247E65DE" w14:textId="77777777" w:rsidR="008E4EBD" w:rsidRDefault="00483AC6">
            <w:pPr>
              <w:pStyle w:val="Compact"/>
              <w:jc w:val="center"/>
            </w:pPr>
            <w:r>
              <w:t>0.575 (0.003)</w:t>
            </w:r>
          </w:p>
        </w:tc>
        <w:tc>
          <w:tcPr>
            <w:tcW w:w="1348" w:type="dxa"/>
            <w:tcBorders>
              <w:top w:val="nil"/>
              <w:left w:val="nil"/>
              <w:bottom w:val="nil"/>
              <w:right w:val="nil"/>
            </w:tcBorders>
          </w:tcPr>
          <w:p w14:paraId="247E65DF" w14:textId="77777777" w:rsidR="008E4EBD" w:rsidRDefault="00483AC6">
            <w:pPr>
              <w:pStyle w:val="Compact"/>
              <w:jc w:val="center"/>
            </w:pPr>
            <w:r>
              <w:t>0.475 (0.002)</w:t>
            </w:r>
          </w:p>
        </w:tc>
        <w:tc>
          <w:tcPr>
            <w:tcW w:w="1348" w:type="dxa"/>
            <w:tcBorders>
              <w:top w:val="nil"/>
              <w:left w:val="nil"/>
              <w:bottom w:val="nil"/>
              <w:right w:val="nil"/>
            </w:tcBorders>
          </w:tcPr>
          <w:p w14:paraId="247E65E0" w14:textId="77777777" w:rsidR="008E4EBD" w:rsidRDefault="00483AC6">
            <w:pPr>
              <w:pStyle w:val="Compact"/>
              <w:jc w:val="center"/>
            </w:pPr>
            <w:r>
              <w:t>0.461 (0.002)</w:t>
            </w:r>
          </w:p>
        </w:tc>
        <w:tc>
          <w:tcPr>
            <w:tcW w:w="1250" w:type="dxa"/>
            <w:tcBorders>
              <w:top w:val="nil"/>
              <w:left w:val="nil"/>
              <w:bottom w:val="nil"/>
              <w:right w:val="nil"/>
            </w:tcBorders>
          </w:tcPr>
          <w:p w14:paraId="247E65E1" w14:textId="77777777" w:rsidR="008E4EBD" w:rsidRDefault="00483AC6">
            <w:pPr>
              <w:pStyle w:val="Compact"/>
              <w:jc w:val="center"/>
            </w:pPr>
            <w:r>
              <w:t>0.460</w:t>
            </w:r>
          </w:p>
        </w:tc>
      </w:tr>
      <w:tr w:rsidR="008E4EBD" w14:paraId="247E65EB" w14:textId="77777777">
        <w:tc>
          <w:tcPr>
            <w:tcW w:w="518" w:type="dxa"/>
            <w:tcBorders>
              <w:top w:val="nil"/>
              <w:left w:val="nil"/>
              <w:bottom w:val="nil"/>
              <w:right w:val="nil"/>
            </w:tcBorders>
          </w:tcPr>
          <w:p w14:paraId="247E65E3" w14:textId="77777777" w:rsidR="008E4EBD" w:rsidRDefault="00483AC6">
            <w:pPr>
              <w:pStyle w:val="Compact"/>
              <w:jc w:val="center"/>
            </w:pPr>
            <w:r>
              <w:t>0.0</w:t>
            </w:r>
          </w:p>
        </w:tc>
        <w:tc>
          <w:tcPr>
            <w:tcW w:w="518" w:type="dxa"/>
            <w:tcBorders>
              <w:top w:val="nil"/>
              <w:left w:val="nil"/>
              <w:bottom w:val="nil"/>
              <w:right w:val="nil"/>
            </w:tcBorders>
          </w:tcPr>
          <w:p w14:paraId="247E65E4" w14:textId="77777777" w:rsidR="008E4EBD" w:rsidRDefault="00483AC6">
            <w:pPr>
              <w:pStyle w:val="Compact"/>
              <w:jc w:val="center"/>
            </w:pPr>
            <w:r>
              <w:t>0.8</w:t>
            </w:r>
          </w:p>
        </w:tc>
        <w:tc>
          <w:tcPr>
            <w:tcW w:w="1348" w:type="dxa"/>
            <w:tcBorders>
              <w:top w:val="nil"/>
              <w:left w:val="nil"/>
              <w:bottom w:val="nil"/>
              <w:right w:val="nil"/>
            </w:tcBorders>
          </w:tcPr>
          <w:p w14:paraId="247E65E5" w14:textId="77777777" w:rsidR="008E4EBD" w:rsidRDefault="00483AC6">
            <w:pPr>
              <w:pStyle w:val="Compact"/>
              <w:jc w:val="center"/>
            </w:pPr>
            <w:r>
              <w:t xml:space="preserve">1.011 </w:t>
            </w:r>
            <w:r>
              <w:lastRenderedPageBreak/>
              <w:t>(0.004)</w:t>
            </w:r>
          </w:p>
        </w:tc>
        <w:tc>
          <w:tcPr>
            <w:tcW w:w="1348" w:type="dxa"/>
            <w:tcBorders>
              <w:top w:val="nil"/>
              <w:left w:val="nil"/>
              <w:bottom w:val="nil"/>
              <w:right w:val="nil"/>
            </w:tcBorders>
          </w:tcPr>
          <w:p w14:paraId="247E65E6" w14:textId="77777777" w:rsidR="008E4EBD" w:rsidRDefault="00483AC6">
            <w:pPr>
              <w:pStyle w:val="Compact"/>
              <w:jc w:val="center"/>
            </w:pPr>
            <w:r>
              <w:lastRenderedPageBreak/>
              <w:t xml:space="preserve">0.502 </w:t>
            </w:r>
            <w:r>
              <w:lastRenderedPageBreak/>
              <w:t>(0.002)</w:t>
            </w:r>
          </w:p>
        </w:tc>
        <w:tc>
          <w:tcPr>
            <w:tcW w:w="1348" w:type="dxa"/>
            <w:tcBorders>
              <w:top w:val="nil"/>
              <w:left w:val="nil"/>
              <w:bottom w:val="nil"/>
              <w:right w:val="nil"/>
            </w:tcBorders>
          </w:tcPr>
          <w:p w14:paraId="247E65E7" w14:textId="77777777" w:rsidR="008E4EBD" w:rsidRDefault="00483AC6">
            <w:pPr>
              <w:pStyle w:val="Compact"/>
              <w:jc w:val="center"/>
            </w:pPr>
            <w:r>
              <w:lastRenderedPageBreak/>
              <w:t xml:space="preserve">0.833 </w:t>
            </w:r>
            <w:r>
              <w:lastRenderedPageBreak/>
              <w:t>(0.005)</w:t>
            </w:r>
          </w:p>
        </w:tc>
        <w:tc>
          <w:tcPr>
            <w:tcW w:w="1348" w:type="dxa"/>
            <w:tcBorders>
              <w:top w:val="nil"/>
              <w:left w:val="nil"/>
              <w:bottom w:val="nil"/>
              <w:right w:val="nil"/>
            </w:tcBorders>
          </w:tcPr>
          <w:p w14:paraId="247E65E8" w14:textId="77777777" w:rsidR="008E4EBD" w:rsidRDefault="00483AC6">
            <w:pPr>
              <w:pStyle w:val="Compact"/>
              <w:jc w:val="center"/>
            </w:pPr>
            <w:r>
              <w:lastRenderedPageBreak/>
              <w:t xml:space="preserve">0.376 </w:t>
            </w:r>
            <w:r>
              <w:lastRenderedPageBreak/>
              <w:t>(0.002)</w:t>
            </w:r>
          </w:p>
        </w:tc>
        <w:tc>
          <w:tcPr>
            <w:tcW w:w="1348" w:type="dxa"/>
            <w:tcBorders>
              <w:top w:val="nil"/>
              <w:left w:val="nil"/>
              <w:bottom w:val="nil"/>
              <w:right w:val="nil"/>
            </w:tcBorders>
          </w:tcPr>
          <w:p w14:paraId="247E65E9" w14:textId="77777777" w:rsidR="008E4EBD" w:rsidRDefault="00483AC6">
            <w:pPr>
              <w:pStyle w:val="Compact"/>
              <w:jc w:val="center"/>
            </w:pPr>
            <w:r>
              <w:lastRenderedPageBreak/>
              <w:t xml:space="preserve">0.361 </w:t>
            </w:r>
            <w:r>
              <w:lastRenderedPageBreak/>
              <w:t>(0.002)</w:t>
            </w:r>
          </w:p>
        </w:tc>
        <w:tc>
          <w:tcPr>
            <w:tcW w:w="1250" w:type="dxa"/>
            <w:tcBorders>
              <w:top w:val="nil"/>
              <w:left w:val="nil"/>
              <w:bottom w:val="nil"/>
              <w:right w:val="nil"/>
            </w:tcBorders>
          </w:tcPr>
          <w:p w14:paraId="247E65EA" w14:textId="77777777" w:rsidR="008E4EBD" w:rsidRDefault="00483AC6">
            <w:pPr>
              <w:pStyle w:val="Compact"/>
              <w:jc w:val="center"/>
            </w:pPr>
            <w:r>
              <w:lastRenderedPageBreak/>
              <w:t>0.360</w:t>
            </w:r>
          </w:p>
        </w:tc>
      </w:tr>
      <w:tr w:rsidR="008E4EBD" w14:paraId="247E65F4" w14:textId="77777777">
        <w:tc>
          <w:tcPr>
            <w:tcW w:w="518" w:type="dxa"/>
            <w:tcBorders>
              <w:top w:val="nil"/>
              <w:left w:val="nil"/>
              <w:bottom w:val="nil"/>
              <w:right w:val="nil"/>
            </w:tcBorders>
          </w:tcPr>
          <w:p w14:paraId="247E65EC" w14:textId="77777777" w:rsidR="008E4EBD" w:rsidRDefault="00483AC6">
            <w:pPr>
              <w:pStyle w:val="Compact"/>
              <w:jc w:val="center"/>
            </w:pPr>
            <w:r>
              <w:t>0.4</w:t>
            </w:r>
          </w:p>
        </w:tc>
        <w:tc>
          <w:tcPr>
            <w:tcW w:w="518" w:type="dxa"/>
            <w:tcBorders>
              <w:top w:val="nil"/>
              <w:left w:val="nil"/>
              <w:bottom w:val="nil"/>
              <w:right w:val="nil"/>
            </w:tcBorders>
          </w:tcPr>
          <w:p w14:paraId="247E65ED" w14:textId="77777777" w:rsidR="008E4EBD" w:rsidRDefault="00483AC6">
            <w:pPr>
              <w:pStyle w:val="Compact"/>
              <w:jc w:val="center"/>
            </w:pPr>
            <w:r>
              <w:t>0.0</w:t>
            </w:r>
          </w:p>
        </w:tc>
        <w:tc>
          <w:tcPr>
            <w:tcW w:w="1348" w:type="dxa"/>
            <w:tcBorders>
              <w:top w:val="nil"/>
              <w:left w:val="nil"/>
              <w:bottom w:val="nil"/>
              <w:right w:val="nil"/>
            </w:tcBorders>
          </w:tcPr>
          <w:p w14:paraId="247E65EE" w14:textId="77777777" w:rsidR="008E4EBD" w:rsidRDefault="00483AC6">
            <w:pPr>
              <w:pStyle w:val="Compact"/>
              <w:jc w:val="center"/>
            </w:pPr>
            <w:r>
              <w:t>1.001 (0.004)</w:t>
            </w:r>
          </w:p>
        </w:tc>
        <w:tc>
          <w:tcPr>
            <w:tcW w:w="1348" w:type="dxa"/>
            <w:tcBorders>
              <w:top w:val="nil"/>
              <w:left w:val="nil"/>
              <w:bottom w:val="nil"/>
              <w:right w:val="nil"/>
            </w:tcBorders>
          </w:tcPr>
          <w:p w14:paraId="247E65EF" w14:textId="77777777" w:rsidR="008E4EBD" w:rsidRDefault="00483AC6">
            <w:pPr>
              <w:pStyle w:val="Compact"/>
              <w:jc w:val="center"/>
            </w:pPr>
            <w:r>
              <w:t>0.495 (0.002)</w:t>
            </w:r>
          </w:p>
        </w:tc>
        <w:tc>
          <w:tcPr>
            <w:tcW w:w="1348" w:type="dxa"/>
            <w:tcBorders>
              <w:top w:val="nil"/>
              <w:left w:val="nil"/>
              <w:bottom w:val="nil"/>
              <w:right w:val="nil"/>
            </w:tcBorders>
          </w:tcPr>
          <w:p w14:paraId="247E65F0" w14:textId="77777777" w:rsidR="008E4EBD" w:rsidRDefault="00483AC6">
            <w:pPr>
              <w:pStyle w:val="Compact"/>
              <w:jc w:val="center"/>
            </w:pPr>
            <w:r>
              <w:t>0.474 (0.002)</w:t>
            </w:r>
          </w:p>
        </w:tc>
        <w:tc>
          <w:tcPr>
            <w:tcW w:w="1348" w:type="dxa"/>
            <w:tcBorders>
              <w:top w:val="nil"/>
              <w:left w:val="nil"/>
              <w:bottom w:val="nil"/>
              <w:right w:val="nil"/>
            </w:tcBorders>
          </w:tcPr>
          <w:p w14:paraId="247E65F1" w14:textId="77777777" w:rsidR="008E4EBD" w:rsidRDefault="00483AC6">
            <w:pPr>
              <w:pStyle w:val="Compact"/>
              <w:jc w:val="center"/>
            </w:pPr>
            <w:r>
              <w:t>0.474 (0.002)</w:t>
            </w:r>
          </w:p>
        </w:tc>
        <w:tc>
          <w:tcPr>
            <w:tcW w:w="1348" w:type="dxa"/>
            <w:tcBorders>
              <w:top w:val="nil"/>
              <w:left w:val="nil"/>
              <w:bottom w:val="nil"/>
              <w:right w:val="nil"/>
            </w:tcBorders>
          </w:tcPr>
          <w:p w14:paraId="247E65F2" w14:textId="77777777" w:rsidR="008E4EBD" w:rsidRDefault="00483AC6">
            <w:pPr>
              <w:pStyle w:val="Compact"/>
              <w:jc w:val="center"/>
            </w:pPr>
            <w:r>
              <w:t>0.462 (0.002)</w:t>
            </w:r>
          </w:p>
        </w:tc>
        <w:tc>
          <w:tcPr>
            <w:tcW w:w="1250" w:type="dxa"/>
            <w:tcBorders>
              <w:top w:val="nil"/>
              <w:left w:val="nil"/>
              <w:bottom w:val="nil"/>
              <w:right w:val="nil"/>
            </w:tcBorders>
          </w:tcPr>
          <w:p w14:paraId="247E65F3" w14:textId="77777777" w:rsidR="008E4EBD" w:rsidRDefault="00483AC6">
            <w:pPr>
              <w:pStyle w:val="Compact"/>
              <w:jc w:val="center"/>
            </w:pPr>
            <w:r>
              <w:t>0.458</w:t>
            </w:r>
          </w:p>
        </w:tc>
      </w:tr>
      <w:tr w:rsidR="008E4EBD" w14:paraId="247E65FD" w14:textId="77777777">
        <w:tc>
          <w:tcPr>
            <w:tcW w:w="518" w:type="dxa"/>
            <w:tcBorders>
              <w:top w:val="nil"/>
              <w:left w:val="nil"/>
              <w:bottom w:val="nil"/>
              <w:right w:val="nil"/>
            </w:tcBorders>
          </w:tcPr>
          <w:p w14:paraId="247E65F5" w14:textId="77777777" w:rsidR="008E4EBD" w:rsidRDefault="00483AC6">
            <w:pPr>
              <w:pStyle w:val="Compact"/>
              <w:jc w:val="center"/>
            </w:pPr>
            <w:r>
              <w:t>0.8</w:t>
            </w:r>
          </w:p>
        </w:tc>
        <w:tc>
          <w:tcPr>
            <w:tcW w:w="518" w:type="dxa"/>
            <w:tcBorders>
              <w:top w:val="nil"/>
              <w:left w:val="nil"/>
              <w:bottom w:val="nil"/>
              <w:right w:val="nil"/>
            </w:tcBorders>
          </w:tcPr>
          <w:p w14:paraId="247E65F6" w14:textId="77777777" w:rsidR="008E4EBD" w:rsidRDefault="00483AC6">
            <w:pPr>
              <w:pStyle w:val="Compact"/>
              <w:jc w:val="center"/>
            </w:pPr>
            <w:r>
              <w:t>0.0</w:t>
            </w:r>
          </w:p>
        </w:tc>
        <w:tc>
          <w:tcPr>
            <w:tcW w:w="1348" w:type="dxa"/>
            <w:tcBorders>
              <w:top w:val="nil"/>
              <w:left w:val="nil"/>
              <w:bottom w:val="nil"/>
              <w:right w:val="nil"/>
            </w:tcBorders>
          </w:tcPr>
          <w:p w14:paraId="247E65F7" w14:textId="77777777" w:rsidR="008E4EBD" w:rsidRDefault="00483AC6">
            <w:pPr>
              <w:pStyle w:val="Compact"/>
              <w:jc w:val="center"/>
            </w:pPr>
            <w:r>
              <w:t>0.997 (0.006)</w:t>
            </w:r>
          </w:p>
        </w:tc>
        <w:tc>
          <w:tcPr>
            <w:tcW w:w="1348" w:type="dxa"/>
            <w:tcBorders>
              <w:top w:val="nil"/>
              <w:left w:val="nil"/>
              <w:bottom w:val="nil"/>
              <w:right w:val="nil"/>
            </w:tcBorders>
          </w:tcPr>
          <w:p w14:paraId="247E65F8" w14:textId="77777777" w:rsidR="008E4EBD" w:rsidRDefault="00483AC6">
            <w:pPr>
              <w:pStyle w:val="Compact"/>
              <w:jc w:val="center"/>
            </w:pPr>
            <w:r>
              <w:t>0.493 (0.002)</w:t>
            </w:r>
          </w:p>
        </w:tc>
        <w:tc>
          <w:tcPr>
            <w:tcW w:w="1348" w:type="dxa"/>
            <w:tcBorders>
              <w:top w:val="nil"/>
              <w:left w:val="nil"/>
              <w:bottom w:val="nil"/>
              <w:right w:val="nil"/>
            </w:tcBorders>
          </w:tcPr>
          <w:p w14:paraId="247E65F9" w14:textId="77777777" w:rsidR="008E4EBD" w:rsidRDefault="00483AC6">
            <w:pPr>
              <w:pStyle w:val="Compact"/>
              <w:jc w:val="center"/>
            </w:pPr>
            <w:r>
              <w:t>0.370 (0.002)</w:t>
            </w:r>
          </w:p>
        </w:tc>
        <w:tc>
          <w:tcPr>
            <w:tcW w:w="1348" w:type="dxa"/>
            <w:tcBorders>
              <w:top w:val="nil"/>
              <w:left w:val="nil"/>
              <w:bottom w:val="nil"/>
              <w:right w:val="nil"/>
            </w:tcBorders>
          </w:tcPr>
          <w:p w14:paraId="247E65FA" w14:textId="77777777" w:rsidR="008E4EBD" w:rsidRDefault="00483AC6">
            <w:pPr>
              <w:pStyle w:val="Compact"/>
              <w:jc w:val="center"/>
            </w:pPr>
            <w:r>
              <w:t>0.370 (0.002)</w:t>
            </w:r>
          </w:p>
        </w:tc>
        <w:tc>
          <w:tcPr>
            <w:tcW w:w="1348" w:type="dxa"/>
            <w:tcBorders>
              <w:top w:val="nil"/>
              <w:left w:val="nil"/>
              <w:bottom w:val="nil"/>
              <w:right w:val="nil"/>
            </w:tcBorders>
          </w:tcPr>
          <w:p w14:paraId="247E65FB" w14:textId="77777777" w:rsidR="008E4EBD" w:rsidRDefault="00483AC6">
            <w:pPr>
              <w:pStyle w:val="Compact"/>
              <w:jc w:val="center"/>
            </w:pPr>
            <w:r>
              <w:t>0.358 (0.002)</w:t>
            </w:r>
          </w:p>
        </w:tc>
        <w:tc>
          <w:tcPr>
            <w:tcW w:w="1250" w:type="dxa"/>
            <w:tcBorders>
              <w:top w:val="nil"/>
              <w:left w:val="nil"/>
              <w:bottom w:val="nil"/>
              <w:right w:val="nil"/>
            </w:tcBorders>
          </w:tcPr>
          <w:p w14:paraId="247E65FC" w14:textId="77777777" w:rsidR="008E4EBD" w:rsidRDefault="00483AC6">
            <w:pPr>
              <w:pStyle w:val="Compact"/>
              <w:jc w:val="center"/>
            </w:pPr>
            <w:r>
              <w:t>0.355</w:t>
            </w:r>
          </w:p>
        </w:tc>
      </w:tr>
      <w:tr w:rsidR="008E4EBD" w14:paraId="247E6606" w14:textId="77777777">
        <w:tc>
          <w:tcPr>
            <w:tcW w:w="518" w:type="dxa"/>
            <w:tcBorders>
              <w:top w:val="nil"/>
              <w:left w:val="nil"/>
              <w:bottom w:val="nil"/>
              <w:right w:val="nil"/>
            </w:tcBorders>
          </w:tcPr>
          <w:p w14:paraId="247E65FE" w14:textId="77777777" w:rsidR="008E4EBD" w:rsidRDefault="00483AC6">
            <w:pPr>
              <w:pStyle w:val="Compact"/>
              <w:jc w:val="center"/>
            </w:pPr>
            <w:r>
              <w:t>0.4</w:t>
            </w:r>
          </w:p>
        </w:tc>
        <w:tc>
          <w:tcPr>
            <w:tcW w:w="518" w:type="dxa"/>
            <w:tcBorders>
              <w:top w:val="nil"/>
              <w:left w:val="nil"/>
              <w:bottom w:val="nil"/>
              <w:right w:val="nil"/>
            </w:tcBorders>
          </w:tcPr>
          <w:p w14:paraId="247E65FF" w14:textId="77777777" w:rsidR="008E4EBD" w:rsidRDefault="00483AC6">
            <w:pPr>
              <w:pStyle w:val="Compact"/>
              <w:jc w:val="center"/>
            </w:pPr>
            <w:r>
              <w:t>0.4</w:t>
            </w:r>
          </w:p>
        </w:tc>
        <w:tc>
          <w:tcPr>
            <w:tcW w:w="1348" w:type="dxa"/>
            <w:tcBorders>
              <w:top w:val="nil"/>
              <w:left w:val="nil"/>
              <w:bottom w:val="nil"/>
              <w:right w:val="nil"/>
            </w:tcBorders>
          </w:tcPr>
          <w:p w14:paraId="247E6600" w14:textId="77777777" w:rsidR="008E4EBD" w:rsidRDefault="00483AC6">
            <w:pPr>
              <w:pStyle w:val="Compact"/>
              <w:jc w:val="center"/>
            </w:pPr>
            <w:r>
              <w:t>1.003 (0.004)</w:t>
            </w:r>
          </w:p>
        </w:tc>
        <w:tc>
          <w:tcPr>
            <w:tcW w:w="1348" w:type="dxa"/>
            <w:tcBorders>
              <w:top w:val="nil"/>
              <w:left w:val="nil"/>
              <w:bottom w:val="nil"/>
              <w:right w:val="nil"/>
            </w:tcBorders>
          </w:tcPr>
          <w:p w14:paraId="247E6601" w14:textId="77777777" w:rsidR="008E4EBD" w:rsidRDefault="00483AC6">
            <w:pPr>
              <w:pStyle w:val="Compact"/>
              <w:jc w:val="center"/>
            </w:pPr>
            <w:r>
              <w:t>0.498 (0.002)</w:t>
            </w:r>
          </w:p>
        </w:tc>
        <w:tc>
          <w:tcPr>
            <w:tcW w:w="1348" w:type="dxa"/>
            <w:tcBorders>
              <w:top w:val="nil"/>
              <w:left w:val="nil"/>
              <w:bottom w:val="nil"/>
              <w:right w:val="nil"/>
            </w:tcBorders>
          </w:tcPr>
          <w:p w14:paraId="247E6602" w14:textId="77777777" w:rsidR="008E4EBD" w:rsidRDefault="00483AC6">
            <w:pPr>
              <w:pStyle w:val="Compact"/>
              <w:jc w:val="center"/>
            </w:pPr>
            <w:r>
              <w:t>0.579 (0.003)</w:t>
            </w:r>
          </w:p>
        </w:tc>
        <w:tc>
          <w:tcPr>
            <w:tcW w:w="1348" w:type="dxa"/>
            <w:tcBorders>
              <w:top w:val="nil"/>
              <w:left w:val="nil"/>
              <w:bottom w:val="nil"/>
              <w:right w:val="nil"/>
            </w:tcBorders>
          </w:tcPr>
          <w:p w14:paraId="247E6603" w14:textId="77777777" w:rsidR="008E4EBD" w:rsidRDefault="00483AC6">
            <w:pPr>
              <w:pStyle w:val="Compact"/>
              <w:jc w:val="center"/>
            </w:pPr>
            <w:r>
              <w:t>0.500 (0.002)</w:t>
            </w:r>
          </w:p>
        </w:tc>
        <w:tc>
          <w:tcPr>
            <w:tcW w:w="1348" w:type="dxa"/>
            <w:tcBorders>
              <w:top w:val="nil"/>
              <w:left w:val="nil"/>
              <w:bottom w:val="nil"/>
              <w:right w:val="nil"/>
            </w:tcBorders>
          </w:tcPr>
          <w:p w14:paraId="247E6604" w14:textId="77777777" w:rsidR="008E4EBD" w:rsidRDefault="00483AC6">
            <w:pPr>
              <w:pStyle w:val="Compact"/>
              <w:jc w:val="center"/>
            </w:pPr>
            <w:r>
              <w:t>0.487 (0.002)</w:t>
            </w:r>
          </w:p>
        </w:tc>
        <w:tc>
          <w:tcPr>
            <w:tcW w:w="1250" w:type="dxa"/>
            <w:tcBorders>
              <w:top w:val="nil"/>
              <w:left w:val="nil"/>
              <w:bottom w:val="nil"/>
              <w:right w:val="nil"/>
            </w:tcBorders>
          </w:tcPr>
          <w:p w14:paraId="247E6605" w14:textId="77777777" w:rsidR="008E4EBD" w:rsidRDefault="00483AC6">
            <w:pPr>
              <w:pStyle w:val="Compact"/>
              <w:jc w:val="center"/>
            </w:pPr>
            <w:r>
              <w:t>0.485</w:t>
            </w:r>
          </w:p>
        </w:tc>
      </w:tr>
      <w:tr w:rsidR="008E4EBD" w14:paraId="247E660F" w14:textId="77777777">
        <w:tc>
          <w:tcPr>
            <w:tcW w:w="518" w:type="dxa"/>
            <w:tcBorders>
              <w:top w:val="nil"/>
              <w:left w:val="nil"/>
              <w:bottom w:val="nil"/>
              <w:right w:val="nil"/>
            </w:tcBorders>
          </w:tcPr>
          <w:p w14:paraId="247E6607" w14:textId="77777777" w:rsidR="008E4EBD" w:rsidRDefault="00483AC6">
            <w:pPr>
              <w:pStyle w:val="Compact"/>
              <w:jc w:val="center"/>
            </w:pPr>
            <w:r>
              <w:t>0.4</w:t>
            </w:r>
          </w:p>
        </w:tc>
        <w:tc>
          <w:tcPr>
            <w:tcW w:w="518" w:type="dxa"/>
            <w:tcBorders>
              <w:top w:val="nil"/>
              <w:left w:val="nil"/>
              <w:bottom w:val="nil"/>
              <w:right w:val="nil"/>
            </w:tcBorders>
          </w:tcPr>
          <w:p w14:paraId="247E6608" w14:textId="77777777" w:rsidR="008E4EBD" w:rsidRDefault="00483AC6">
            <w:pPr>
              <w:pStyle w:val="Compact"/>
              <w:jc w:val="center"/>
            </w:pPr>
            <w:r>
              <w:t>0.8</w:t>
            </w:r>
          </w:p>
        </w:tc>
        <w:tc>
          <w:tcPr>
            <w:tcW w:w="1348" w:type="dxa"/>
            <w:tcBorders>
              <w:top w:val="nil"/>
              <w:left w:val="nil"/>
              <w:bottom w:val="nil"/>
              <w:right w:val="nil"/>
            </w:tcBorders>
          </w:tcPr>
          <w:p w14:paraId="247E6609" w14:textId="77777777" w:rsidR="008E4EBD" w:rsidRDefault="00483AC6">
            <w:pPr>
              <w:pStyle w:val="Compact"/>
              <w:jc w:val="center"/>
            </w:pPr>
            <w:r>
              <w:t>1.006 (0.005)</w:t>
            </w:r>
          </w:p>
        </w:tc>
        <w:tc>
          <w:tcPr>
            <w:tcW w:w="1348" w:type="dxa"/>
            <w:tcBorders>
              <w:top w:val="nil"/>
              <w:left w:val="nil"/>
              <w:bottom w:val="nil"/>
              <w:right w:val="nil"/>
            </w:tcBorders>
          </w:tcPr>
          <w:p w14:paraId="247E660A" w14:textId="77777777" w:rsidR="008E4EBD" w:rsidRDefault="00483AC6">
            <w:pPr>
              <w:pStyle w:val="Compact"/>
              <w:jc w:val="center"/>
            </w:pPr>
            <w:r>
              <w:t>0.502 (0.003)</w:t>
            </w:r>
          </w:p>
        </w:tc>
        <w:tc>
          <w:tcPr>
            <w:tcW w:w="1348" w:type="dxa"/>
            <w:tcBorders>
              <w:top w:val="nil"/>
              <w:left w:val="nil"/>
              <w:bottom w:val="nil"/>
              <w:right w:val="nil"/>
            </w:tcBorders>
          </w:tcPr>
          <w:p w14:paraId="247E660B" w14:textId="77777777" w:rsidR="008E4EBD" w:rsidRDefault="00483AC6">
            <w:pPr>
              <w:pStyle w:val="Compact"/>
              <w:jc w:val="center"/>
            </w:pPr>
            <w:r>
              <w:t>0.843 (0.005)</w:t>
            </w:r>
          </w:p>
        </w:tc>
        <w:tc>
          <w:tcPr>
            <w:tcW w:w="1348" w:type="dxa"/>
            <w:tcBorders>
              <w:top w:val="nil"/>
              <w:left w:val="nil"/>
              <w:bottom w:val="nil"/>
              <w:right w:val="nil"/>
            </w:tcBorders>
          </w:tcPr>
          <w:p w14:paraId="247E660C" w14:textId="77777777" w:rsidR="008E4EBD" w:rsidRDefault="00483AC6">
            <w:pPr>
              <w:pStyle w:val="Compact"/>
              <w:jc w:val="center"/>
            </w:pPr>
            <w:r>
              <w:t>0.455 (0.002)</w:t>
            </w:r>
          </w:p>
        </w:tc>
        <w:tc>
          <w:tcPr>
            <w:tcW w:w="1348" w:type="dxa"/>
            <w:tcBorders>
              <w:top w:val="nil"/>
              <w:left w:val="nil"/>
              <w:bottom w:val="nil"/>
              <w:right w:val="nil"/>
            </w:tcBorders>
          </w:tcPr>
          <w:p w14:paraId="247E660D" w14:textId="77777777" w:rsidR="008E4EBD" w:rsidRDefault="00483AC6">
            <w:pPr>
              <w:pStyle w:val="Compact"/>
              <w:jc w:val="center"/>
            </w:pPr>
            <w:r>
              <w:t>0.440 (0.002)</w:t>
            </w:r>
          </w:p>
        </w:tc>
        <w:tc>
          <w:tcPr>
            <w:tcW w:w="1250" w:type="dxa"/>
            <w:tcBorders>
              <w:top w:val="nil"/>
              <w:left w:val="nil"/>
              <w:bottom w:val="nil"/>
              <w:right w:val="nil"/>
            </w:tcBorders>
          </w:tcPr>
          <w:p w14:paraId="247E660E" w14:textId="77777777" w:rsidR="008E4EBD" w:rsidRDefault="00483AC6">
            <w:pPr>
              <w:pStyle w:val="Compact"/>
              <w:jc w:val="center"/>
            </w:pPr>
            <w:r>
              <w:t>0.438</w:t>
            </w:r>
          </w:p>
        </w:tc>
      </w:tr>
      <w:tr w:rsidR="008E4EBD" w14:paraId="247E6618" w14:textId="77777777">
        <w:tc>
          <w:tcPr>
            <w:tcW w:w="518" w:type="dxa"/>
            <w:tcBorders>
              <w:top w:val="nil"/>
              <w:left w:val="nil"/>
              <w:bottom w:val="nil"/>
              <w:right w:val="nil"/>
            </w:tcBorders>
          </w:tcPr>
          <w:p w14:paraId="247E6610" w14:textId="77777777" w:rsidR="008E4EBD" w:rsidRDefault="00483AC6">
            <w:pPr>
              <w:pStyle w:val="Compact"/>
              <w:jc w:val="center"/>
            </w:pPr>
            <w:r>
              <w:t>0.8</w:t>
            </w:r>
          </w:p>
        </w:tc>
        <w:tc>
          <w:tcPr>
            <w:tcW w:w="518" w:type="dxa"/>
            <w:tcBorders>
              <w:top w:val="nil"/>
              <w:left w:val="nil"/>
              <w:bottom w:val="nil"/>
              <w:right w:val="nil"/>
            </w:tcBorders>
          </w:tcPr>
          <w:p w14:paraId="247E6611" w14:textId="77777777" w:rsidR="008E4EBD" w:rsidRDefault="00483AC6">
            <w:pPr>
              <w:pStyle w:val="Compact"/>
              <w:jc w:val="center"/>
            </w:pPr>
            <w:r>
              <w:t>0.4</w:t>
            </w:r>
          </w:p>
        </w:tc>
        <w:tc>
          <w:tcPr>
            <w:tcW w:w="1348" w:type="dxa"/>
            <w:tcBorders>
              <w:top w:val="nil"/>
              <w:left w:val="nil"/>
              <w:bottom w:val="nil"/>
              <w:right w:val="nil"/>
            </w:tcBorders>
          </w:tcPr>
          <w:p w14:paraId="247E6612" w14:textId="77777777" w:rsidR="008E4EBD" w:rsidRDefault="00483AC6">
            <w:pPr>
              <w:pStyle w:val="Compact"/>
              <w:jc w:val="center"/>
            </w:pPr>
            <w:r>
              <w:t>0.999 (0.006)</w:t>
            </w:r>
          </w:p>
        </w:tc>
        <w:tc>
          <w:tcPr>
            <w:tcW w:w="1348" w:type="dxa"/>
            <w:tcBorders>
              <w:top w:val="nil"/>
              <w:left w:val="nil"/>
              <w:bottom w:val="nil"/>
              <w:right w:val="nil"/>
            </w:tcBorders>
          </w:tcPr>
          <w:p w14:paraId="247E6613" w14:textId="77777777" w:rsidR="008E4EBD" w:rsidRDefault="00483AC6">
            <w:pPr>
              <w:pStyle w:val="Compact"/>
              <w:jc w:val="center"/>
            </w:pPr>
            <w:r>
              <w:t>0.497 (0.003)</w:t>
            </w:r>
          </w:p>
        </w:tc>
        <w:tc>
          <w:tcPr>
            <w:tcW w:w="1348" w:type="dxa"/>
            <w:tcBorders>
              <w:top w:val="nil"/>
              <w:left w:val="nil"/>
              <w:bottom w:val="nil"/>
              <w:right w:val="nil"/>
            </w:tcBorders>
          </w:tcPr>
          <w:p w14:paraId="247E6614" w14:textId="77777777" w:rsidR="008E4EBD" w:rsidRDefault="00483AC6">
            <w:pPr>
              <w:pStyle w:val="Compact"/>
              <w:jc w:val="center"/>
            </w:pPr>
            <w:r>
              <w:t>0.496 (0.003)</w:t>
            </w:r>
          </w:p>
        </w:tc>
        <w:tc>
          <w:tcPr>
            <w:tcW w:w="1348" w:type="dxa"/>
            <w:tcBorders>
              <w:top w:val="nil"/>
              <w:left w:val="nil"/>
              <w:bottom w:val="nil"/>
              <w:right w:val="nil"/>
            </w:tcBorders>
          </w:tcPr>
          <w:p w14:paraId="247E6615" w14:textId="77777777" w:rsidR="008E4EBD" w:rsidRDefault="00483AC6">
            <w:pPr>
              <w:pStyle w:val="Compact"/>
              <w:jc w:val="center"/>
            </w:pPr>
            <w:r>
              <w:t>0.448 (0.002)</w:t>
            </w:r>
          </w:p>
        </w:tc>
        <w:tc>
          <w:tcPr>
            <w:tcW w:w="1348" w:type="dxa"/>
            <w:tcBorders>
              <w:top w:val="nil"/>
              <w:left w:val="nil"/>
              <w:bottom w:val="nil"/>
              <w:right w:val="nil"/>
            </w:tcBorders>
          </w:tcPr>
          <w:p w14:paraId="247E6616" w14:textId="77777777" w:rsidR="008E4EBD" w:rsidRDefault="00483AC6">
            <w:pPr>
              <w:pStyle w:val="Compact"/>
              <w:jc w:val="center"/>
            </w:pPr>
            <w:r>
              <w:t>0.435 (0.002)</w:t>
            </w:r>
          </w:p>
        </w:tc>
        <w:tc>
          <w:tcPr>
            <w:tcW w:w="1250" w:type="dxa"/>
            <w:tcBorders>
              <w:top w:val="nil"/>
              <w:left w:val="nil"/>
              <w:bottom w:val="nil"/>
              <w:right w:val="nil"/>
            </w:tcBorders>
          </w:tcPr>
          <w:p w14:paraId="247E6617" w14:textId="77777777" w:rsidR="008E4EBD" w:rsidRDefault="00483AC6">
            <w:pPr>
              <w:pStyle w:val="Compact"/>
              <w:jc w:val="center"/>
            </w:pPr>
            <w:r>
              <w:t>0.431</w:t>
            </w:r>
          </w:p>
        </w:tc>
      </w:tr>
      <w:tr w:rsidR="008E4EBD" w14:paraId="247E6621" w14:textId="77777777">
        <w:tc>
          <w:tcPr>
            <w:tcW w:w="518" w:type="dxa"/>
            <w:tcBorders>
              <w:top w:val="nil"/>
              <w:left w:val="nil"/>
              <w:bottom w:val="single" w:sz="12" w:space="0" w:color="auto"/>
              <w:right w:val="nil"/>
            </w:tcBorders>
          </w:tcPr>
          <w:p w14:paraId="247E6619" w14:textId="77777777" w:rsidR="008E4EBD" w:rsidRDefault="00483AC6">
            <w:pPr>
              <w:pStyle w:val="Compact"/>
              <w:jc w:val="center"/>
            </w:pPr>
            <w:r>
              <w:t>0.8</w:t>
            </w:r>
          </w:p>
        </w:tc>
        <w:tc>
          <w:tcPr>
            <w:tcW w:w="518" w:type="dxa"/>
            <w:tcBorders>
              <w:top w:val="nil"/>
              <w:left w:val="nil"/>
              <w:bottom w:val="single" w:sz="12" w:space="0" w:color="auto"/>
              <w:right w:val="nil"/>
            </w:tcBorders>
          </w:tcPr>
          <w:p w14:paraId="247E661A" w14:textId="77777777" w:rsidR="008E4EBD" w:rsidRDefault="00483AC6">
            <w:pPr>
              <w:pStyle w:val="Compact"/>
              <w:jc w:val="center"/>
            </w:pPr>
            <w:r>
              <w:t>0.8</w:t>
            </w:r>
          </w:p>
        </w:tc>
        <w:tc>
          <w:tcPr>
            <w:tcW w:w="1348" w:type="dxa"/>
            <w:tcBorders>
              <w:top w:val="nil"/>
              <w:left w:val="nil"/>
              <w:bottom w:val="single" w:sz="12" w:space="0" w:color="auto"/>
              <w:right w:val="nil"/>
            </w:tcBorders>
          </w:tcPr>
          <w:p w14:paraId="247E661B" w14:textId="77777777" w:rsidR="008E4EBD" w:rsidRDefault="00483AC6">
            <w:pPr>
              <w:pStyle w:val="Compact"/>
              <w:jc w:val="center"/>
            </w:pPr>
            <w:r>
              <w:t>1.002 (0.006)</w:t>
            </w:r>
          </w:p>
        </w:tc>
        <w:tc>
          <w:tcPr>
            <w:tcW w:w="1348" w:type="dxa"/>
            <w:tcBorders>
              <w:top w:val="nil"/>
              <w:left w:val="nil"/>
              <w:bottom w:val="single" w:sz="12" w:space="0" w:color="auto"/>
              <w:right w:val="nil"/>
            </w:tcBorders>
          </w:tcPr>
          <w:p w14:paraId="247E661C" w14:textId="77777777" w:rsidR="008E4EBD" w:rsidRDefault="00483AC6">
            <w:pPr>
              <w:pStyle w:val="Compact"/>
              <w:jc w:val="center"/>
            </w:pPr>
            <w:r>
              <w:t>0.502 (0.003)</w:t>
            </w:r>
          </w:p>
        </w:tc>
        <w:tc>
          <w:tcPr>
            <w:tcW w:w="1348" w:type="dxa"/>
            <w:tcBorders>
              <w:top w:val="nil"/>
              <w:left w:val="nil"/>
              <w:bottom w:val="single" w:sz="12" w:space="0" w:color="auto"/>
              <w:right w:val="nil"/>
            </w:tcBorders>
          </w:tcPr>
          <w:p w14:paraId="247E661D" w14:textId="77777777" w:rsidR="008E4EBD" w:rsidRDefault="00483AC6">
            <w:pPr>
              <w:pStyle w:val="Compact"/>
              <w:jc w:val="center"/>
            </w:pPr>
            <w:r>
              <w:t>0.702 (0.004)</w:t>
            </w:r>
          </w:p>
        </w:tc>
        <w:tc>
          <w:tcPr>
            <w:tcW w:w="1348" w:type="dxa"/>
            <w:tcBorders>
              <w:top w:val="nil"/>
              <w:left w:val="nil"/>
              <w:bottom w:val="single" w:sz="12" w:space="0" w:color="auto"/>
              <w:right w:val="nil"/>
            </w:tcBorders>
          </w:tcPr>
          <w:p w14:paraId="247E661E" w14:textId="77777777" w:rsidR="008E4EBD" w:rsidRDefault="00483AC6">
            <w:pPr>
              <w:pStyle w:val="Compact"/>
              <w:jc w:val="center"/>
            </w:pPr>
            <w:r>
              <w:t>0.487 (0.003)</w:t>
            </w:r>
          </w:p>
        </w:tc>
        <w:tc>
          <w:tcPr>
            <w:tcW w:w="1348" w:type="dxa"/>
            <w:tcBorders>
              <w:top w:val="nil"/>
              <w:left w:val="nil"/>
              <w:bottom w:val="single" w:sz="12" w:space="0" w:color="auto"/>
              <w:right w:val="nil"/>
            </w:tcBorders>
          </w:tcPr>
          <w:p w14:paraId="247E661F" w14:textId="77777777" w:rsidR="008E4EBD" w:rsidRDefault="00483AC6">
            <w:pPr>
              <w:pStyle w:val="Compact"/>
              <w:jc w:val="center"/>
            </w:pPr>
            <w:r>
              <w:t>0.472 (0.003)</w:t>
            </w:r>
          </w:p>
        </w:tc>
        <w:tc>
          <w:tcPr>
            <w:tcW w:w="1250" w:type="dxa"/>
            <w:tcBorders>
              <w:top w:val="nil"/>
              <w:left w:val="nil"/>
              <w:bottom w:val="single" w:sz="12" w:space="0" w:color="auto"/>
              <w:right w:val="nil"/>
            </w:tcBorders>
          </w:tcPr>
          <w:p w14:paraId="247E6620" w14:textId="77777777" w:rsidR="008E4EBD" w:rsidRDefault="00483AC6">
            <w:pPr>
              <w:pStyle w:val="Compact"/>
              <w:jc w:val="center"/>
            </w:pPr>
            <w:r>
              <w:t>0.470</w:t>
            </w:r>
          </w:p>
        </w:tc>
      </w:tr>
    </w:tbl>
    <w:p w14:paraId="247E6622" w14:textId="0EE2E8AE" w:rsidR="008E4EBD" w:rsidRDefault="00483AC6">
      <w:pPr>
        <w:pStyle w:val="BodyText"/>
      </w:pPr>
      <w:r>
        <w:t>Table A.2 reports the missing-cell results. The theoretical leading term for missing cells equals A = 1 whenever ρ_u = 0, irrespective of ρ_e: sampling-error autocorrelation alone creates no information about a missing area-year, because C_mo = G_mo = 0. The oracle confirms this known-parameter benchmark (0.996 in all three Group A scenarios, with Monte Carlo variation around the theoretical value of 1.000). The feasible synthetic predictor uses estimated β, and MFH-full pays a small additional estimation p</w:t>
      </w:r>
      <w:r>
        <w:t>remium while correctly learning the absence of borrowing opportunities. MFH-diag instead manufactures spurious borrowing and is worse than synthetic prediction whenever ρ_e &gt; ρ_u. Where genuine persistence exists, MFH-full nearly attains the oracle bound, while MFH-diag forfeits between half and all of the achievable gain.</w:t>
      </w:r>
    </w:p>
    <w:p w14:paraId="247E6623" w14:textId="77777777" w:rsidR="008E4EBD" w:rsidRDefault="00483AC6">
      <w:pPr>
        <w:pStyle w:val="BodyText"/>
      </w:pPr>
      <w:r>
        <w:t>Table A.2—Missing Area-Years: Empirical MSE, Monte Carlo Standard Errors, and Theoretical Benchmark</w:t>
      </w:r>
    </w:p>
    <w:tbl>
      <w:tblPr>
        <w:tblStyle w:val="Table"/>
        <w:tblW w:w="9026" w:type="dxa"/>
        <w:tblLayout w:type="fixed"/>
        <w:tblLook w:val="07E0" w:firstRow="1" w:lastRow="1" w:firstColumn="1" w:lastColumn="1" w:noHBand="1" w:noVBand="1"/>
      </w:tblPr>
      <w:tblGrid>
        <w:gridCol w:w="593"/>
        <w:gridCol w:w="593"/>
        <w:gridCol w:w="1781"/>
        <w:gridCol w:w="1543"/>
        <w:gridCol w:w="1543"/>
        <w:gridCol w:w="1543"/>
        <w:gridCol w:w="1430"/>
      </w:tblGrid>
      <w:tr w:rsidR="008E4EBD" w14:paraId="247E662B" w14:textId="77777777">
        <w:tc>
          <w:tcPr>
            <w:tcW w:w="593" w:type="dxa"/>
            <w:tcBorders>
              <w:top w:val="single" w:sz="12" w:space="0" w:color="auto"/>
              <w:left w:val="nil"/>
              <w:bottom w:val="single" w:sz="4" w:space="0" w:color="auto"/>
              <w:right w:val="nil"/>
            </w:tcBorders>
            <w:vAlign w:val="bottom"/>
          </w:tcPr>
          <w:p w14:paraId="247E6624"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593" w:type="dxa"/>
            <w:tcBorders>
              <w:top w:val="single" w:sz="12" w:space="0" w:color="auto"/>
              <w:left w:val="nil"/>
              <w:bottom w:val="single" w:sz="4" w:space="0" w:color="auto"/>
              <w:right w:val="nil"/>
            </w:tcBorders>
            <w:vAlign w:val="bottom"/>
          </w:tcPr>
          <w:p w14:paraId="247E6625"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781" w:type="dxa"/>
            <w:tcBorders>
              <w:top w:val="single" w:sz="12" w:space="0" w:color="auto"/>
              <w:left w:val="nil"/>
              <w:bottom w:val="single" w:sz="4" w:space="0" w:color="auto"/>
              <w:right w:val="nil"/>
            </w:tcBorders>
            <w:vAlign w:val="bottom"/>
          </w:tcPr>
          <w:p w14:paraId="247E6626" w14:textId="77777777" w:rsidR="008E4EBD" w:rsidRDefault="00483AC6">
            <w:pPr>
              <w:pStyle w:val="Compact"/>
              <w:jc w:val="center"/>
            </w:pPr>
            <w:r>
              <w:rPr>
                <w:b/>
                <w:bCs/>
              </w:rPr>
              <w:t>Synthetic (UFH)</w:t>
            </w:r>
          </w:p>
        </w:tc>
        <w:tc>
          <w:tcPr>
            <w:tcW w:w="1543" w:type="dxa"/>
            <w:tcBorders>
              <w:top w:val="single" w:sz="12" w:space="0" w:color="auto"/>
              <w:left w:val="nil"/>
              <w:bottom w:val="single" w:sz="4" w:space="0" w:color="auto"/>
              <w:right w:val="nil"/>
            </w:tcBorders>
            <w:vAlign w:val="bottom"/>
          </w:tcPr>
          <w:p w14:paraId="247E6627" w14:textId="77777777" w:rsidR="008E4EBD" w:rsidRDefault="00483AC6">
            <w:pPr>
              <w:pStyle w:val="Compact"/>
              <w:jc w:val="center"/>
            </w:pPr>
            <w:r>
              <w:rPr>
                <w:b/>
                <w:bCs/>
              </w:rPr>
              <w:t>MFH-diag</w:t>
            </w:r>
          </w:p>
        </w:tc>
        <w:tc>
          <w:tcPr>
            <w:tcW w:w="1543" w:type="dxa"/>
            <w:tcBorders>
              <w:top w:val="single" w:sz="12" w:space="0" w:color="auto"/>
              <w:left w:val="nil"/>
              <w:bottom w:val="single" w:sz="4" w:space="0" w:color="auto"/>
              <w:right w:val="nil"/>
            </w:tcBorders>
            <w:vAlign w:val="bottom"/>
          </w:tcPr>
          <w:p w14:paraId="247E6628" w14:textId="77777777" w:rsidR="008E4EBD" w:rsidRDefault="00483AC6">
            <w:pPr>
              <w:pStyle w:val="Compact"/>
              <w:jc w:val="center"/>
            </w:pPr>
            <w:r>
              <w:rPr>
                <w:b/>
                <w:bCs/>
              </w:rPr>
              <w:t>MFH-full</w:t>
            </w:r>
          </w:p>
        </w:tc>
        <w:tc>
          <w:tcPr>
            <w:tcW w:w="1543" w:type="dxa"/>
            <w:tcBorders>
              <w:top w:val="single" w:sz="12" w:space="0" w:color="auto"/>
              <w:left w:val="nil"/>
              <w:bottom w:val="single" w:sz="4" w:space="0" w:color="auto"/>
              <w:right w:val="nil"/>
            </w:tcBorders>
            <w:vAlign w:val="bottom"/>
          </w:tcPr>
          <w:p w14:paraId="247E6629" w14:textId="77777777" w:rsidR="008E4EBD" w:rsidRDefault="00483AC6">
            <w:pPr>
              <w:pStyle w:val="Compact"/>
              <w:jc w:val="center"/>
            </w:pPr>
            <w:r>
              <w:rPr>
                <w:b/>
                <w:bCs/>
              </w:rPr>
              <w:t>Oracle BLUP</w:t>
            </w:r>
          </w:p>
        </w:tc>
        <w:tc>
          <w:tcPr>
            <w:tcW w:w="1430" w:type="dxa"/>
            <w:tcBorders>
              <w:top w:val="single" w:sz="12" w:space="0" w:color="auto"/>
              <w:left w:val="nil"/>
              <w:bottom w:val="single" w:sz="4" w:space="0" w:color="auto"/>
              <w:right w:val="nil"/>
            </w:tcBorders>
            <w:vAlign w:val="bottom"/>
          </w:tcPr>
          <w:p w14:paraId="247E662A" w14:textId="77777777" w:rsidR="008E4EBD" w:rsidRDefault="00483AC6">
            <w:pPr>
              <w:pStyle w:val="Compact"/>
              <w:jc w:val="center"/>
            </w:pPr>
            <w:r>
              <w:rPr>
                <w:b/>
                <w:bCs/>
              </w:rPr>
              <w:t>Leading term</w:t>
            </w:r>
          </w:p>
        </w:tc>
      </w:tr>
      <w:tr w:rsidR="008E4EBD" w14:paraId="247E6633" w14:textId="77777777">
        <w:tc>
          <w:tcPr>
            <w:tcW w:w="593" w:type="dxa"/>
            <w:tcBorders>
              <w:top w:val="nil"/>
              <w:left w:val="nil"/>
              <w:bottom w:val="nil"/>
              <w:right w:val="nil"/>
            </w:tcBorders>
          </w:tcPr>
          <w:p w14:paraId="247E662C" w14:textId="77777777" w:rsidR="008E4EBD" w:rsidRDefault="00483AC6">
            <w:pPr>
              <w:pStyle w:val="Compact"/>
              <w:jc w:val="center"/>
            </w:pPr>
            <w:r>
              <w:t>0.0</w:t>
            </w:r>
          </w:p>
        </w:tc>
        <w:tc>
          <w:tcPr>
            <w:tcW w:w="593" w:type="dxa"/>
            <w:tcBorders>
              <w:top w:val="nil"/>
              <w:left w:val="nil"/>
              <w:bottom w:val="nil"/>
              <w:right w:val="nil"/>
            </w:tcBorders>
          </w:tcPr>
          <w:p w14:paraId="247E662D" w14:textId="77777777" w:rsidR="008E4EBD" w:rsidRDefault="00483AC6">
            <w:pPr>
              <w:pStyle w:val="Compact"/>
              <w:jc w:val="center"/>
            </w:pPr>
            <w:r>
              <w:t>0.0</w:t>
            </w:r>
          </w:p>
        </w:tc>
        <w:tc>
          <w:tcPr>
            <w:tcW w:w="1781" w:type="dxa"/>
            <w:tcBorders>
              <w:top w:val="nil"/>
              <w:left w:val="nil"/>
              <w:bottom w:val="nil"/>
              <w:right w:val="nil"/>
            </w:tcBorders>
          </w:tcPr>
          <w:p w14:paraId="247E662E" w14:textId="77777777" w:rsidR="008E4EBD" w:rsidRDefault="00483AC6">
            <w:pPr>
              <w:pStyle w:val="Compact"/>
              <w:jc w:val="center"/>
            </w:pPr>
            <w:r>
              <w:t>1.011 (0.015)</w:t>
            </w:r>
          </w:p>
        </w:tc>
        <w:tc>
          <w:tcPr>
            <w:tcW w:w="1543" w:type="dxa"/>
            <w:tcBorders>
              <w:top w:val="nil"/>
              <w:left w:val="nil"/>
              <w:bottom w:val="nil"/>
              <w:right w:val="nil"/>
            </w:tcBorders>
          </w:tcPr>
          <w:p w14:paraId="247E662F" w14:textId="77777777" w:rsidR="008E4EBD" w:rsidRDefault="00483AC6">
            <w:pPr>
              <w:pStyle w:val="Compact"/>
              <w:jc w:val="center"/>
            </w:pPr>
            <w:r>
              <w:t>1.028 (0.015)</w:t>
            </w:r>
          </w:p>
        </w:tc>
        <w:tc>
          <w:tcPr>
            <w:tcW w:w="1543" w:type="dxa"/>
            <w:tcBorders>
              <w:top w:val="nil"/>
              <w:left w:val="nil"/>
              <w:bottom w:val="nil"/>
              <w:right w:val="nil"/>
            </w:tcBorders>
          </w:tcPr>
          <w:p w14:paraId="247E6630" w14:textId="77777777" w:rsidR="008E4EBD" w:rsidRDefault="00483AC6">
            <w:pPr>
              <w:pStyle w:val="Compact"/>
              <w:jc w:val="center"/>
            </w:pPr>
            <w:r>
              <w:t>1.028 (0.015)</w:t>
            </w:r>
          </w:p>
        </w:tc>
        <w:tc>
          <w:tcPr>
            <w:tcW w:w="1543" w:type="dxa"/>
            <w:tcBorders>
              <w:top w:val="nil"/>
              <w:left w:val="nil"/>
              <w:bottom w:val="nil"/>
              <w:right w:val="nil"/>
            </w:tcBorders>
          </w:tcPr>
          <w:p w14:paraId="247E6631" w14:textId="77777777" w:rsidR="008E4EBD" w:rsidRDefault="00483AC6">
            <w:pPr>
              <w:pStyle w:val="Compact"/>
              <w:jc w:val="center"/>
            </w:pPr>
            <w:r>
              <w:t>0.996 (0.014)</w:t>
            </w:r>
          </w:p>
        </w:tc>
        <w:tc>
          <w:tcPr>
            <w:tcW w:w="1430" w:type="dxa"/>
            <w:tcBorders>
              <w:top w:val="nil"/>
              <w:left w:val="nil"/>
              <w:bottom w:val="nil"/>
              <w:right w:val="nil"/>
            </w:tcBorders>
          </w:tcPr>
          <w:p w14:paraId="247E6632" w14:textId="77777777" w:rsidR="008E4EBD" w:rsidRDefault="00483AC6">
            <w:pPr>
              <w:pStyle w:val="Compact"/>
              <w:jc w:val="center"/>
            </w:pPr>
            <w:r>
              <w:t>1.000</w:t>
            </w:r>
          </w:p>
        </w:tc>
      </w:tr>
      <w:tr w:rsidR="008E4EBD" w14:paraId="247E663B" w14:textId="77777777">
        <w:tc>
          <w:tcPr>
            <w:tcW w:w="593" w:type="dxa"/>
            <w:tcBorders>
              <w:top w:val="nil"/>
              <w:left w:val="nil"/>
              <w:bottom w:val="nil"/>
              <w:right w:val="nil"/>
            </w:tcBorders>
          </w:tcPr>
          <w:p w14:paraId="247E6634" w14:textId="77777777" w:rsidR="008E4EBD" w:rsidRDefault="00483AC6">
            <w:pPr>
              <w:pStyle w:val="Compact"/>
              <w:jc w:val="center"/>
            </w:pPr>
            <w:r>
              <w:t>0.0</w:t>
            </w:r>
          </w:p>
        </w:tc>
        <w:tc>
          <w:tcPr>
            <w:tcW w:w="593" w:type="dxa"/>
            <w:tcBorders>
              <w:top w:val="nil"/>
              <w:left w:val="nil"/>
              <w:bottom w:val="nil"/>
              <w:right w:val="nil"/>
            </w:tcBorders>
          </w:tcPr>
          <w:p w14:paraId="247E6635" w14:textId="77777777" w:rsidR="008E4EBD" w:rsidRDefault="00483AC6">
            <w:pPr>
              <w:pStyle w:val="Compact"/>
              <w:jc w:val="center"/>
            </w:pPr>
            <w:r>
              <w:t>0.4</w:t>
            </w:r>
          </w:p>
        </w:tc>
        <w:tc>
          <w:tcPr>
            <w:tcW w:w="1781" w:type="dxa"/>
            <w:tcBorders>
              <w:top w:val="nil"/>
              <w:left w:val="nil"/>
              <w:bottom w:val="nil"/>
              <w:right w:val="nil"/>
            </w:tcBorders>
          </w:tcPr>
          <w:p w14:paraId="247E6636" w14:textId="77777777" w:rsidR="008E4EBD" w:rsidRDefault="00483AC6">
            <w:pPr>
              <w:pStyle w:val="Compact"/>
              <w:jc w:val="center"/>
            </w:pPr>
            <w:r>
              <w:t>1.014 (0.015)</w:t>
            </w:r>
          </w:p>
        </w:tc>
        <w:tc>
          <w:tcPr>
            <w:tcW w:w="1543" w:type="dxa"/>
            <w:tcBorders>
              <w:top w:val="nil"/>
              <w:left w:val="nil"/>
              <w:bottom w:val="nil"/>
              <w:right w:val="nil"/>
            </w:tcBorders>
          </w:tcPr>
          <w:p w14:paraId="247E6637" w14:textId="77777777" w:rsidR="008E4EBD" w:rsidRDefault="00483AC6">
            <w:pPr>
              <w:pStyle w:val="Compact"/>
              <w:jc w:val="center"/>
            </w:pPr>
            <w:r>
              <w:t>1.099 (0.016)</w:t>
            </w:r>
          </w:p>
        </w:tc>
        <w:tc>
          <w:tcPr>
            <w:tcW w:w="1543" w:type="dxa"/>
            <w:tcBorders>
              <w:top w:val="nil"/>
              <w:left w:val="nil"/>
              <w:bottom w:val="nil"/>
              <w:right w:val="nil"/>
            </w:tcBorders>
          </w:tcPr>
          <w:p w14:paraId="247E6638" w14:textId="77777777" w:rsidR="008E4EBD" w:rsidRDefault="00483AC6">
            <w:pPr>
              <w:pStyle w:val="Compact"/>
              <w:jc w:val="center"/>
            </w:pPr>
            <w:r>
              <w:t>1.031 (0.015)</w:t>
            </w:r>
          </w:p>
        </w:tc>
        <w:tc>
          <w:tcPr>
            <w:tcW w:w="1543" w:type="dxa"/>
            <w:tcBorders>
              <w:top w:val="nil"/>
              <w:left w:val="nil"/>
              <w:bottom w:val="nil"/>
              <w:right w:val="nil"/>
            </w:tcBorders>
          </w:tcPr>
          <w:p w14:paraId="247E6639" w14:textId="77777777" w:rsidR="008E4EBD" w:rsidRDefault="00483AC6">
            <w:pPr>
              <w:pStyle w:val="Compact"/>
              <w:jc w:val="center"/>
            </w:pPr>
            <w:r>
              <w:t>0.996 (0.014)</w:t>
            </w:r>
          </w:p>
        </w:tc>
        <w:tc>
          <w:tcPr>
            <w:tcW w:w="1430" w:type="dxa"/>
            <w:tcBorders>
              <w:top w:val="nil"/>
              <w:left w:val="nil"/>
              <w:bottom w:val="nil"/>
              <w:right w:val="nil"/>
            </w:tcBorders>
          </w:tcPr>
          <w:p w14:paraId="247E663A" w14:textId="77777777" w:rsidR="008E4EBD" w:rsidRDefault="00483AC6">
            <w:pPr>
              <w:pStyle w:val="Compact"/>
              <w:jc w:val="center"/>
            </w:pPr>
            <w:r>
              <w:t>1.000</w:t>
            </w:r>
          </w:p>
        </w:tc>
      </w:tr>
      <w:tr w:rsidR="008E4EBD" w14:paraId="247E6643" w14:textId="77777777">
        <w:tc>
          <w:tcPr>
            <w:tcW w:w="593" w:type="dxa"/>
            <w:tcBorders>
              <w:top w:val="nil"/>
              <w:left w:val="nil"/>
              <w:bottom w:val="nil"/>
              <w:right w:val="nil"/>
            </w:tcBorders>
          </w:tcPr>
          <w:p w14:paraId="247E663C" w14:textId="77777777" w:rsidR="008E4EBD" w:rsidRDefault="00483AC6">
            <w:pPr>
              <w:pStyle w:val="Compact"/>
              <w:jc w:val="center"/>
            </w:pPr>
            <w:r>
              <w:t>0.0</w:t>
            </w:r>
          </w:p>
        </w:tc>
        <w:tc>
          <w:tcPr>
            <w:tcW w:w="593" w:type="dxa"/>
            <w:tcBorders>
              <w:top w:val="nil"/>
              <w:left w:val="nil"/>
              <w:bottom w:val="nil"/>
              <w:right w:val="nil"/>
            </w:tcBorders>
          </w:tcPr>
          <w:p w14:paraId="247E663D" w14:textId="77777777" w:rsidR="008E4EBD" w:rsidRDefault="00483AC6">
            <w:pPr>
              <w:pStyle w:val="Compact"/>
              <w:jc w:val="center"/>
            </w:pPr>
            <w:r>
              <w:t>0.8</w:t>
            </w:r>
          </w:p>
        </w:tc>
        <w:tc>
          <w:tcPr>
            <w:tcW w:w="1781" w:type="dxa"/>
            <w:tcBorders>
              <w:top w:val="nil"/>
              <w:left w:val="nil"/>
              <w:bottom w:val="nil"/>
              <w:right w:val="nil"/>
            </w:tcBorders>
          </w:tcPr>
          <w:p w14:paraId="247E663E" w14:textId="77777777" w:rsidR="008E4EBD" w:rsidRDefault="00483AC6">
            <w:pPr>
              <w:pStyle w:val="Compact"/>
              <w:jc w:val="center"/>
            </w:pPr>
            <w:r>
              <w:t>1.016 (0.015)</w:t>
            </w:r>
          </w:p>
        </w:tc>
        <w:tc>
          <w:tcPr>
            <w:tcW w:w="1543" w:type="dxa"/>
            <w:tcBorders>
              <w:top w:val="nil"/>
              <w:left w:val="nil"/>
              <w:bottom w:val="nil"/>
              <w:right w:val="nil"/>
            </w:tcBorders>
          </w:tcPr>
          <w:p w14:paraId="247E663F" w14:textId="77777777" w:rsidR="008E4EBD" w:rsidRDefault="00483AC6">
            <w:pPr>
              <w:pStyle w:val="Compact"/>
              <w:jc w:val="center"/>
            </w:pPr>
            <w:r>
              <w:t>1.346 (0.020)</w:t>
            </w:r>
          </w:p>
        </w:tc>
        <w:tc>
          <w:tcPr>
            <w:tcW w:w="1543" w:type="dxa"/>
            <w:tcBorders>
              <w:top w:val="nil"/>
              <w:left w:val="nil"/>
              <w:bottom w:val="nil"/>
              <w:right w:val="nil"/>
            </w:tcBorders>
          </w:tcPr>
          <w:p w14:paraId="247E6640" w14:textId="77777777" w:rsidR="008E4EBD" w:rsidRDefault="00483AC6">
            <w:pPr>
              <w:pStyle w:val="Compact"/>
              <w:jc w:val="center"/>
            </w:pPr>
            <w:r>
              <w:t>1.034 (0.015)</w:t>
            </w:r>
          </w:p>
        </w:tc>
        <w:tc>
          <w:tcPr>
            <w:tcW w:w="1543" w:type="dxa"/>
            <w:tcBorders>
              <w:top w:val="nil"/>
              <w:left w:val="nil"/>
              <w:bottom w:val="nil"/>
              <w:right w:val="nil"/>
            </w:tcBorders>
          </w:tcPr>
          <w:p w14:paraId="247E6641" w14:textId="77777777" w:rsidR="008E4EBD" w:rsidRDefault="00483AC6">
            <w:pPr>
              <w:pStyle w:val="Compact"/>
              <w:jc w:val="center"/>
            </w:pPr>
            <w:r>
              <w:t>0.996 (0.014)</w:t>
            </w:r>
          </w:p>
        </w:tc>
        <w:tc>
          <w:tcPr>
            <w:tcW w:w="1430" w:type="dxa"/>
            <w:tcBorders>
              <w:top w:val="nil"/>
              <w:left w:val="nil"/>
              <w:bottom w:val="nil"/>
              <w:right w:val="nil"/>
            </w:tcBorders>
          </w:tcPr>
          <w:p w14:paraId="247E6642" w14:textId="77777777" w:rsidR="008E4EBD" w:rsidRDefault="00483AC6">
            <w:pPr>
              <w:pStyle w:val="Compact"/>
              <w:jc w:val="center"/>
            </w:pPr>
            <w:r>
              <w:t>1.000</w:t>
            </w:r>
          </w:p>
        </w:tc>
      </w:tr>
      <w:tr w:rsidR="008E4EBD" w14:paraId="247E664B" w14:textId="77777777">
        <w:tc>
          <w:tcPr>
            <w:tcW w:w="593" w:type="dxa"/>
            <w:tcBorders>
              <w:top w:val="nil"/>
              <w:left w:val="nil"/>
              <w:bottom w:val="nil"/>
              <w:right w:val="nil"/>
            </w:tcBorders>
          </w:tcPr>
          <w:p w14:paraId="247E6644" w14:textId="77777777" w:rsidR="008E4EBD" w:rsidRDefault="00483AC6">
            <w:pPr>
              <w:pStyle w:val="Compact"/>
              <w:jc w:val="center"/>
            </w:pPr>
            <w:r>
              <w:t>0.4</w:t>
            </w:r>
          </w:p>
        </w:tc>
        <w:tc>
          <w:tcPr>
            <w:tcW w:w="593" w:type="dxa"/>
            <w:tcBorders>
              <w:top w:val="nil"/>
              <w:left w:val="nil"/>
              <w:bottom w:val="nil"/>
              <w:right w:val="nil"/>
            </w:tcBorders>
          </w:tcPr>
          <w:p w14:paraId="247E6645" w14:textId="77777777" w:rsidR="008E4EBD" w:rsidRDefault="00483AC6">
            <w:pPr>
              <w:pStyle w:val="Compact"/>
              <w:jc w:val="center"/>
            </w:pPr>
            <w:r>
              <w:t>0.0</w:t>
            </w:r>
          </w:p>
        </w:tc>
        <w:tc>
          <w:tcPr>
            <w:tcW w:w="1781" w:type="dxa"/>
            <w:tcBorders>
              <w:top w:val="nil"/>
              <w:left w:val="nil"/>
              <w:bottom w:val="nil"/>
              <w:right w:val="nil"/>
            </w:tcBorders>
          </w:tcPr>
          <w:p w14:paraId="247E6646" w14:textId="77777777" w:rsidR="008E4EBD" w:rsidRDefault="00483AC6">
            <w:pPr>
              <w:pStyle w:val="Compact"/>
              <w:jc w:val="center"/>
            </w:pPr>
            <w:r>
              <w:t>1.015 (0.015)</w:t>
            </w:r>
          </w:p>
        </w:tc>
        <w:tc>
          <w:tcPr>
            <w:tcW w:w="1543" w:type="dxa"/>
            <w:tcBorders>
              <w:top w:val="nil"/>
              <w:left w:val="nil"/>
              <w:bottom w:val="nil"/>
              <w:right w:val="nil"/>
            </w:tcBorders>
          </w:tcPr>
          <w:p w14:paraId="247E6647" w14:textId="77777777" w:rsidR="008E4EBD" w:rsidRDefault="00483AC6">
            <w:pPr>
              <w:pStyle w:val="Compact"/>
              <w:jc w:val="center"/>
            </w:pPr>
            <w:r>
              <w:t>0.942 (0.014)</w:t>
            </w:r>
          </w:p>
        </w:tc>
        <w:tc>
          <w:tcPr>
            <w:tcW w:w="1543" w:type="dxa"/>
            <w:tcBorders>
              <w:top w:val="nil"/>
              <w:left w:val="nil"/>
              <w:bottom w:val="nil"/>
              <w:right w:val="nil"/>
            </w:tcBorders>
          </w:tcPr>
          <w:p w14:paraId="247E6648" w14:textId="77777777" w:rsidR="008E4EBD" w:rsidRDefault="00483AC6">
            <w:pPr>
              <w:pStyle w:val="Compact"/>
              <w:jc w:val="center"/>
            </w:pPr>
            <w:r>
              <w:t>0.942 (0.014)</w:t>
            </w:r>
          </w:p>
        </w:tc>
        <w:tc>
          <w:tcPr>
            <w:tcW w:w="1543" w:type="dxa"/>
            <w:tcBorders>
              <w:top w:val="nil"/>
              <w:left w:val="nil"/>
              <w:bottom w:val="nil"/>
              <w:right w:val="nil"/>
            </w:tcBorders>
          </w:tcPr>
          <w:p w14:paraId="247E6649" w14:textId="77777777" w:rsidR="008E4EBD" w:rsidRDefault="00483AC6">
            <w:pPr>
              <w:pStyle w:val="Compact"/>
              <w:jc w:val="center"/>
            </w:pPr>
            <w:r>
              <w:t>0.910 (0.013)</w:t>
            </w:r>
          </w:p>
        </w:tc>
        <w:tc>
          <w:tcPr>
            <w:tcW w:w="1430" w:type="dxa"/>
            <w:tcBorders>
              <w:top w:val="nil"/>
              <w:left w:val="nil"/>
              <w:bottom w:val="nil"/>
              <w:right w:val="nil"/>
            </w:tcBorders>
          </w:tcPr>
          <w:p w14:paraId="247E664A" w14:textId="77777777" w:rsidR="008E4EBD" w:rsidRDefault="00483AC6">
            <w:pPr>
              <w:pStyle w:val="Compact"/>
              <w:jc w:val="center"/>
            </w:pPr>
            <w:r>
              <w:t>0.916</w:t>
            </w:r>
          </w:p>
        </w:tc>
      </w:tr>
      <w:tr w:rsidR="008E4EBD" w14:paraId="247E6653" w14:textId="77777777">
        <w:tc>
          <w:tcPr>
            <w:tcW w:w="593" w:type="dxa"/>
            <w:tcBorders>
              <w:top w:val="nil"/>
              <w:left w:val="nil"/>
              <w:bottom w:val="nil"/>
              <w:right w:val="nil"/>
            </w:tcBorders>
          </w:tcPr>
          <w:p w14:paraId="247E664C" w14:textId="77777777" w:rsidR="008E4EBD" w:rsidRDefault="00483AC6">
            <w:pPr>
              <w:pStyle w:val="Compact"/>
              <w:jc w:val="center"/>
            </w:pPr>
            <w:r>
              <w:t>0.8</w:t>
            </w:r>
          </w:p>
        </w:tc>
        <w:tc>
          <w:tcPr>
            <w:tcW w:w="593" w:type="dxa"/>
            <w:tcBorders>
              <w:top w:val="nil"/>
              <w:left w:val="nil"/>
              <w:bottom w:val="nil"/>
              <w:right w:val="nil"/>
            </w:tcBorders>
          </w:tcPr>
          <w:p w14:paraId="247E664D" w14:textId="77777777" w:rsidR="008E4EBD" w:rsidRDefault="00483AC6">
            <w:pPr>
              <w:pStyle w:val="Compact"/>
              <w:jc w:val="center"/>
            </w:pPr>
            <w:r>
              <w:t>0.0</w:t>
            </w:r>
          </w:p>
        </w:tc>
        <w:tc>
          <w:tcPr>
            <w:tcW w:w="1781" w:type="dxa"/>
            <w:tcBorders>
              <w:top w:val="nil"/>
              <w:left w:val="nil"/>
              <w:bottom w:val="nil"/>
              <w:right w:val="nil"/>
            </w:tcBorders>
          </w:tcPr>
          <w:p w14:paraId="247E664E" w14:textId="77777777" w:rsidR="008E4EBD" w:rsidRDefault="00483AC6">
            <w:pPr>
              <w:pStyle w:val="Compact"/>
              <w:jc w:val="center"/>
            </w:pPr>
            <w:r>
              <w:t>1.031 (0.015)</w:t>
            </w:r>
          </w:p>
        </w:tc>
        <w:tc>
          <w:tcPr>
            <w:tcW w:w="1543" w:type="dxa"/>
            <w:tcBorders>
              <w:top w:val="nil"/>
              <w:left w:val="nil"/>
              <w:bottom w:val="nil"/>
              <w:right w:val="nil"/>
            </w:tcBorders>
          </w:tcPr>
          <w:p w14:paraId="247E664F" w14:textId="77777777" w:rsidR="008E4EBD" w:rsidRDefault="00483AC6">
            <w:pPr>
              <w:pStyle w:val="Compact"/>
              <w:jc w:val="center"/>
            </w:pPr>
            <w:r>
              <w:t>0.636 (0.009)</w:t>
            </w:r>
          </w:p>
        </w:tc>
        <w:tc>
          <w:tcPr>
            <w:tcW w:w="1543" w:type="dxa"/>
            <w:tcBorders>
              <w:top w:val="nil"/>
              <w:left w:val="nil"/>
              <w:bottom w:val="nil"/>
              <w:right w:val="nil"/>
            </w:tcBorders>
          </w:tcPr>
          <w:p w14:paraId="247E6650" w14:textId="77777777" w:rsidR="008E4EBD" w:rsidRDefault="00483AC6">
            <w:pPr>
              <w:pStyle w:val="Compact"/>
              <w:jc w:val="center"/>
            </w:pPr>
            <w:r>
              <w:t>0.636 (0.009)</w:t>
            </w:r>
          </w:p>
        </w:tc>
        <w:tc>
          <w:tcPr>
            <w:tcW w:w="1543" w:type="dxa"/>
            <w:tcBorders>
              <w:top w:val="nil"/>
              <w:left w:val="nil"/>
              <w:bottom w:val="nil"/>
              <w:right w:val="nil"/>
            </w:tcBorders>
          </w:tcPr>
          <w:p w14:paraId="247E6651" w14:textId="77777777" w:rsidR="008E4EBD" w:rsidRDefault="00483AC6">
            <w:pPr>
              <w:pStyle w:val="Compact"/>
              <w:jc w:val="center"/>
            </w:pPr>
            <w:r>
              <w:t>0.611 (0.009)</w:t>
            </w:r>
          </w:p>
        </w:tc>
        <w:tc>
          <w:tcPr>
            <w:tcW w:w="1430" w:type="dxa"/>
            <w:tcBorders>
              <w:top w:val="nil"/>
              <w:left w:val="nil"/>
              <w:bottom w:val="nil"/>
              <w:right w:val="nil"/>
            </w:tcBorders>
          </w:tcPr>
          <w:p w14:paraId="247E6652" w14:textId="77777777" w:rsidR="008E4EBD" w:rsidRDefault="00483AC6">
            <w:pPr>
              <w:pStyle w:val="Compact"/>
              <w:jc w:val="center"/>
            </w:pPr>
            <w:r>
              <w:t>0.613</w:t>
            </w:r>
          </w:p>
        </w:tc>
      </w:tr>
      <w:tr w:rsidR="008E4EBD" w14:paraId="247E665B" w14:textId="77777777">
        <w:tc>
          <w:tcPr>
            <w:tcW w:w="593" w:type="dxa"/>
            <w:tcBorders>
              <w:top w:val="nil"/>
              <w:left w:val="nil"/>
              <w:bottom w:val="nil"/>
              <w:right w:val="nil"/>
            </w:tcBorders>
          </w:tcPr>
          <w:p w14:paraId="247E6654" w14:textId="77777777" w:rsidR="008E4EBD" w:rsidRDefault="00483AC6">
            <w:pPr>
              <w:pStyle w:val="Compact"/>
              <w:jc w:val="center"/>
            </w:pPr>
            <w:r>
              <w:t>0.4</w:t>
            </w:r>
          </w:p>
        </w:tc>
        <w:tc>
          <w:tcPr>
            <w:tcW w:w="593" w:type="dxa"/>
            <w:tcBorders>
              <w:top w:val="nil"/>
              <w:left w:val="nil"/>
              <w:bottom w:val="nil"/>
              <w:right w:val="nil"/>
            </w:tcBorders>
          </w:tcPr>
          <w:p w14:paraId="247E6655" w14:textId="77777777" w:rsidR="008E4EBD" w:rsidRDefault="00483AC6">
            <w:pPr>
              <w:pStyle w:val="Compact"/>
              <w:jc w:val="center"/>
            </w:pPr>
            <w:r>
              <w:t>0.4</w:t>
            </w:r>
          </w:p>
        </w:tc>
        <w:tc>
          <w:tcPr>
            <w:tcW w:w="1781" w:type="dxa"/>
            <w:tcBorders>
              <w:top w:val="nil"/>
              <w:left w:val="nil"/>
              <w:bottom w:val="nil"/>
              <w:right w:val="nil"/>
            </w:tcBorders>
          </w:tcPr>
          <w:p w14:paraId="247E6656" w14:textId="77777777" w:rsidR="008E4EBD" w:rsidRDefault="00483AC6">
            <w:pPr>
              <w:pStyle w:val="Compact"/>
              <w:jc w:val="center"/>
            </w:pPr>
            <w:r>
              <w:t>1.017 (0.015)</w:t>
            </w:r>
          </w:p>
        </w:tc>
        <w:tc>
          <w:tcPr>
            <w:tcW w:w="1543" w:type="dxa"/>
            <w:tcBorders>
              <w:top w:val="nil"/>
              <w:left w:val="nil"/>
              <w:bottom w:val="nil"/>
              <w:right w:val="nil"/>
            </w:tcBorders>
          </w:tcPr>
          <w:p w14:paraId="247E6657" w14:textId="77777777" w:rsidR="008E4EBD" w:rsidRDefault="00483AC6">
            <w:pPr>
              <w:pStyle w:val="Compact"/>
              <w:jc w:val="center"/>
            </w:pPr>
            <w:r>
              <w:t>1.010 (0.015)</w:t>
            </w:r>
          </w:p>
        </w:tc>
        <w:tc>
          <w:tcPr>
            <w:tcW w:w="1543" w:type="dxa"/>
            <w:tcBorders>
              <w:top w:val="nil"/>
              <w:left w:val="nil"/>
              <w:bottom w:val="nil"/>
              <w:right w:val="nil"/>
            </w:tcBorders>
          </w:tcPr>
          <w:p w14:paraId="247E6658" w14:textId="77777777" w:rsidR="008E4EBD" w:rsidRDefault="00483AC6">
            <w:pPr>
              <w:pStyle w:val="Compact"/>
              <w:jc w:val="center"/>
            </w:pPr>
            <w:r>
              <w:t>0.947 (0.014)</w:t>
            </w:r>
          </w:p>
        </w:tc>
        <w:tc>
          <w:tcPr>
            <w:tcW w:w="1543" w:type="dxa"/>
            <w:tcBorders>
              <w:top w:val="nil"/>
              <w:left w:val="nil"/>
              <w:bottom w:val="nil"/>
              <w:right w:val="nil"/>
            </w:tcBorders>
          </w:tcPr>
          <w:p w14:paraId="247E6659" w14:textId="77777777" w:rsidR="008E4EBD" w:rsidRDefault="00483AC6">
            <w:pPr>
              <w:pStyle w:val="Compact"/>
              <w:jc w:val="center"/>
            </w:pPr>
            <w:r>
              <w:t>0.914 (0.013)</w:t>
            </w:r>
          </w:p>
        </w:tc>
        <w:tc>
          <w:tcPr>
            <w:tcW w:w="1430" w:type="dxa"/>
            <w:tcBorders>
              <w:top w:val="nil"/>
              <w:left w:val="nil"/>
              <w:bottom w:val="nil"/>
              <w:right w:val="nil"/>
            </w:tcBorders>
          </w:tcPr>
          <w:p w14:paraId="247E665A" w14:textId="77777777" w:rsidR="008E4EBD" w:rsidRDefault="00483AC6">
            <w:pPr>
              <w:pStyle w:val="Compact"/>
              <w:jc w:val="center"/>
            </w:pPr>
            <w:r>
              <w:t>0.919</w:t>
            </w:r>
          </w:p>
        </w:tc>
      </w:tr>
      <w:tr w:rsidR="008E4EBD" w14:paraId="247E6663" w14:textId="77777777">
        <w:tc>
          <w:tcPr>
            <w:tcW w:w="593" w:type="dxa"/>
            <w:tcBorders>
              <w:top w:val="nil"/>
              <w:left w:val="nil"/>
              <w:bottom w:val="nil"/>
              <w:right w:val="nil"/>
            </w:tcBorders>
          </w:tcPr>
          <w:p w14:paraId="247E665C" w14:textId="77777777" w:rsidR="008E4EBD" w:rsidRDefault="00483AC6">
            <w:pPr>
              <w:pStyle w:val="Compact"/>
              <w:jc w:val="center"/>
            </w:pPr>
            <w:r>
              <w:t>0.4</w:t>
            </w:r>
          </w:p>
        </w:tc>
        <w:tc>
          <w:tcPr>
            <w:tcW w:w="593" w:type="dxa"/>
            <w:tcBorders>
              <w:top w:val="nil"/>
              <w:left w:val="nil"/>
              <w:bottom w:val="nil"/>
              <w:right w:val="nil"/>
            </w:tcBorders>
          </w:tcPr>
          <w:p w14:paraId="247E665D" w14:textId="77777777" w:rsidR="008E4EBD" w:rsidRDefault="00483AC6">
            <w:pPr>
              <w:pStyle w:val="Compact"/>
              <w:jc w:val="center"/>
            </w:pPr>
            <w:r>
              <w:t>0.8</w:t>
            </w:r>
          </w:p>
        </w:tc>
        <w:tc>
          <w:tcPr>
            <w:tcW w:w="1781" w:type="dxa"/>
            <w:tcBorders>
              <w:top w:val="nil"/>
              <w:left w:val="nil"/>
              <w:bottom w:val="nil"/>
              <w:right w:val="nil"/>
            </w:tcBorders>
          </w:tcPr>
          <w:p w14:paraId="247E665E" w14:textId="77777777" w:rsidR="008E4EBD" w:rsidRDefault="00483AC6">
            <w:pPr>
              <w:pStyle w:val="Compact"/>
              <w:jc w:val="center"/>
            </w:pPr>
            <w:r>
              <w:t>1.020 (0.015)</w:t>
            </w:r>
          </w:p>
        </w:tc>
        <w:tc>
          <w:tcPr>
            <w:tcW w:w="1543" w:type="dxa"/>
            <w:tcBorders>
              <w:top w:val="nil"/>
              <w:left w:val="nil"/>
              <w:bottom w:val="nil"/>
              <w:right w:val="nil"/>
            </w:tcBorders>
          </w:tcPr>
          <w:p w14:paraId="247E665F" w14:textId="77777777" w:rsidR="008E4EBD" w:rsidRDefault="00483AC6">
            <w:pPr>
              <w:pStyle w:val="Compact"/>
              <w:jc w:val="center"/>
            </w:pPr>
            <w:r>
              <w:t>1.253 (0.018)</w:t>
            </w:r>
          </w:p>
        </w:tc>
        <w:tc>
          <w:tcPr>
            <w:tcW w:w="1543" w:type="dxa"/>
            <w:tcBorders>
              <w:top w:val="nil"/>
              <w:left w:val="nil"/>
              <w:bottom w:val="nil"/>
              <w:right w:val="nil"/>
            </w:tcBorders>
          </w:tcPr>
          <w:p w14:paraId="247E6660" w14:textId="77777777" w:rsidR="008E4EBD" w:rsidRDefault="00483AC6">
            <w:pPr>
              <w:pStyle w:val="Compact"/>
              <w:jc w:val="center"/>
            </w:pPr>
            <w:r>
              <w:t>0.946 (0.014)</w:t>
            </w:r>
          </w:p>
        </w:tc>
        <w:tc>
          <w:tcPr>
            <w:tcW w:w="1543" w:type="dxa"/>
            <w:tcBorders>
              <w:top w:val="nil"/>
              <w:left w:val="nil"/>
              <w:bottom w:val="nil"/>
              <w:right w:val="nil"/>
            </w:tcBorders>
          </w:tcPr>
          <w:p w14:paraId="247E6661" w14:textId="77777777" w:rsidR="008E4EBD" w:rsidRDefault="00483AC6">
            <w:pPr>
              <w:pStyle w:val="Compact"/>
              <w:jc w:val="center"/>
            </w:pPr>
            <w:r>
              <w:t>0.911 (0.013)</w:t>
            </w:r>
          </w:p>
        </w:tc>
        <w:tc>
          <w:tcPr>
            <w:tcW w:w="1430" w:type="dxa"/>
            <w:tcBorders>
              <w:top w:val="nil"/>
              <w:left w:val="nil"/>
              <w:bottom w:val="nil"/>
              <w:right w:val="nil"/>
            </w:tcBorders>
          </w:tcPr>
          <w:p w14:paraId="247E6662" w14:textId="77777777" w:rsidR="008E4EBD" w:rsidRDefault="00483AC6">
            <w:pPr>
              <w:pStyle w:val="Compact"/>
              <w:jc w:val="center"/>
            </w:pPr>
            <w:r>
              <w:t>0.914</w:t>
            </w:r>
          </w:p>
        </w:tc>
      </w:tr>
      <w:tr w:rsidR="008E4EBD" w14:paraId="247E666B" w14:textId="77777777">
        <w:tc>
          <w:tcPr>
            <w:tcW w:w="593" w:type="dxa"/>
            <w:tcBorders>
              <w:top w:val="nil"/>
              <w:left w:val="nil"/>
              <w:bottom w:val="nil"/>
              <w:right w:val="nil"/>
            </w:tcBorders>
          </w:tcPr>
          <w:p w14:paraId="247E6664" w14:textId="77777777" w:rsidR="008E4EBD" w:rsidRDefault="00483AC6">
            <w:pPr>
              <w:pStyle w:val="Compact"/>
              <w:jc w:val="center"/>
            </w:pPr>
            <w:r>
              <w:t>0.8</w:t>
            </w:r>
          </w:p>
        </w:tc>
        <w:tc>
          <w:tcPr>
            <w:tcW w:w="593" w:type="dxa"/>
            <w:tcBorders>
              <w:top w:val="nil"/>
              <w:left w:val="nil"/>
              <w:bottom w:val="nil"/>
              <w:right w:val="nil"/>
            </w:tcBorders>
          </w:tcPr>
          <w:p w14:paraId="247E6665" w14:textId="77777777" w:rsidR="008E4EBD" w:rsidRDefault="00483AC6">
            <w:pPr>
              <w:pStyle w:val="Compact"/>
              <w:jc w:val="center"/>
            </w:pPr>
            <w:r>
              <w:t>0.4</w:t>
            </w:r>
          </w:p>
        </w:tc>
        <w:tc>
          <w:tcPr>
            <w:tcW w:w="1781" w:type="dxa"/>
            <w:tcBorders>
              <w:top w:val="nil"/>
              <w:left w:val="nil"/>
              <w:bottom w:val="nil"/>
              <w:right w:val="nil"/>
            </w:tcBorders>
          </w:tcPr>
          <w:p w14:paraId="247E6666" w14:textId="77777777" w:rsidR="008E4EBD" w:rsidRDefault="00483AC6">
            <w:pPr>
              <w:pStyle w:val="Compact"/>
              <w:jc w:val="center"/>
            </w:pPr>
            <w:r>
              <w:t>1.033 (0.015)</w:t>
            </w:r>
          </w:p>
        </w:tc>
        <w:tc>
          <w:tcPr>
            <w:tcW w:w="1543" w:type="dxa"/>
            <w:tcBorders>
              <w:top w:val="nil"/>
              <w:left w:val="nil"/>
              <w:bottom w:val="nil"/>
              <w:right w:val="nil"/>
            </w:tcBorders>
          </w:tcPr>
          <w:p w14:paraId="247E6667" w14:textId="77777777" w:rsidR="008E4EBD" w:rsidRDefault="00483AC6">
            <w:pPr>
              <w:pStyle w:val="Compact"/>
              <w:jc w:val="center"/>
            </w:pPr>
            <w:r>
              <w:t>0.725 (0.011)</w:t>
            </w:r>
          </w:p>
        </w:tc>
        <w:tc>
          <w:tcPr>
            <w:tcW w:w="1543" w:type="dxa"/>
            <w:tcBorders>
              <w:top w:val="nil"/>
              <w:left w:val="nil"/>
              <w:bottom w:val="nil"/>
              <w:right w:val="nil"/>
            </w:tcBorders>
          </w:tcPr>
          <w:p w14:paraId="247E6668" w14:textId="77777777" w:rsidR="008E4EBD" w:rsidRDefault="00483AC6">
            <w:pPr>
              <w:pStyle w:val="Compact"/>
              <w:jc w:val="center"/>
            </w:pPr>
            <w:r>
              <w:t>0.678 (0.010)</w:t>
            </w:r>
          </w:p>
        </w:tc>
        <w:tc>
          <w:tcPr>
            <w:tcW w:w="1543" w:type="dxa"/>
            <w:tcBorders>
              <w:top w:val="nil"/>
              <w:left w:val="nil"/>
              <w:bottom w:val="nil"/>
              <w:right w:val="nil"/>
            </w:tcBorders>
          </w:tcPr>
          <w:p w14:paraId="247E6669" w14:textId="77777777" w:rsidR="008E4EBD" w:rsidRDefault="00483AC6">
            <w:pPr>
              <w:pStyle w:val="Compact"/>
              <w:jc w:val="center"/>
            </w:pPr>
            <w:r>
              <w:t>0.652 (0.010)</w:t>
            </w:r>
          </w:p>
        </w:tc>
        <w:tc>
          <w:tcPr>
            <w:tcW w:w="1430" w:type="dxa"/>
            <w:tcBorders>
              <w:top w:val="nil"/>
              <w:left w:val="nil"/>
              <w:bottom w:val="nil"/>
              <w:right w:val="nil"/>
            </w:tcBorders>
          </w:tcPr>
          <w:p w14:paraId="247E666A" w14:textId="77777777" w:rsidR="008E4EBD" w:rsidRDefault="00483AC6">
            <w:pPr>
              <w:pStyle w:val="Compact"/>
              <w:jc w:val="center"/>
            </w:pPr>
            <w:r>
              <w:t>0.652</w:t>
            </w:r>
          </w:p>
        </w:tc>
      </w:tr>
      <w:tr w:rsidR="008E4EBD" w14:paraId="247E6673" w14:textId="77777777">
        <w:tc>
          <w:tcPr>
            <w:tcW w:w="593" w:type="dxa"/>
            <w:tcBorders>
              <w:top w:val="nil"/>
              <w:left w:val="nil"/>
              <w:bottom w:val="single" w:sz="12" w:space="0" w:color="auto"/>
              <w:right w:val="nil"/>
            </w:tcBorders>
          </w:tcPr>
          <w:p w14:paraId="247E666C" w14:textId="77777777" w:rsidR="008E4EBD" w:rsidRDefault="00483AC6">
            <w:pPr>
              <w:pStyle w:val="Compact"/>
              <w:jc w:val="center"/>
            </w:pPr>
            <w:r>
              <w:t>0.8</w:t>
            </w:r>
          </w:p>
        </w:tc>
        <w:tc>
          <w:tcPr>
            <w:tcW w:w="593" w:type="dxa"/>
            <w:tcBorders>
              <w:top w:val="nil"/>
              <w:left w:val="nil"/>
              <w:bottom w:val="single" w:sz="12" w:space="0" w:color="auto"/>
              <w:right w:val="nil"/>
            </w:tcBorders>
          </w:tcPr>
          <w:p w14:paraId="247E666D" w14:textId="77777777" w:rsidR="008E4EBD" w:rsidRDefault="00483AC6">
            <w:pPr>
              <w:pStyle w:val="Compact"/>
              <w:jc w:val="center"/>
            </w:pPr>
            <w:r>
              <w:t>0.8</w:t>
            </w:r>
          </w:p>
        </w:tc>
        <w:tc>
          <w:tcPr>
            <w:tcW w:w="1781" w:type="dxa"/>
            <w:tcBorders>
              <w:top w:val="nil"/>
              <w:left w:val="nil"/>
              <w:bottom w:val="single" w:sz="12" w:space="0" w:color="auto"/>
              <w:right w:val="nil"/>
            </w:tcBorders>
          </w:tcPr>
          <w:p w14:paraId="247E666E" w14:textId="77777777" w:rsidR="008E4EBD" w:rsidRDefault="00483AC6">
            <w:pPr>
              <w:pStyle w:val="Compact"/>
              <w:jc w:val="center"/>
            </w:pPr>
            <w:r>
              <w:t>1.036 (0.015)</w:t>
            </w:r>
          </w:p>
        </w:tc>
        <w:tc>
          <w:tcPr>
            <w:tcW w:w="1543" w:type="dxa"/>
            <w:tcBorders>
              <w:top w:val="nil"/>
              <w:left w:val="nil"/>
              <w:bottom w:val="single" w:sz="12" w:space="0" w:color="auto"/>
              <w:right w:val="nil"/>
            </w:tcBorders>
          </w:tcPr>
          <w:p w14:paraId="247E666F" w14:textId="77777777" w:rsidR="008E4EBD" w:rsidRDefault="00483AC6">
            <w:pPr>
              <w:pStyle w:val="Compact"/>
              <w:jc w:val="center"/>
            </w:pPr>
            <w:r>
              <w:t>0.880 (0.013)</w:t>
            </w:r>
          </w:p>
        </w:tc>
        <w:tc>
          <w:tcPr>
            <w:tcW w:w="1543" w:type="dxa"/>
            <w:tcBorders>
              <w:top w:val="nil"/>
              <w:left w:val="nil"/>
              <w:bottom w:val="single" w:sz="12" w:space="0" w:color="auto"/>
              <w:right w:val="nil"/>
            </w:tcBorders>
          </w:tcPr>
          <w:p w14:paraId="247E6670" w14:textId="77777777" w:rsidR="008E4EBD" w:rsidRDefault="00483AC6">
            <w:pPr>
              <w:pStyle w:val="Compact"/>
              <w:jc w:val="center"/>
            </w:pPr>
            <w:r>
              <w:t>0.698 (0.010)</w:t>
            </w:r>
          </w:p>
        </w:tc>
        <w:tc>
          <w:tcPr>
            <w:tcW w:w="1543" w:type="dxa"/>
            <w:tcBorders>
              <w:top w:val="nil"/>
              <w:left w:val="nil"/>
              <w:bottom w:val="single" w:sz="12" w:space="0" w:color="auto"/>
              <w:right w:val="nil"/>
            </w:tcBorders>
          </w:tcPr>
          <w:p w14:paraId="247E6671" w14:textId="77777777" w:rsidR="008E4EBD" w:rsidRDefault="00483AC6">
            <w:pPr>
              <w:pStyle w:val="Compact"/>
              <w:jc w:val="center"/>
            </w:pPr>
            <w:r>
              <w:t>0.671 (0.010)</w:t>
            </w:r>
          </w:p>
        </w:tc>
        <w:tc>
          <w:tcPr>
            <w:tcW w:w="1430" w:type="dxa"/>
            <w:tcBorders>
              <w:top w:val="nil"/>
              <w:left w:val="nil"/>
              <w:bottom w:val="single" w:sz="12" w:space="0" w:color="auto"/>
              <w:right w:val="nil"/>
            </w:tcBorders>
          </w:tcPr>
          <w:p w14:paraId="247E6672" w14:textId="77777777" w:rsidR="008E4EBD" w:rsidRDefault="00483AC6">
            <w:pPr>
              <w:pStyle w:val="Compact"/>
              <w:jc w:val="center"/>
            </w:pPr>
            <w:r>
              <w:t>0.671</w:t>
            </w:r>
          </w:p>
        </w:tc>
      </w:tr>
    </w:tbl>
    <w:p w14:paraId="247E6674" w14:textId="57A27803" w:rsidR="008E4EBD" w:rsidRDefault="00483AC6">
      <w:pPr>
        <w:pStyle w:val="BodyText"/>
      </w:pPr>
      <w:r>
        <w:t xml:space="preserve">Table A.3 summarizes the </w:t>
      </w:r>
      <w:r w:rsidR="00B3142B">
        <w:t>maximum-likelihood estimates of the covariance parameters for</w:t>
      </w:r>
      <w:r>
        <w:t xml:space="preserve"> the two MFH working models. Under the correct working model (MFH-full), both </w:t>
      </w:r>
      <m:oMath>
        <m:acc>
          <m:accPr>
            <m:ctrlPr>
              <w:rPr>
                <w:rFonts w:ascii="Cambria Math" w:hAnsi="Cambria Math"/>
              </w:rPr>
            </m:ctrlPr>
          </m:accPr>
          <m:e>
            <m:r>
              <w:rPr>
                <w:rFonts w:ascii="Cambria Math" w:hAnsi="Cambria Math"/>
              </w:rPr>
              <m:t>A</m:t>
            </m:r>
          </m:e>
        </m:acc>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are nearly unbiased in </w:t>
      </w:r>
      <w:r>
        <w:lastRenderedPageBreak/>
        <w:t xml:space="preserve">every scenario. Under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working model the estimates converge to the values that make the wrong model fit the data best, not to the true parameters: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absorbs the sampling-error autocorrelation (e.g., a mean of 0.732 when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and in the most severe scenario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piles up at the boundary near 1 while </w:t>
      </w:r>
      <m:oMath>
        <m:acc>
          <m:accPr>
            <m:ctrlPr>
              <w:rPr>
                <w:rFonts w:ascii="Cambria Math" w:hAnsi="Cambria Math"/>
              </w:rPr>
            </m:ctrlPr>
          </m:accPr>
          <m:e>
            <m:r>
              <w:rPr>
                <w:rFonts w:ascii="Cambria Math" w:hAnsi="Cambria Math"/>
              </w:rPr>
              <m:t>A</m:t>
            </m:r>
          </m:e>
        </m:acc>
      </m:oMath>
      <w:r>
        <w:t xml:space="preserve"> is inflated to 1.256. These are not estimation failures; they are the maximum likelihood estimator faithfully fitting the wrong model, which is precisely why the resulting predictor fails to converge to the true BLUP.</w:t>
      </w:r>
    </w:p>
    <w:p w14:paraId="247E6675" w14:textId="77777777" w:rsidR="008E4EBD" w:rsidRDefault="00483AC6">
      <w:pPr>
        <w:pStyle w:val="BodyText"/>
      </w:pPr>
      <w:r>
        <w:t>Table A.3—Maximum Likelihood Estimates of the Covariance Parameters (Means and Standard Deviations over 500 Replications)</w:t>
      </w:r>
    </w:p>
    <w:tbl>
      <w:tblPr>
        <w:tblStyle w:val="Table"/>
        <w:tblW w:w="9026" w:type="dxa"/>
        <w:tblLayout w:type="fixed"/>
        <w:tblLook w:val="07E0" w:firstRow="1" w:lastRow="1" w:firstColumn="1" w:lastColumn="1" w:noHBand="1" w:noVBand="1"/>
      </w:tblPr>
      <w:tblGrid>
        <w:gridCol w:w="716"/>
        <w:gridCol w:w="716"/>
        <w:gridCol w:w="1862"/>
        <w:gridCol w:w="1862"/>
        <w:gridCol w:w="1862"/>
        <w:gridCol w:w="2008"/>
      </w:tblGrid>
      <w:tr w:rsidR="008E4EBD" w14:paraId="247E667C" w14:textId="77777777">
        <w:tc>
          <w:tcPr>
            <w:tcW w:w="716" w:type="dxa"/>
            <w:tcBorders>
              <w:top w:val="single" w:sz="12" w:space="0" w:color="auto"/>
              <w:left w:val="nil"/>
              <w:bottom w:val="single" w:sz="4" w:space="0" w:color="auto"/>
              <w:right w:val="nil"/>
            </w:tcBorders>
            <w:vAlign w:val="bottom"/>
          </w:tcPr>
          <w:p w14:paraId="247E667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16" w:type="dxa"/>
            <w:tcBorders>
              <w:top w:val="single" w:sz="12" w:space="0" w:color="auto"/>
              <w:left w:val="nil"/>
              <w:bottom w:val="single" w:sz="4" w:space="0" w:color="auto"/>
              <w:right w:val="nil"/>
            </w:tcBorders>
            <w:vAlign w:val="bottom"/>
          </w:tcPr>
          <w:p w14:paraId="247E6677"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862" w:type="dxa"/>
            <w:tcBorders>
              <w:top w:val="single" w:sz="12" w:space="0" w:color="auto"/>
              <w:left w:val="nil"/>
              <w:bottom w:val="single" w:sz="4" w:space="0" w:color="auto"/>
              <w:right w:val="nil"/>
            </w:tcBorders>
            <w:vAlign w:val="bottom"/>
          </w:tcPr>
          <w:p w14:paraId="247E6678" w14:textId="77777777" w:rsidR="008E4EBD" w:rsidRDefault="00483AC6">
            <w:pPr>
              <w:pStyle w:val="Compact"/>
              <w:jc w:val="center"/>
            </w:pPr>
            <w:r>
              <w:rPr>
                <w:b/>
                <w:bCs/>
              </w:rPr>
              <w:t xml:space="preserve"> </w:t>
            </w:r>
            <m:oMath>
              <m:acc>
                <m:accPr>
                  <m:ctrlPr>
                    <w:rPr>
                      <w:rFonts w:ascii="Cambria Math" w:hAnsi="Cambria Math"/>
                    </w:rPr>
                  </m:ctrlPr>
                </m:accPr>
                <m:e>
                  <m:r>
                    <w:rPr>
                      <w:rFonts w:ascii="Cambria Math" w:hAnsi="Cambria Math"/>
                    </w:rPr>
                    <m:t>A</m:t>
                  </m:r>
                </m:e>
              </m:acc>
            </m:oMath>
            <w:r>
              <w:rPr>
                <w:b/>
                <w:bCs/>
              </w:rPr>
              <w:t xml:space="preserve"> (diag)</w:t>
            </w:r>
          </w:p>
        </w:tc>
        <w:tc>
          <w:tcPr>
            <w:tcW w:w="1862" w:type="dxa"/>
            <w:tcBorders>
              <w:top w:val="single" w:sz="12" w:space="0" w:color="auto"/>
              <w:left w:val="nil"/>
              <w:bottom w:val="single" w:sz="4" w:space="0" w:color="auto"/>
              <w:right w:val="nil"/>
            </w:tcBorders>
            <w:vAlign w:val="bottom"/>
          </w:tcPr>
          <w:p w14:paraId="247E6679" w14:textId="77777777" w:rsidR="008E4EBD" w:rsidRDefault="00483AC6">
            <w:pPr>
              <w:pStyle w:val="Compact"/>
              <w:jc w:val="center"/>
            </w:pPr>
            <w:r>
              <w:rPr>
                <w:b/>
                <w:bC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rPr>
                <w:b/>
                <w:bCs/>
              </w:rPr>
              <w:t xml:space="preserve"> (diag)</w:t>
            </w:r>
          </w:p>
        </w:tc>
        <w:tc>
          <w:tcPr>
            <w:tcW w:w="1862" w:type="dxa"/>
            <w:tcBorders>
              <w:top w:val="single" w:sz="12" w:space="0" w:color="auto"/>
              <w:left w:val="nil"/>
              <w:bottom w:val="single" w:sz="4" w:space="0" w:color="auto"/>
              <w:right w:val="nil"/>
            </w:tcBorders>
            <w:vAlign w:val="bottom"/>
          </w:tcPr>
          <w:p w14:paraId="247E667A" w14:textId="77777777" w:rsidR="008E4EBD" w:rsidRDefault="00483AC6">
            <w:pPr>
              <w:pStyle w:val="Compact"/>
              <w:jc w:val="center"/>
            </w:pPr>
            <w:r>
              <w:rPr>
                <w:b/>
                <w:bCs/>
              </w:rPr>
              <w:t xml:space="preserve"> </w:t>
            </w:r>
            <m:oMath>
              <m:acc>
                <m:accPr>
                  <m:ctrlPr>
                    <w:rPr>
                      <w:rFonts w:ascii="Cambria Math" w:hAnsi="Cambria Math"/>
                    </w:rPr>
                  </m:ctrlPr>
                </m:accPr>
                <m:e>
                  <m:r>
                    <w:rPr>
                      <w:rFonts w:ascii="Cambria Math" w:hAnsi="Cambria Math"/>
                    </w:rPr>
                    <m:t>A</m:t>
                  </m:r>
                </m:e>
              </m:acc>
            </m:oMath>
            <w:r>
              <w:rPr>
                <w:b/>
                <w:bCs/>
              </w:rPr>
              <w:t xml:space="preserve"> (full)</w:t>
            </w:r>
          </w:p>
        </w:tc>
        <w:tc>
          <w:tcPr>
            <w:tcW w:w="2008" w:type="dxa"/>
            <w:tcBorders>
              <w:top w:val="single" w:sz="12" w:space="0" w:color="auto"/>
              <w:left w:val="nil"/>
              <w:bottom w:val="single" w:sz="4" w:space="0" w:color="auto"/>
              <w:right w:val="nil"/>
            </w:tcBorders>
            <w:vAlign w:val="bottom"/>
          </w:tcPr>
          <w:p w14:paraId="247E667B" w14:textId="77777777" w:rsidR="008E4EBD" w:rsidRDefault="00483AC6">
            <w:pPr>
              <w:pStyle w:val="Compact"/>
              <w:jc w:val="center"/>
            </w:pPr>
            <w:r>
              <w:rPr>
                <w:b/>
                <w:bC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rPr>
                <w:b/>
                <w:bCs/>
              </w:rPr>
              <w:t xml:space="preserve"> (full)</w:t>
            </w:r>
          </w:p>
        </w:tc>
      </w:tr>
      <w:tr w:rsidR="008E4EBD" w14:paraId="247E6683" w14:textId="77777777">
        <w:tc>
          <w:tcPr>
            <w:tcW w:w="716" w:type="dxa"/>
            <w:tcBorders>
              <w:top w:val="nil"/>
              <w:left w:val="nil"/>
              <w:bottom w:val="nil"/>
              <w:right w:val="nil"/>
            </w:tcBorders>
          </w:tcPr>
          <w:p w14:paraId="247E667D" w14:textId="77777777" w:rsidR="008E4EBD" w:rsidRDefault="00483AC6">
            <w:pPr>
              <w:pStyle w:val="Compact"/>
              <w:jc w:val="center"/>
            </w:pPr>
            <w:r>
              <w:t>0.0</w:t>
            </w:r>
          </w:p>
        </w:tc>
        <w:tc>
          <w:tcPr>
            <w:tcW w:w="716" w:type="dxa"/>
            <w:tcBorders>
              <w:top w:val="nil"/>
              <w:left w:val="nil"/>
              <w:bottom w:val="nil"/>
              <w:right w:val="nil"/>
            </w:tcBorders>
          </w:tcPr>
          <w:p w14:paraId="247E667E" w14:textId="77777777" w:rsidR="008E4EBD" w:rsidRDefault="00483AC6">
            <w:pPr>
              <w:pStyle w:val="Compact"/>
              <w:jc w:val="center"/>
            </w:pPr>
            <w:r>
              <w:t>0.0</w:t>
            </w:r>
          </w:p>
        </w:tc>
        <w:tc>
          <w:tcPr>
            <w:tcW w:w="1862" w:type="dxa"/>
            <w:tcBorders>
              <w:top w:val="nil"/>
              <w:left w:val="nil"/>
              <w:bottom w:val="nil"/>
              <w:right w:val="nil"/>
            </w:tcBorders>
          </w:tcPr>
          <w:p w14:paraId="247E667F" w14:textId="77777777" w:rsidR="008E4EBD" w:rsidRDefault="00483AC6">
            <w:pPr>
              <w:pStyle w:val="Compact"/>
              <w:jc w:val="center"/>
            </w:pPr>
            <w:r>
              <w:t>0.989 (0.175)</w:t>
            </w:r>
          </w:p>
        </w:tc>
        <w:tc>
          <w:tcPr>
            <w:tcW w:w="1862" w:type="dxa"/>
            <w:tcBorders>
              <w:top w:val="nil"/>
              <w:left w:val="nil"/>
              <w:bottom w:val="nil"/>
              <w:right w:val="nil"/>
            </w:tcBorders>
          </w:tcPr>
          <w:p w14:paraId="247E6680" w14:textId="77777777" w:rsidR="008E4EBD" w:rsidRDefault="00483AC6">
            <w:pPr>
              <w:pStyle w:val="Compact"/>
              <w:jc w:val="center"/>
            </w:pPr>
            <w:r>
              <w:t>0.002 (0.155)</w:t>
            </w:r>
          </w:p>
        </w:tc>
        <w:tc>
          <w:tcPr>
            <w:tcW w:w="1862" w:type="dxa"/>
            <w:tcBorders>
              <w:top w:val="nil"/>
              <w:left w:val="nil"/>
              <w:bottom w:val="nil"/>
              <w:right w:val="nil"/>
            </w:tcBorders>
          </w:tcPr>
          <w:p w14:paraId="247E6681" w14:textId="77777777" w:rsidR="008E4EBD" w:rsidRDefault="00483AC6">
            <w:pPr>
              <w:pStyle w:val="Compact"/>
              <w:jc w:val="center"/>
            </w:pPr>
            <w:r>
              <w:t>0.989 (0.175)</w:t>
            </w:r>
          </w:p>
        </w:tc>
        <w:tc>
          <w:tcPr>
            <w:tcW w:w="2008" w:type="dxa"/>
            <w:tcBorders>
              <w:top w:val="nil"/>
              <w:left w:val="nil"/>
              <w:bottom w:val="nil"/>
              <w:right w:val="nil"/>
            </w:tcBorders>
          </w:tcPr>
          <w:p w14:paraId="247E6682" w14:textId="77777777" w:rsidR="008E4EBD" w:rsidRDefault="00483AC6">
            <w:pPr>
              <w:pStyle w:val="Compact"/>
              <w:jc w:val="center"/>
            </w:pPr>
            <w:r>
              <w:t>0.002 (0.155)</w:t>
            </w:r>
          </w:p>
        </w:tc>
      </w:tr>
      <w:tr w:rsidR="008E4EBD" w14:paraId="247E668A" w14:textId="77777777">
        <w:tc>
          <w:tcPr>
            <w:tcW w:w="716" w:type="dxa"/>
            <w:tcBorders>
              <w:top w:val="nil"/>
              <w:left w:val="nil"/>
              <w:bottom w:val="nil"/>
              <w:right w:val="nil"/>
            </w:tcBorders>
          </w:tcPr>
          <w:p w14:paraId="247E6684" w14:textId="77777777" w:rsidR="008E4EBD" w:rsidRDefault="00483AC6">
            <w:pPr>
              <w:pStyle w:val="Compact"/>
              <w:jc w:val="center"/>
            </w:pPr>
            <w:r>
              <w:t>0.0</w:t>
            </w:r>
          </w:p>
        </w:tc>
        <w:tc>
          <w:tcPr>
            <w:tcW w:w="716" w:type="dxa"/>
            <w:tcBorders>
              <w:top w:val="nil"/>
              <w:left w:val="nil"/>
              <w:bottom w:val="nil"/>
              <w:right w:val="nil"/>
            </w:tcBorders>
          </w:tcPr>
          <w:p w14:paraId="247E6685" w14:textId="77777777" w:rsidR="008E4EBD" w:rsidRDefault="00483AC6">
            <w:pPr>
              <w:pStyle w:val="Compact"/>
              <w:jc w:val="center"/>
            </w:pPr>
            <w:r>
              <w:t>0.4</w:t>
            </w:r>
          </w:p>
        </w:tc>
        <w:tc>
          <w:tcPr>
            <w:tcW w:w="1862" w:type="dxa"/>
            <w:tcBorders>
              <w:top w:val="nil"/>
              <w:left w:val="nil"/>
              <w:bottom w:val="nil"/>
              <w:right w:val="nil"/>
            </w:tcBorders>
          </w:tcPr>
          <w:p w14:paraId="247E6686" w14:textId="77777777" w:rsidR="008E4EBD" w:rsidRDefault="00483AC6">
            <w:pPr>
              <w:pStyle w:val="Compact"/>
              <w:jc w:val="center"/>
            </w:pPr>
            <w:r>
              <w:t>0.993 (0.178)</w:t>
            </w:r>
          </w:p>
        </w:tc>
        <w:tc>
          <w:tcPr>
            <w:tcW w:w="1862" w:type="dxa"/>
            <w:tcBorders>
              <w:top w:val="nil"/>
              <w:left w:val="nil"/>
              <w:bottom w:val="nil"/>
              <w:right w:val="nil"/>
            </w:tcBorders>
          </w:tcPr>
          <w:p w14:paraId="247E6687" w14:textId="77777777" w:rsidR="008E4EBD" w:rsidRDefault="00483AC6">
            <w:pPr>
              <w:pStyle w:val="Compact"/>
              <w:jc w:val="center"/>
            </w:pPr>
            <w:r>
              <w:t>0.366 (0.151)</w:t>
            </w:r>
          </w:p>
        </w:tc>
        <w:tc>
          <w:tcPr>
            <w:tcW w:w="1862" w:type="dxa"/>
            <w:tcBorders>
              <w:top w:val="nil"/>
              <w:left w:val="nil"/>
              <w:bottom w:val="nil"/>
              <w:right w:val="nil"/>
            </w:tcBorders>
          </w:tcPr>
          <w:p w14:paraId="247E6688" w14:textId="77777777" w:rsidR="008E4EBD" w:rsidRDefault="00483AC6">
            <w:pPr>
              <w:pStyle w:val="Compact"/>
              <w:jc w:val="center"/>
            </w:pPr>
            <w:r>
              <w:t>0.996 (0.176)</w:t>
            </w:r>
          </w:p>
        </w:tc>
        <w:tc>
          <w:tcPr>
            <w:tcW w:w="2008" w:type="dxa"/>
            <w:tcBorders>
              <w:top w:val="nil"/>
              <w:left w:val="nil"/>
              <w:bottom w:val="nil"/>
              <w:right w:val="nil"/>
            </w:tcBorders>
          </w:tcPr>
          <w:p w14:paraId="247E6689" w14:textId="77777777" w:rsidR="008E4EBD" w:rsidRDefault="00483AC6">
            <w:pPr>
              <w:pStyle w:val="Compact"/>
              <w:jc w:val="center"/>
            </w:pPr>
            <w:r>
              <w:t>-0.006 (0.154)</w:t>
            </w:r>
          </w:p>
        </w:tc>
      </w:tr>
      <w:tr w:rsidR="008E4EBD" w14:paraId="247E6691" w14:textId="77777777">
        <w:tc>
          <w:tcPr>
            <w:tcW w:w="716" w:type="dxa"/>
            <w:tcBorders>
              <w:top w:val="nil"/>
              <w:left w:val="nil"/>
              <w:bottom w:val="nil"/>
              <w:right w:val="nil"/>
            </w:tcBorders>
          </w:tcPr>
          <w:p w14:paraId="247E668B" w14:textId="77777777" w:rsidR="008E4EBD" w:rsidRDefault="00483AC6">
            <w:pPr>
              <w:pStyle w:val="Compact"/>
              <w:jc w:val="center"/>
            </w:pPr>
            <w:r>
              <w:t>0.0</w:t>
            </w:r>
          </w:p>
        </w:tc>
        <w:tc>
          <w:tcPr>
            <w:tcW w:w="716" w:type="dxa"/>
            <w:tcBorders>
              <w:top w:val="nil"/>
              <w:left w:val="nil"/>
              <w:bottom w:val="nil"/>
              <w:right w:val="nil"/>
            </w:tcBorders>
          </w:tcPr>
          <w:p w14:paraId="247E668C" w14:textId="77777777" w:rsidR="008E4EBD" w:rsidRDefault="00483AC6">
            <w:pPr>
              <w:pStyle w:val="Compact"/>
              <w:jc w:val="center"/>
            </w:pPr>
            <w:r>
              <w:t>0.8</w:t>
            </w:r>
          </w:p>
        </w:tc>
        <w:tc>
          <w:tcPr>
            <w:tcW w:w="1862" w:type="dxa"/>
            <w:tcBorders>
              <w:top w:val="nil"/>
              <w:left w:val="nil"/>
              <w:bottom w:val="nil"/>
              <w:right w:val="nil"/>
            </w:tcBorders>
          </w:tcPr>
          <w:p w14:paraId="247E668D" w14:textId="77777777" w:rsidR="008E4EBD" w:rsidRDefault="00483AC6">
            <w:pPr>
              <w:pStyle w:val="Compact"/>
              <w:jc w:val="center"/>
            </w:pPr>
            <w:r>
              <w:t>1.000 (0.196)</w:t>
            </w:r>
          </w:p>
        </w:tc>
        <w:tc>
          <w:tcPr>
            <w:tcW w:w="1862" w:type="dxa"/>
            <w:tcBorders>
              <w:top w:val="nil"/>
              <w:left w:val="nil"/>
              <w:bottom w:val="nil"/>
              <w:right w:val="nil"/>
            </w:tcBorders>
          </w:tcPr>
          <w:p w14:paraId="247E668E" w14:textId="77777777" w:rsidR="008E4EBD" w:rsidRDefault="00483AC6">
            <w:pPr>
              <w:pStyle w:val="Compact"/>
              <w:jc w:val="center"/>
            </w:pPr>
            <w:r>
              <w:t>0.732 (0.111)</w:t>
            </w:r>
          </w:p>
        </w:tc>
        <w:tc>
          <w:tcPr>
            <w:tcW w:w="1862" w:type="dxa"/>
            <w:tcBorders>
              <w:top w:val="nil"/>
              <w:left w:val="nil"/>
              <w:bottom w:val="nil"/>
              <w:right w:val="nil"/>
            </w:tcBorders>
          </w:tcPr>
          <w:p w14:paraId="247E668F" w14:textId="77777777" w:rsidR="008E4EBD" w:rsidRDefault="00483AC6">
            <w:pPr>
              <w:pStyle w:val="Compact"/>
              <w:jc w:val="center"/>
            </w:pPr>
            <w:r>
              <w:t>1.008 (0.165)</w:t>
            </w:r>
          </w:p>
        </w:tc>
        <w:tc>
          <w:tcPr>
            <w:tcW w:w="2008" w:type="dxa"/>
            <w:tcBorders>
              <w:top w:val="nil"/>
              <w:left w:val="nil"/>
              <w:bottom w:val="nil"/>
              <w:right w:val="nil"/>
            </w:tcBorders>
          </w:tcPr>
          <w:p w14:paraId="247E6690" w14:textId="77777777" w:rsidR="008E4EBD" w:rsidRDefault="00483AC6">
            <w:pPr>
              <w:pStyle w:val="Compact"/>
              <w:jc w:val="center"/>
            </w:pPr>
            <w:r>
              <w:t>-0.005 (0.151)</w:t>
            </w:r>
          </w:p>
        </w:tc>
      </w:tr>
      <w:tr w:rsidR="008E4EBD" w14:paraId="247E6698" w14:textId="77777777">
        <w:tc>
          <w:tcPr>
            <w:tcW w:w="716" w:type="dxa"/>
            <w:tcBorders>
              <w:top w:val="nil"/>
              <w:left w:val="nil"/>
              <w:bottom w:val="nil"/>
              <w:right w:val="nil"/>
            </w:tcBorders>
          </w:tcPr>
          <w:p w14:paraId="247E6692" w14:textId="77777777" w:rsidR="008E4EBD" w:rsidRDefault="00483AC6">
            <w:pPr>
              <w:pStyle w:val="Compact"/>
              <w:jc w:val="center"/>
            </w:pPr>
            <w:r>
              <w:t>0.4</w:t>
            </w:r>
          </w:p>
        </w:tc>
        <w:tc>
          <w:tcPr>
            <w:tcW w:w="716" w:type="dxa"/>
            <w:tcBorders>
              <w:top w:val="nil"/>
              <w:left w:val="nil"/>
              <w:bottom w:val="nil"/>
              <w:right w:val="nil"/>
            </w:tcBorders>
          </w:tcPr>
          <w:p w14:paraId="247E6693" w14:textId="77777777" w:rsidR="008E4EBD" w:rsidRDefault="00483AC6">
            <w:pPr>
              <w:pStyle w:val="Compact"/>
              <w:jc w:val="center"/>
            </w:pPr>
            <w:r>
              <w:t>0.0</w:t>
            </w:r>
          </w:p>
        </w:tc>
        <w:tc>
          <w:tcPr>
            <w:tcW w:w="1862" w:type="dxa"/>
            <w:tcBorders>
              <w:top w:val="nil"/>
              <w:left w:val="nil"/>
              <w:bottom w:val="nil"/>
              <w:right w:val="nil"/>
            </w:tcBorders>
          </w:tcPr>
          <w:p w14:paraId="247E6694" w14:textId="77777777" w:rsidR="008E4EBD" w:rsidRDefault="00483AC6">
            <w:pPr>
              <w:pStyle w:val="Compact"/>
              <w:jc w:val="center"/>
            </w:pPr>
            <w:r>
              <w:t>0.986 (0.176)</w:t>
            </w:r>
          </w:p>
        </w:tc>
        <w:tc>
          <w:tcPr>
            <w:tcW w:w="1862" w:type="dxa"/>
            <w:tcBorders>
              <w:top w:val="nil"/>
              <w:left w:val="nil"/>
              <w:bottom w:val="nil"/>
              <w:right w:val="nil"/>
            </w:tcBorders>
          </w:tcPr>
          <w:p w14:paraId="247E6695" w14:textId="77777777" w:rsidR="008E4EBD" w:rsidRDefault="00483AC6">
            <w:pPr>
              <w:pStyle w:val="Compact"/>
              <w:jc w:val="center"/>
            </w:pPr>
            <w:r>
              <w:t>0.393 (0.152)</w:t>
            </w:r>
          </w:p>
        </w:tc>
        <w:tc>
          <w:tcPr>
            <w:tcW w:w="1862" w:type="dxa"/>
            <w:tcBorders>
              <w:top w:val="nil"/>
              <w:left w:val="nil"/>
              <w:bottom w:val="nil"/>
              <w:right w:val="nil"/>
            </w:tcBorders>
          </w:tcPr>
          <w:p w14:paraId="247E6696" w14:textId="77777777" w:rsidR="008E4EBD" w:rsidRDefault="00483AC6">
            <w:pPr>
              <w:pStyle w:val="Compact"/>
              <w:jc w:val="center"/>
            </w:pPr>
            <w:r>
              <w:t>0.986 (0.176)</w:t>
            </w:r>
          </w:p>
        </w:tc>
        <w:tc>
          <w:tcPr>
            <w:tcW w:w="2008" w:type="dxa"/>
            <w:tcBorders>
              <w:top w:val="nil"/>
              <w:left w:val="nil"/>
              <w:bottom w:val="nil"/>
              <w:right w:val="nil"/>
            </w:tcBorders>
          </w:tcPr>
          <w:p w14:paraId="247E6697" w14:textId="77777777" w:rsidR="008E4EBD" w:rsidRDefault="00483AC6">
            <w:pPr>
              <w:pStyle w:val="Compact"/>
              <w:jc w:val="center"/>
            </w:pPr>
            <w:r>
              <w:t>0.393 (0.152)</w:t>
            </w:r>
          </w:p>
        </w:tc>
      </w:tr>
      <w:tr w:rsidR="008E4EBD" w14:paraId="247E669F" w14:textId="77777777">
        <w:tc>
          <w:tcPr>
            <w:tcW w:w="716" w:type="dxa"/>
            <w:tcBorders>
              <w:top w:val="nil"/>
              <w:left w:val="nil"/>
              <w:bottom w:val="nil"/>
              <w:right w:val="nil"/>
            </w:tcBorders>
          </w:tcPr>
          <w:p w14:paraId="247E6699" w14:textId="77777777" w:rsidR="008E4EBD" w:rsidRDefault="00483AC6">
            <w:pPr>
              <w:pStyle w:val="Compact"/>
              <w:jc w:val="center"/>
            </w:pPr>
            <w:r>
              <w:t>0.8</w:t>
            </w:r>
          </w:p>
        </w:tc>
        <w:tc>
          <w:tcPr>
            <w:tcW w:w="716" w:type="dxa"/>
            <w:tcBorders>
              <w:top w:val="nil"/>
              <w:left w:val="nil"/>
              <w:bottom w:val="nil"/>
              <w:right w:val="nil"/>
            </w:tcBorders>
          </w:tcPr>
          <w:p w14:paraId="247E669A" w14:textId="77777777" w:rsidR="008E4EBD" w:rsidRDefault="00483AC6">
            <w:pPr>
              <w:pStyle w:val="Compact"/>
              <w:jc w:val="center"/>
            </w:pPr>
            <w:r>
              <w:t>0.0</w:t>
            </w:r>
          </w:p>
        </w:tc>
        <w:tc>
          <w:tcPr>
            <w:tcW w:w="1862" w:type="dxa"/>
            <w:tcBorders>
              <w:top w:val="nil"/>
              <w:left w:val="nil"/>
              <w:bottom w:val="nil"/>
              <w:right w:val="nil"/>
            </w:tcBorders>
          </w:tcPr>
          <w:p w14:paraId="247E669B" w14:textId="77777777" w:rsidR="008E4EBD" w:rsidRDefault="00483AC6">
            <w:pPr>
              <w:pStyle w:val="Compact"/>
              <w:jc w:val="center"/>
            </w:pPr>
            <w:r>
              <w:t>0.985 (0.187)</w:t>
            </w:r>
          </w:p>
        </w:tc>
        <w:tc>
          <w:tcPr>
            <w:tcW w:w="1862" w:type="dxa"/>
            <w:tcBorders>
              <w:top w:val="nil"/>
              <w:left w:val="nil"/>
              <w:bottom w:val="nil"/>
              <w:right w:val="nil"/>
            </w:tcBorders>
          </w:tcPr>
          <w:p w14:paraId="247E669C" w14:textId="77777777" w:rsidR="008E4EBD" w:rsidRDefault="00483AC6">
            <w:pPr>
              <w:pStyle w:val="Compact"/>
              <w:jc w:val="center"/>
            </w:pPr>
            <w:r>
              <w:t>0.793 (0.106)</w:t>
            </w:r>
          </w:p>
        </w:tc>
        <w:tc>
          <w:tcPr>
            <w:tcW w:w="1862" w:type="dxa"/>
            <w:tcBorders>
              <w:top w:val="nil"/>
              <w:left w:val="nil"/>
              <w:bottom w:val="nil"/>
              <w:right w:val="nil"/>
            </w:tcBorders>
          </w:tcPr>
          <w:p w14:paraId="247E669D" w14:textId="77777777" w:rsidR="008E4EBD" w:rsidRDefault="00483AC6">
            <w:pPr>
              <w:pStyle w:val="Compact"/>
              <w:jc w:val="center"/>
            </w:pPr>
            <w:r>
              <w:t>0.985 (0.187)</w:t>
            </w:r>
          </w:p>
        </w:tc>
        <w:tc>
          <w:tcPr>
            <w:tcW w:w="2008" w:type="dxa"/>
            <w:tcBorders>
              <w:top w:val="nil"/>
              <w:left w:val="nil"/>
              <w:bottom w:val="nil"/>
              <w:right w:val="nil"/>
            </w:tcBorders>
          </w:tcPr>
          <w:p w14:paraId="247E669E" w14:textId="77777777" w:rsidR="008E4EBD" w:rsidRDefault="00483AC6">
            <w:pPr>
              <w:pStyle w:val="Compact"/>
              <w:jc w:val="center"/>
            </w:pPr>
            <w:r>
              <w:t>0.793 (0.106)</w:t>
            </w:r>
          </w:p>
        </w:tc>
      </w:tr>
      <w:tr w:rsidR="008E4EBD" w14:paraId="247E66A6" w14:textId="77777777">
        <w:tc>
          <w:tcPr>
            <w:tcW w:w="716" w:type="dxa"/>
            <w:tcBorders>
              <w:top w:val="nil"/>
              <w:left w:val="nil"/>
              <w:bottom w:val="nil"/>
              <w:right w:val="nil"/>
            </w:tcBorders>
          </w:tcPr>
          <w:p w14:paraId="247E66A0" w14:textId="77777777" w:rsidR="008E4EBD" w:rsidRDefault="00483AC6">
            <w:pPr>
              <w:pStyle w:val="Compact"/>
              <w:jc w:val="center"/>
            </w:pPr>
            <w:r>
              <w:t>0.4</w:t>
            </w:r>
          </w:p>
        </w:tc>
        <w:tc>
          <w:tcPr>
            <w:tcW w:w="716" w:type="dxa"/>
            <w:tcBorders>
              <w:top w:val="nil"/>
              <w:left w:val="nil"/>
              <w:bottom w:val="nil"/>
              <w:right w:val="nil"/>
            </w:tcBorders>
          </w:tcPr>
          <w:p w14:paraId="247E66A1" w14:textId="77777777" w:rsidR="008E4EBD" w:rsidRDefault="00483AC6">
            <w:pPr>
              <w:pStyle w:val="Compact"/>
              <w:jc w:val="center"/>
            </w:pPr>
            <w:r>
              <w:t>0.4</w:t>
            </w:r>
          </w:p>
        </w:tc>
        <w:tc>
          <w:tcPr>
            <w:tcW w:w="1862" w:type="dxa"/>
            <w:tcBorders>
              <w:top w:val="nil"/>
              <w:left w:val="nil"/>
              <w:bottom w:val="nil"/>
              <w:right w:val="nil"/>
            </w:tcBorders>
          </w:tcPr>
          <w:p w14:paraId="247E66A2" w14:textId="77777777" w:rsidR="008E4EBD" w:rsidRDefault="00483AC6">
            <w:pPr>
              <w:pStyle w:val="Compact"/>
              <w:jc w:val="center"/>
            </w:pPr>
            <w:r>
              <w:t>1.011 (0.189)</w:t>
            </w:r>
          </w:p>
        </w:tc>
        <w:tc>
          <w:tcPr>
            <w:tcW w:w="1862" w:type="dxa"/>
            <w:tcBorders>
              <w:top w:val="nil"/>
              <w:left w:val="nil"/>
              <w:bottom w:val="nil"/>
              <w:right w:val="nil"/>
            </w:tcBorders>
          </w:tcPr>
          <w:p w14:paraId="247E66A3" w14:textId="77777777" w:rsidR="008E4EBD" w:rsidRDefault="00483AC6">
            <w:pPr>
              <w:pStyle w:val="Compact"/>
              <w:jc w:val="center"/>
            </w:pPr>
            <w:r>
              <w:t>0.670 (0.108)</w:t>
            </w:r>
          </w:p>
        </w:tc>
        <w:tc>
          <w:tcPr>
            <w:tcW w:w="1862" w:type="dxa"/>
            <w:tcBorders>
              <w:top w:val="nil"/>
              <w:left w:val="nil"/>
              <w:bottom w:val="nil"/>
              <w:right w:val="nil"/>
            </w:tcBorders>
          </w:tcPr>
          <w:p w14:paraId="247E66A4" w14:textId="77777777" w:rsidR="008E4EBD" w:rsidRDefault="00483AC6">
            <w:pPr>
              <w:pStyle w:val="Compact"/>
              <w:jc w:val="center"/>
            </w:pPr>
            <w:r>
              <w:t>0.987 (0.188)</w:t>
            </w:r>
          </w:p>
        </w:tc>
        <w:tc>
          <w:tcPr>
            <w:tcW w:w="2008" w:type="dxa"/>
            <w:tcBorders>
              <w:top w:val="nil"/>
              <w:left w:val="nil"/>
              <w:bottom w:val="nil"/>
              <w:right w:val="nil"/>
            </w:tcBorders>
          </w:tcPr>
          <w:p w14:paraId="247E66A5" w14:textId="77777777" w:rsidR="008E4EBD" w:rsidRDefault="00483AC6">
            <w:pPr>
              <w:pStyle w:val="Compact"/>
              <w:jc w:val="center"/>
            </w:pPr>
            <w:r>
              <w:t>0.386 (0.142)</w:t>
            </w:r>
          </w:p>
        </w:tc>
      </w:tr>
      <w:tr w:rsidR="008E4EBD" w14:paraId="247E66AD" w14:textId="77777777">
        <w:tc>
          <w:tcPr>
            <w:tcW w:w="716" w:type="dxa"/>
            <w:tcBorders>
              <w:top w:val="nil"/>
              <w:left w:val="nil"/>
              <w:bottom w:val="nil"/>
              <w:right w:val="nil"/>
            </w:tcBorders>
          </w:tcPr>
          <w:p w14:paraId="247E66A7" w14:textId="77777777" w:rsidR="008E4EBD" w:rsidRDefault="00483AC6">
            <w:pPr>
              <w:pStyle w:val="Compact"/>
              <w:jc w:val="center"/>
            </w:pPr>
            <w:r>
              <w:t>0.4</w:t>
            </w:r>
          </w:p>
        </w:tc>
        <w:tc>
          <w:tcPr>
            <w:tcW w:w="716" w:type="dxa"/>
            <w:tcBorders>
              <w:top w:val="nil"/>
              <w:left w:val="nil"/>
              <w:bottom w:val="nil"/>
              <w:right w:val="nil"/>
            </w:tcBorders>
          </w:tcPr>
          <w:p w14:paraId="247E66A8" w14:textId="77777777" w:rsidR="008E4EBD" w:rsidRDefault="00483AC6">
            <w:pPr>
              <w:pStyle w:val="Compact"/>
              <w:jc w:val="center"/>
            </w:pPr>
            <w:r>
              <w:t>0.8</w:t>
            </w:r>
          </w:p>
        </w:tc>
        <w:tc>
          <w:tcPr>
            <w:tcW w:w="1862" w:type="dxa"/>
            <w:tcBorders>
              <w:top w:val="nil"/>
              <w:left w:val="nil"/>
              <w:bottom w:val="nil"/>
              <w:right w:val="nil"/>
            </w:tcBorders>
          </w:tcPr>
          <w:p w14:paraId="247E66A9" w14:textId="77777777" w:rsidR="008E4EBD" w:rsidRDefault="00483AC6">
            <w:pPr>
              <w:pStyle w:val="Compact"/>
              <w:jc w:val="center"/>
            </w:pPr>
            <w:r>
              <w:t>1.064 (0.214)</w:t>
            </w:r>
          </w:p>
        </w:tc>
        <w:tc>
          <w:tcPr>
            <w:tcW w:w="1862" w:type="dxa"/>
            <w:tcBorders>
              <w:top w:val="nil"/>
              <w:left w:val="nil"/>
              <w:bottom w:val="nil"/>
              <w:right w:val="nil"/>
            </w:tcBorders>
          </w:tcPr>
          <w:p w14:paraId="247E66AA" w14:textId="77777777" w:rsidR="008E4EBD" w:rsidRDefault="00483AC6">
            <w:pPr>
              <w:pStyle w:val="Compact"/>
              <w:jc w:val="center"/>
            </w:pPr>
            <w:r>
              <w:t>0.913 (0.063)</w:t>
            </w:r>
          </w:p>
        </w:tc>
        <w:tc>
          <w:tcPr>
            <w:tcW w:w="1862" w:type="dxa"/>
            <w:tcBorders>
              <w:top w:val="nil"/>
              <w:left w:val="nil"/>
              <w:bottom w:val="nil"/>
              <w:right w:val="nil"/>
            </w:tcBorders>
          </w:tcPr>
          <w:p w14:paraId="247E66AB" w14:textId="77777777" w:rsidR="008E4EBD" w:rsidRDefault="00483AC6">
            <w:pPr>
              <w:pStyle w:val="Compact"/>
              <w:jc w:val="center"/>
            </w:pPr>
            <w:r>
              <w:t>0.996 (0.202)</w:t>
            </w:r>
          </w:p>
        </w:tc>
        <w:tc>
          <w:tcPr>
            <w:tcW w:w="2008" w:type="dxa"/>
            <w:tcBorders>
              <w:top w:val="nil"/>
              <w:left w:val="nil"/>
              <w:bottom w:val="nil"/>
              <w:right w:val="nil"/>
            </w:tcBorders>
          </w:tcPr>
          <w:p w14:paraId="247E66AC" w14:textId="77777777" w:rsidR="008E4EBD" w:rsidRDefault="00483AC6">
            <w:pPr>
              <w:pStyle w:val="Compact"/>
              <w:jc w:val="center"/>
            </w:pPr>
            <w:r>
              <w:t>0.380 (0.133)</w:t>
            </w:r>
          </w:p>
        </w:tc>
      </w:tr>
      <w:tr w:rsidR="008E4EBD" w14:paraId="247E66B4" w14:textId="77777777">
        <w:tc>
          <w:tcPr>
            <w:tcW w:w="716" w:type="dxa"/>
            <w:tcBorders>
              <w:top w:val="nil"/>
              <w:left w:val="nil"/>
              <w:bottom w:val="nil"/>
              <w:right w:val="nil"/>
            </w:tcBorders>
          </w:tcPr>
          <w:p w14:paraId="247E66AE" w14:textId="77777777" w:rsidR="008E4EBD" w:rsidRDefault="00483AC6">
            <w:pPr>
              <w:pStyle w:val="Compact"/>
              <w:jc w:val="center"/>
            </w:pPr>
            <w:r>
              <w:t>0.8</w:t>
            </w:r>
          </w:p>
        </w:tc>
        <w:tc>
          <w:tcPr>
            <w:tcW w:w="716" w:type="dxa"/>
            <w:tcBorders>
              <w:top w:val="nil"/>
              <w:left w:val="nil"/>
              <w:bottom w:val="nil"/>
              <w:right w:val="nil"/>
            </w:tcBorders>
          </w:tcPr>
          <w:p w14:paraId="247E66AF" w14:textId="77777777" w:rsidR="008E4EBD" w:rsidRDefault="00483AC6">
            <w:pPr>
              <w:pStyle w:val="Compact"/>
              <w:jc w:val="center"/>
            </w:pPr>
            <w:r>
              <w:t>0.4</w:t>
            </w:r>
          </w:p>
        </w:tc>
        <w:tc>
          <w:tcPr>
            <w:tcW w:w="1862" w:type="dxa"/>
            <w:tcBorders>
              <w:top w:val="nil"/>
              <w:left w:val="nil"/>
              <w:bottom w:val="nil"/>
              <w:right w:val="nil"/>
            </w:tcBorders>
          </w:tcPr>
          <w:p w14:paraId="247E66B0" w14:textId="77777777" w:rsidR="008E4EBD" w:rsidRDefault="00483AC6">
            <w:pPr>
              <w:pStyle w:val="Compact"/>
              <w:jc w:val="center"/>
            </w:pPr>
            <w:r>
              <w:t>1.063 (0.208)</w:t>
            </w:r>
          </w:p>
        </w:tc>
        <w:tc>
          <w:tcPr>
            <w:tcW w:w="1862" w:type="dxa"/>
            <w:tcBorders>
              <w:top w:val="nil"/>
              <w:left w:val="nil"/>
              <w:bottom w:val="nil"/>
              <w:right w:val="nil"/>
            </w:tcBorders>
          </w:tcPr>
          <w:p w14:paraId="247E66B1" w14:textId="77777777" w:rsidR="008E4EBD" w:rsidRDefault="00483AC6">
            <w:pPr>
              <w:pStyle w:val="Compact"/>
              <w:jc w:val="center"/>
            </w:pPr>
            <w:r>
              <w:t>0.938 (0.055)</w:t>
            </w:r>
          </w:p>
        </w:tc>
        <w:tc>
          <w:tcPr>
            <w:tcW w:w="1862" w:type="dxa"/>
            <w:tcBorders>
              <w:top w:val="nil"/>
              <w:left w:val="nil"/>
              <w:bottom w:val="nil"/>
              <w:right w:val="nil"/>
            </w:tcBorders>
          </w:tcPr>
          <w:p w14:paraId="247E66B2" w14:textId="77777777" w:rsidR="008E4EBD" w:rsidRDefault="00483AC6">
            <w:pPr>
              <w:pStyle w:val="Compact"/>
              <w:jc w:val="center"/>
            </w:pPr>
            <w:r>
              <w:t>0.980 (0.209)</w:t>
            </w:r>
          </w:p>
        </w:tc>
        <w:tc>
          <w:tcPr>
            <w:tcW w:w="2008" w:type="dxa"/>
            <w:tcBorders>
              <w:top w:val="nil"/>
              <w:left w:val="nil"/>
              <w:bottom w:val="nil"/>
              <w:right w:val="nil"/>
            </w:tcBorders>
          </w:tcPr>
          <w:p w14:paraId="247E66B3" w14:textId="77777777" w:rsidR="008E4EBD" w:rsidRDefault="00483AC6">
            <w:pPr>
              <w:pStyle w:val="Compact"/>
              <w:jc w:val="center"/>
            </w:pPr>
            <w:r>
              <w:t>0.790 (0.095)</w:t>
            </w:r>
          </w:p>
        </w:tc>
      </w:tr>
      <w:tr w:rsidR="008E4EBD" w14:paraId="247E66BB" w14:textId="77777777">
        <w:tc>
          <w:tcPr>
            <w:tcW w:w="716" w:type="dxa"/>
            <w:tcBorders>
              <w:top w:val="nil"/>
              <w:left w:val="nil"/>
              <w:bottom w:val="single" w:sz="12" w:space="0" w:color="auto"/>
              <w:right w:val="nil"/>
            </w:tcBorders>
          </w:tcPr>
          <w:p w14:paraId="247E66B5" w14:textId="77777777" w:rsidR="008E4EBD" w:rsidRDefault="00483AC6">
            <w:pPr>
              <w:pStyle w:val="Compact"/>
              <w:jc w:val="center"/>
            </w:pPr>
            <w:r>
              <w:t>0.8</w:t>
            </w:r>
          </w:p>
        </w:tc>
        <w:tc>
          <w:tcPr>
            <w:tcW w:w="716" w:type="dxa"/>
            <w:tcBorders>
              <w:top w:val="nil"/>
              <w:left w:val="nil"/>
              <w:bottom w:val="single" w:sz="12" w:space="0" w:color="auto"/>
              <w:right w:val="nil"/>
            </w:tcBorders>
          </w:tcPr>
          <w:p w14:paraId="247E66B6" w14:textId="77777777" w:rsidR="008E4EBD" w:rsidRDefault="00483AC6">
            <w:pPr>
              <w:pStyle w:val="Compact"/>
              <w:jc w:val="center"/>
            </w:pPr>
            <w:r>
              <w:t>0.8</w:t>
            </w:r>
          </w:p>
        </w:tc>
        <w:tc>
          <w:tcPr>
            <w:tcW w:w="1862" w:type="dxa"/>
            <w:tcBorders>
              <w:top w:val="nil"/>
              <w:left w:val="nil"/>
              <w:bottom w:val="single" w:sz="12" w:space="0" w:color="auto"/>
              <w:right w:val="nil"/>
            </w:tcBorders>
          </w:tcPr>
          <w:p w14:paraId="247E66B7" w14:textId="77777777" w:rsidR="008E4EBD" w:rsidRDefault="00483AC6">
            <w:pPr>
              <w:pStyle w:val="Compact"/>
              <w:jc w:val="center"/>
            </w:pPr>
            <w:r>
              <w:t>1.256 (0.248)</w:t>
            </w:r>
          </w:p>
        </w:tc>
        <w:tc>
          <w:tcPr>
            <w:tcW w:w="1862" w:type="dxa"/>
            <w:tcBorders>
              <w:top w:val="nil"/>
              <w:left w:val="nil"/>
              <w:bottom w:val="single" w:sz="12" w:space="0" w:color="auto"/>
              <w:right w:val="nil"/>
            </w:tcBorders>
          </w:tcPr>
          <w:p w14:paraId="247E66B8" w14:textId="77777777" w:rsidR="008E4EBD" w:rsidRDefault="00483AC6">
            <w:pPr>
              <w:pStyle w:val="Compact"/>
              <w:jc w:val="center"/>
            </w:pPr>
            <w:r>
              <w:t>1.000 (0.002)</w:t>
            </w:r>
          </w:p>
        </w:tc>
        <w:tc>
          <w:tcPr>
            <w:tcW w:w="1862" w:type="dxa"/>
            <w:tcBorders>
              <w:top w:val="nil"/>
              <w:left w:val="nil"/>
              <w:bottom w:val="single" w:sz="12" w:space="0" w:color="auto"/>
              <w:right w:val="nil"/>
            </w:tcBorders>
          </w:tcPr>
          <w:p w14:paraId="247E66B9" w14:textId="77777777" w:rsidR="008E4EBD" w:rsidRDefault="00483AC6">
            <w:pPr>
              <w:pStyle w:val="Compact"/>
              <w:jc w:val="center"/>
            </w:pPr>
            <w:r>
              <w:t>0.976 (0.237)</w:t>
            </w:r>
          </w:p>
        </w:tc>
        <w:tc>
          <w:tcPr>
            <w:tcW w:w="2008" w:type="dxa"/>
            <w:tcBorders>
              <w:top w:val="nil"/>
              <w:left w:val="nil"/>
              <w:bottom w:val="single" w:sz="12" w:space="0" w:color="auto"/>
              <w:right w:val="nil"/>
            </w:tcBorders>
          </w:tcPr>
          <w:p w14:paraId="247E66BA" w14:textId="77777777" w:rsidR="008E4EBD" w:rsidRDefault="00483AC6">
            <w:pPr>
              <w:pStyle w:val="Compact"/>
              <w:jc w:val="center"/>
            </w:pPr>
            <w:r>
              <w:t>0.783 (0.075)</w:t>
            </w:r>
          </w:p>
        </w:tc>
      </w:tr>
    </w:tbl>
    <w:p w14:paraId="247E66BC" w14:textId="77777777" w:rsidR="008E4EBD" w:rsidRDefault="00483AC6">
      <w:pPr>
        <w:pStyle w:val="Heading2"/>
      </w:pPr>
      <w:bookmarkStart w:id="31" w:name="a.5.-computational-notes"/>
      <w:r>
        <w:t>A.5. Computational notes</w:t>
      </w:r>
      <w:bookmarkEnd w:id="31"/>
    </w:p>
    <w:p w14:paraId="247E66BD" w14:textId="4D5EAF39" w:rsidR="008E4EBD" w:rsidRDefault="00483AC6">
      <w:pPr>
        <w:pStyle w:val="FirstParagraph"/>
      </w:pPr>
      <w:r>
        <w:t xml:space="preserve">The replication script supplied with this revision is implemented in base R. It uses Cholesky simulation for the area effects and area-specific sampling errors, a bisection solver for the UFH Fay–Herriot moment estimator, Nelder–Mead optimization for the MFH Gaussian likelihood under both working sampling-error covariance specifications, and optional parallel execution across scenarios. The script writes a full results file plus separate CSV tables for observed-cell MSEs, missing-cell MSEs, point-deviation </w:t>
      </w:r>
      <w:r>
        <w:t>summaries, MFH parameter estimates, and prediction biases. Because R's default random number generator differs from NumPy's PCG64 generator, the R and Python scripts are Monte Carlo-equivalent rather than bit-for-bit identical.</w:t>
      </w:r>
    </w:p>
    <w:p w14:paraId="247E66BE" w14:textId="700365A0" w:rsidR="008E4EBD" w:rsidRDefault="00483AC6">
      <w:pPr>
        <w:pStyle w:val="BodyText"/>
      </w:pPr>
      <w:r>
        <w:t xml:space="preserve">Two simplifications relative to a production implementation deserve note. First, the MFH covariance parameters are estimated </w:t>
      </w:r>
      <w:r w:rsidR="00B3142B">
        <w:t>only from areas with complete data; in applications, the likelihood can be extended to include observed blocks from</w:t>
      </w:r>
      <w:r>
        <w:t xml:space="preserve"> incomplete areas, which would slightly improve efficiency. Second, the simulation evaluates </w:t>
      </w:r>
      <w:r w:rsidR="00B3142B">
        <w:t>only point-prediction accuracy</w:t>
      </w:r>
      <w:r>
        <w:t xml:space="preserve">; MSE </w:t>
      </w:r>
      <w:r>
        <w:rPr>
          <w:i/>
        </w:rPr>
        <w:t>estimation</w:t>
      </w:r>
      <w:r>
        <w:t xml:space="preserve"> for the EBLUPs—via second-order approximations or parametric bootstrap, as discussed in Section 12.1—is a separate exercise not undertaken here.</w:t>
      </w:r>
    </w:p>
    <w:sectPr w:rsidR="008E4E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9F35" w14:textId="77777777" w:rsidR="00483AC6" w:rsidRDefault="00483AC6">
      <w:pPr>
        <w:spacing w:after="0" w:line="240" w:lineRule="auto"/>
      </w:pPr>
      <w:r>
        <w:separator/>
      </w:r>
    </w:p>
  </w:endnote>
  <w:endnote w:type="continuationSeparator" w:id="0">
    <w:p w14:paraId="50E095A8" w14:textId="77777777" w:rsidR="00483AC6" w:rsidRDefault="00483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A5672" w14:textId="77777777" w:rsidR="00483AC6" w:rsidRDefault="00483AC6">
      <w:r>
        <w:separator/>
      </w:r>
    </w:p>
  </w:footnote>
  <w:footnote w:type="continuationSeparator" w:id="0">
    <w:p w14:paraId="0E9C8A1A" w14:textId="77777777" w:rsidR="00483AC6" w:rsidRDefault="0048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5DA936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833888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09577255">
    <w:abstractNumId w:val="1"/>
  </w:num>
  <w:num w:numId="2" w16cid:durableId="411004611">
    <w:abstractNumId w:val="0"/>
  </w:num>
  <w:num w:numId="3" w16cid:durableId="9437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26D0"/>
    <w:rsid w:val="0022340A"/>
    <w:rsid w:val="0035735F"/>
    <w:rsid w:val="00483AC6"/>
    <w:rsid w:val="00491010"/>
    <w:rsid w:val="004912B7"/>
    <w:rsid w:val="004E29B3"/>
    <w:rsid w:val="00530C79"/>
    <w:rsid w:val="00590D07"/>
    <w:rsid w:val="006D0744"/>
    <w:rsid w:val="00784D58"/>
    <w:rsid w:val="008D6863"/>
    <w:rsid w:val="008E4EBD"/>
    <w:rsid w:val="009221FB"/>
    <w:rsid w:val="009C18C8"/>
    <w:rsid w:val="009E3E7E"/>
    <w:rsid w:val="00B3142B"/>
    <w:rsid w:val="00B86B75"/>
    <w:rsid w:val="00BC48D5"/>
    <w:rsid w:val="00C36279"/>
    <w:rsid w:val="00C54403"/>
    <w:rsid w:val="00CD61AD"/>
    <w:rsid w:val="00E308C7"/>
    <w:rsid w:val="00E315A3"/>
    <w:rsid w:val="00E420AA"/>
    <w:rsid w:val="00E84017"/>
    <w:rsid w:val="00ED0F7F"/>
    <w:rsid w:val="00FC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635F"/>
  <w15:docId w15:val="{491847C2-4E21-42AC-8989-940E8CDA1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8" w:lineRule="auto"/>
      <w:jc w:val="both"/>
    </w:pPr>
    <w:rPr>
      <w:rFonts w:ascii="Times New Roman" w:eastAsia="Times New Roman" w:hAnsi="Times New Roman" w:cs="Times New Roman"/>
      <w:sz w:val="22"/>
      <w:szCs w:val="22"/>
    </w:rPr>
  </w:style>
  <w:style w:type="paragraph" w:styleId="Heading1">
    <w:name w:val="heading 1"/>
    <w:basedOn w:val="Normal"/>
    <w:next w:val="BodyText"/>
    <w:uiPriority w:val="9"/>
    <w:qFormat/>
    <w:pPr>
      <w:keepNext/>
      <w:keepLines/>
      <w:spacing w:before="480" w:after="240"/>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280"/>
      <w:jc w:val="left"/>
      <w:outlineLvl w:val="1"/>
    </w:pPr>
    <w:rPr>
      <w:b/>
      <w:bCs/>
      <w:i/>
      <w:iCs/>
      <w:color w:val="000000"/>
    </w:rPr>
  </w:style>
  <w:style w:type="paragraph" w:styleId="Heading3">
    <w:name w:val="heading 3"/>
    <w:basedOn w:val="Normal"/>
    <w:next w:val="BodyText"/>
    <w:uiPriority w:val="9"/>
    <w:unhideWhenUsed/>
    <w:qFormat/>
    <w:pPr>
      <w:keepNext/>
      <w:keepLines/>
      <w:spacing w:before="200" w:after="80"/>
      <w:jc w:val="left"/>
      <w:outlineLvl w:val="2"/>
    </w:pPr>
    <w:rPr>
      <w:i/>
      <w:i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29</Pages>
  <Words>12887</Words>
  <Characters>73457</Characters>
  <Application>Microsoft Office Word</Application>
  <DocSecurity>0</DocSecurity>
  <Lines>1669</Lines>
  <Paragraphs>959</Paragraphs>
  <ScaleCrop>false</ScaleCrop>
  <Company/>
  <LinksUpToDate>false</LinksUpToDate>
  <CharactersWithSpaces>85385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Nobuo Yoshida</cp:lastModifiedBy>
  <cp:revision>14</cp:revision>
  <dcterms:created xsi:type="dcterms:W3CDTF">2026-06-12T23:12:00Z</dcterms:created>
  <dcterms:modified xsi:type="dcterms:W3CDTF">2026-06-13T00:17:00Z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344144ca-fd08-4d93-b29e-f32b6a03cd23</vt:lpwstr>
  </property>
</Properties>
</file>