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Constrained-REML</w:t>
      </w:r>
      <w:r>
        <w:t xml:space="preserve"> </w:t>
      </w:r>
      <w:r>
        <w:t xml:space="preserve">Safeguard</w:t>
      </w:r>
      <w:r>
        <w:t xml:space="preserve"> </w:t>
      </w:r>
      <w:r>
        <w:t xml:space="preserve">for</w:t>
      </w:r>
      <w:r>
        <w:t xml:space="preserve"> </w:t>
      </w:r>
      <w:r>
        <w:t xml:space="preserve">the</w:t>
      </w:r>
      <w:r>
        <w:t xml:space="preserve"> </w:t>
      </w:r>
      <w:r>
        <w:t xml:space="preserve">MFH2</w:t>
      </w:r>
      <w:r>
        <w:t xml:space="preserve"> </w:t>
      </w:r>
      <w:r>
        <w:t xml:space="preserve">Model</w:t>
      </w:r>
    </w:p>
    <w:p>
      <w:pPr>
        <w:pStyle w:val="Subtitle"/>
      </w:pPr>
      <w:r>
        <w:t xml:space="preserve">Recovering</w:t>
      </w:r>
      <w:r>
        <w:t xml:space="preserve"> </w:t>
      </w:r>
      <w:r>
        <w:t xml:space="preserve">boundary</w:t>
      </w:r>
      <w:r>
        <w:t xml:space="preserve"> </w:t>
      </w:r>
      <w:r>
        <w:t xml:space="preserve">(zero-variance)</w:t>
      </w:r>
      <w:r>
        <w:t xml:space="preserve"> </w:t>
      </w:r>
      <w:r>
        <w:t xml:space="preserve">fits</w:t>
      </w:r>
      <w:r>
        <w:t xml:space="preserve"> </w:t>
      </w:r>
      <w:r>
        <w:t xml:space="preserve">from</w:t>
      </w:r>
      <w:r>
        <w:t xml:space="preserve"> </w:t>
      </w:r>
      <w:r>
        <w:t xml:space="preserve">msae::eblupMFH2()</w:t>
      </w:r>
      <w:r>
        <w:t xml:space="preserve"> </w:t>
      </w:r>
      <w:r>
        <w:t xml:space="preserve">in</w:t>
      </w:r>
      <w:r>
        <w:t xml:space="preserve"> </w:t>
      </w:r>
      <w:r>
        <w:t xml:space="preserve">scripts/eblupMFH2_robust.R</w:t>
      </w:r>
    </w:p>
    <w:p>
      <w:pPr>
        <w:pStyle w:val="Author"/>
      </w:pPr>
      <w:r>
        <w:t xml:space="preserve">Nobuo</w:t>
      </w:r>
      <w:r>
        <w:t xml:space="preserve"> </w:t>
      </w:r>
      <w:r>
        <w:t xml:space="preserve">Yoshida,</w:t>
      </w:r>
      <w:r>
        <w:t xml:space="preserve"> </w:t>
      </w:r>
      <w:r>
        <w:t xml:space="preserve">World</w:t>
      </w:r>
      <w:r>
        <w:t xml:space="preserve"> </w:t>
      </w:r>
      <w:r>
        <w:t xml:space="preserve">Bank</w:t>
      </w:r>
      <w:r>
        <w:t xml:space="preserve"> </w:t>
      </w:r>
      <w:r>
        <w:t xml:space="preserve">Group</w:t>
      </w:r>
    </w:p>
    <w:p>
      <w:pPr>
        <w:pStyle w:val="Date"/>
      </w:pPr>
      <w:r>
        <w:t>August 2026 (revised for 5.2.0-rc.4)</w:t>
      </w:r>
    </w:p>
    <w:p>
      <w:pPr>
        <w:pStyle w:val="Heading1"/>
      </w:pPr>
      <w:bookmarkStart w:id="20" w:name="purpose-and-summary"/>
      <w:r>
        <w:t xml:space="preserve">1. Purpose and summary</w:t>
      </w:r>
      <w:bookmarkEnd w:id="20"/>
    </w:p>
    <w:p>
      <w:pPr>
        <w:pStyle w:val="FirstParagraph"/>
      </w:pPr>
      <w:r>
        <w:rPr>
          <w:rStyle w:val="VerbatimChar"/>
        </w:rPr>
        <w:t xml:space="preserve">scripts/eblupMFH2_robust.R</w:t>
      </w:r>
      <w:r>
        <w:t xml:space="preserve"> </w:t>
      </w:r>
      <w:r>
        <w:t xml:space="preserve">is a numerical REML fallback for the MFH2 model in the</w:t>
      </w:r>
      <w:r>
        <w:t xml:space="preserve"> </w:t>
      </w:r>
      <w:r>
        <w:rPr>
          <w:rStyle w:val="VerbatimChar"/>
        </w:rPr>
        <w:t xml:space="preserve">msae</w:t>
      </w:r>
      <w:r>
        <w:t xml:space="preserve"> </w:t>
      </w:r>
      <w:r>
        <w:t xml:space="preserve">package. It does not change the substantive multivariate Fay–Herriot model, the sampling-error covariance matrix, the EBLUP formula, or the plug-in MSE formula used by</w:t>
      </w:r>
      <w:r>
        <w:t xml:space="preserve"> </w:t>
      </w:r>
      <w:r>
        <w:rPr>
          <w:rStyle w:val="VerbatimChar"/>
        </w:rPr>
        <w:t xml:space="preserve">msae::eblupMFH2()</w:t>
      </w:r>
      <w:r>
        <w:t xml:space="preserve">. Its purpose is narrower: when the original</w:t>
      </w:r>
      <w:r>
        <w:t xml:space="preserve"> </w:t>
      </w:r>
      <w:r>
        <w:rPr>
          <w:rStyle w:val="VerbatimChar"/>
        </w:rPr>
        <w:t xml:space="preserve">eblupMFH2()</w:t>
      </w:r>
      <w:r>
        <w:t xml:space="preserve"> </w:t>
      </w:r>
      <w:r>
        <w:t xml:space="preserve">returns a zero random-effects variance (</w:t>
      </w:r>
      <w:r>
        <w:rPr>
          <w:rStyle w:val="VerbatimChar"/>
        </w:rPr>
        <w:t xml:space="preserve">refvar = 0</w:t>
      </w:r>
      <w:r>
        <w:t xml:space="preserve">) after raw-scale Newton/Fisher-scoring updates that may leave the admissible parameter space during iteration, the wrapper refits the</w:t>
      </w:r>
      <w:r>
        <w:t xml:space="preserve"> </w:t>
      </w:r>
      <w:r>
        <w:rPr>
          <w:i/>
        </w:rPr>
        <w:t xml:space="preserve">same</w:t>
      </w:r>
      <w:r>
        <w:t xml:space="preserve"> </w:t>
      </w:r>
      <w:r>
        <w:t xml:space="preserve">REML criterion using a parameterization that enforces</w:t>
      </w:r>
      <w:r>
        <w:t xml:space="preserve"> </w:t>
      </w:r>
      <m:oMath>
        <m:sSubSup>
          <m:e>
            <m:r>
              <m:t>σ</m:t>
            </m:r>
          </m:e>
          <m:sub>
            <m:r>
              <m:t>u</m:t>
            </m:r>
          </m:sub>
          <m:sup>
            <m:r>
              <m:t>2</m:t>
            </m:r>
          </m:sup>
        </m:sSubSup>
        <m:r>
          <m:t>&gt;</m:t>
        </m:r>
        <m:r>
          <m:t>0</m:t>
        </m:r>
      </m:oMath>
      <w:r>
        <w:t xml:space="preserve"> </w:t>
      </w:r>
      <w:r>
        <w:t xml:space="preserve">and</w:t>
      </w:r>
      <w:r>
        <w:t xml:space="preserve"> </w:t>
      </w:r>
      <m:oMath>
        <m:r>
          <m:t>|</m:t>
        </m:r>
        <m:sSub>
          <m:e>
            <m:r>
              <m:t>ρ</m:t>
            </m:r>
          </m:e>
          <m:sub>
            <m:r>
              <m:t>u</m:t>
            </m:r>
          </m:sub>
        </m:sSub>
        <m:r>
          <m:t>|</m:t>
        </m:r>
        <m:r>
          <m:t>&lt;</m:t>
        </m:r>
        <m:r>
          <m:t>1</m:t>
        </m:r>
      </m:oMath>
      <w:r>
        <w:t xml:space="preserve"> </w:t>
      </w:r>
      <w:r>
        <w:t xml:space="preserve">by construction.</w:t>
      </w:r>
    </w:p>
    <w:p>
      <w:pPr>
        <w:pStyle w:val="BodyText"/>
      </w:pPr>
      <w:r>
        <w:t xml:space="preserve">If the original fit already has</w:t>
      </w:r>
      <w:r>
        <w:t xml:space="preserve"> </w:t>
      </w:r>
      <w:r>
        <w:rPr>
          <w:rStyle w:val="VerbatimChar"/>
        </w:rPr>
        <w:t xml:space="preserve">refvar &gt; 0</w:t>
      </w:r>
      <w:r>
        <w:t xml:space="preserve">, the wrapper returns it unchanged. If the constrained fallback cannot recover a numerically meaningful positive-variance solution, the wrapper returns the original boundary fit and tags it with</w:t>
      </w:r>
      <w:r>
        <w:t xml:space="preserve"> </w:t>
      </w:r>
      <w:r>
        <w:rPr>
          <w:rStyle w:val="VerbatimChar"/>
        </w:rPr>
        <w:t xml:space="preserve">.robust_refit_failed = TRUE</w:t>
      </w:r>
      <w:r>
        <w:t xml:space="preserve">.</w:t>
      </w:r>
    </w:p>
    <w:p>
      <w:pPr>
        <w:pStyle w:val="BodyText"/>
      </w:pPr>
      <w:r>
        <w:t xml:space="preserve">This note is a companion to the benchmarking notes for the same package.</w:t>
      </w:r>
      <w:r>
        <w:t xml:space="preserve"> </w:t>
      </w:r>
      <w:r>
        <w:rPr>
          <w:rStyle w:val="VerbatimChar"/>
        </w:rPr>
        <w:t xml:space="preserve">eblupMFH2()</w:t>
      </w:r>
      <w:r>
        <w:t xml:space="preserve"> </w:t>
      </w:r>
      <w:r>
        <w:t xml:space="preserve">is the engine refit used in the parametric bootstrap to produce the benchmarked MSE and mean cross-product error (MCPE) documented in the companion note on MFH benchmarking, so the safeguard described here automatically propagates to those uncertainty estimates.</w:t>
      </w:r>
    </w:p>
    <w:p>
      <w:pPr>
        <w:pStyle w:val="BodyText"/>
      </w:pPr>
      <w:r>
        <w:t xml:space="preserve">The main support in the literature is therefore not that the script introduces a new SAE model. Rather, the support is that (1) MFH2/AR(1) is a standard multivariate Fay–Herriot specification and (2) REML/EBLUP is the standard fitting and prediction framework for that model (Rao and Molina, 2015).</w:t>
      </w:r>
    </w:p>
    <w:p>
      <w:pPr>
        <w:pStyle w:val="BodyText"/>
      </w:pPr>
      <w:r>
        <w:t xml:space="preserve">The small-area estimation literature has long recognized that zero variance-component estimates can arise in Fay–Herriot models and can lead the EBLUP to collapse toward the regression-synthetic estimator. This concern motivates adjusted-likelihood approaches such as Li and Lahiri (2010) and Yoshimori and Lahiri (2014), as well as later comparisons and software discussions. The robust wrapper used here is not an adjusted-likelihood estimator; it is a conservative numerical safeguard that checks whether a feasible positive-variance REML solution can be recovered when the package implementation returns a boundary fit.</w:t>
      </w:r>
    </w:p>
    <w:p>
      <w:pPr>
        <w:pStyle w:val="BodyText"/>
      </w:pPr>
      <w:r>
        <w:t xml:space="preserve">Importantly, the fallback is not intended to force a substantively positive area-level variance. It asks whether a positive-variance solution provides a better feasible REML fit when the original package implementation has returned a boundary estimate. If such a solution is not recovered, the original boundary fit is retained and flagged.</w:t>
      </w:r>
    </w:p>
    <w:p>
      <w:pPr>
        <w:pStyle w:val="Heading1"/>
      </w:pPr>
      <w:bookmarkStart w:id="21" w:name="where-the-wrapper-enters-the-pipeline"/>
      <w:r>
        <w:t xml:space="preserve">2. Where the wrapper enters the pipeline</w:t>
      </w:r>
      <w:bookmarkEnd w:id="21"/>
    </w:p>
    <w:p>
      <w:pPr>
        <w:pStyle w:val="FirstParagraph"/>
      </w:pPr>
      <w:r>
        <w:t xml:space="preserve">The wrapper is installed in</w:t>
      </w:r>
      <w:r>
        <w:t xml:space="preserve"> </w:t>
      </w:r>
      <w:r>
        <w:rPr>
          <w:rStyle w:val="VerbatimChar"/>
        </w:rPr>
        <w:t xml:space="preserve">scripts/02_mfh.R</w:t>
      </w:r>
      <w:r>
        <w:t xml:space="preserve">; downstream code does not call it manually:</w:t>
      </w:r>
    </w:p>
    <w:p>
      <w:pPr>
        <w:numPr>
          <w:ilvl w:val="0"/>
          <w:numId w:val="1001"/>
        </w:numPr>
        <w:pStyle w:val="Compact"/>
      </w:pPr>
      <w:r>
        <w:rPr>
          <w:rStyle w:val="VerbatimChar"/>
        </w:rPr>
        <w:t xml:space="preserve">scripts/02_mfh.R</w:t>
      </w:r>
      <w:r>
        <w:t xml:space="preserve"> </w:t>
      </w:r>
      <w:r>
        <w:t xml:space="preserve">first creates patched copies of the</w:t>
      </w:r>
      <w:r>
        <w:t xml:space="preserve"> </w:t>
      </w:r>
      <w:r>
        <w:rPr>
          <w:rStyle w:val="VerbatimChar"/>
        </w:rPr>
        <w:t xml:space="preserve">msae</w:t>
      </w:r>
      <w:r>
        <w:t xml:space="preserve"> </w:t>
      </w:r>
      <w:r>
        <w:t xml:space="preserve">functions to avoid the R</w:t>
      </w:r>
      <w:r>
        <w:t xml:space="preserve"> </w:t>
      </w:r>
      <m:oMath>
        <m:r>
          <m:t>≥</m:t>
        </m:r>
      </m:oMath>
      <w:r>
        <w:t xml:space="preserve"> </w:t>
      </w:r>
      <w:r>
        <w:t xml:space="preserve">4.4 vectorized</w:t>
      </w:r>
      <w:r>
        <w:t xml:space="preserve"> </w:t>
      </w:r>
      <w:r>
        <w:rPr>
          <w:rStyle w:val="VerbatimChar"/>
        </w:rPr>
        <w:t xml:space="preserve">&amp;&amp;</w:t>
      </w:r>
      <w:r>
        <w:t xml:space="preserve"> </w:t>
      </w:r>
      <w:r>
        <w:t xml:space="preserve">issue.</w:t>
      </w:r>
    </w:p>
    <w:p>
      <w:pPr>
        <w:numPr>
          <w:ilvl w:val="0"/>
          <w:numId w:val="1001"/>
        </w:numPr>
        <w:pStyle w:val="Compact"/>
      </w:pPr>
      <w:r>
        <w:t xml:space="preserve">It stores the patched</w:t>
      </w:r>
      <w:r>
        <w:t xml:space="preserve"> </w:t>
      </w:r>
      <w:r>
        <w:rPr>
          <w:rStyle w:val="VerbatimChar"/>
        </w:rPr>
        <w:t xml:space="preserve">eblupMFH2()</w:t>
      </w:r>
      <w:r>
        <w:t xml:space="preserve"> </w:t>
      </w:r>
      <w:r>
        <w:t xml:space="preserve">as</w:t>
      </w:r>
      <w:r>
        <w:t xml:space="preserve"> </w:t>
      </w:r>
      <w:r>
        <w:rPr>
          <w:rStyle w:val="VerbatimChar"/>
        </w:rPr>
        <w:t xml:space="preserve">.eblupMFH2_patched</w:t>
      </w:r>
      <w:r>
        <w:t xml:space="preserve">.</w:t>
      </w:r>
    </w:p>
    <w:p>
      <w:pPr>
        <w:numPr>
          <w:ilvl w:val="0"/>
          <w:numId w:val="1001"/>
        </w:numPr>
        <w:pStyle w:val="Compact"/>
      </w:pPr>
      <w:r>
        <w:t xml:space="preserve">It sources</w:t>
      </w:r>
      <w:r>
        <w:t xml:space="preserve"> </w:t>
      </w:r>
      <w:r>
        <w:rPr>
          <w:rStyle w:val="VerbatimChar"/>
        </w:rPr>
        <w:t xml:space="preserve">scripts/eblupMFH2_robust.R</w:t>
      </w:r>
      <w:r>
        <w:t xml:space="preserve">.</w:t>
      </w:r>
    </w:p>
    <w:p>
      <w:pPr>
        <w:numPr>
          <w:ilvl w:val="0"/>
          <w:numId w:val="1001"/>
        </w:numPr>
        <w:pStyle w:val="Compact"/>
      </w:pPr>
      <w:r>
        <w:t xml:space="preserve">It assigns a new global</w:t>
      </w:r>
      <w:r>
        <w:t xml:space="preserve"> </w:t>
      </w:r>
      <w:r>
        <w:rPr>
          <w:rStyle w:val="VerbatimChar"/>
        </w:rPr>
        <w:t xml:space="preserve">eblupMFH2()</w:t>
      </w:r>
      <w:r>
        <w:t xml:space="preserve"> </w:t>
      </w:r>
      <w:r>
        <w:t xml:space="preserve">wrapper that calls</w:t>
      </w:r>
      <w:r>
        <w:t xml:space="preserve"> </w:t>
      </w:r>
      <w:r>
        <w:rPr>
          <w:rStyle w:val="VerbatimChar"/>
        </w:rPr>
        <w:t xml:space="preserve">eblupMFH2_robust(..., .orig_fn = .eblupMFH2_patched)</w:t>
      </w:r>
      <w:r>
        <w:t xml:space="preserve">.</w:t>
      </w:r>
    </w:p>
    <w:p>
      <w:pPr>
        <w:pStyle w:val="FirstParagraph"/>
      </w:pPr>
      <w:r>
        <w:t xml:space="preserve">Because</w:t>
      </w:r>
      <w:r>
        <w:t xml:space="preserve"> </w:t>
      </w:r>
      <w:r>
        <w:rPr>
          <w:rStyle w:val="VerbatimChar"/>
        </w:rPr>
        <w:t xml:space="preserve">pbmcpe_*</w:t>
      </w:r>
      <w:r>
        <w:t xml:space="preserve">, benchmarking, and comparison helpers call</w:t>
      </w:r>
      <w:r>
        <w:t xml:space="preserve"> </w:t>
      </w:r>
      <w:r>
        <w:rPr>
          <w:rStyle w:val="VerbatimChar"/>
        </w:rPr>
        <w:t xml:space="preserve">eblupMFH2</w:t>
      </w:r>
      <w:r>
        <w:t xml:space="preserve"> </w:t>
      </w:r>
      <w:r>
        <w:t xml:space="preserve">from the global environment, they automatically use the robust fallback when, and only when, the package implementation hits the zero-variance boundary. In particular, the bootstrap MSE and MCPE procedure documented in the companion MFH benchmarking note refits with</w:t>
      </w:r>
      <w:r>
        <w:t xml:space="preserve"> </w:t>
      </w:r>
      <w:r>
        <w:rPr>
          <w:rStyle w:val="VerbatimChar"/>
        </w:rPr>
        <w:t xml:space="preserve">eblupMFH2</w:t>
      </w:r>
      <w:r>
        <w:t xml:space="preserve"> </w:t>
      </w:r>
      <w:r>
        <w:t xml:space="preserve">in exactly this way, so any robust refit is inherited by the benchmarked-estimate uncertainty.</w:t>
      </w:r>
    </w:p>
    <w:p>
      <w:pPr>
        <w:pStyle w:val="Heading1"/>
      </w:pPr>
      <w:bookmarkStart w:id="22" w:name="the-model-being-fit"/>
      <w:r>
        <w:t xml:space="preserve">3. The model being fit</w:t>
      </w:r>
      <w:bookmarkEnd w:id="22"/>
    </w:p>
    <w:p>
      <w:pPr>
        <w:pStyle w:val="FirstParagraph"/>
      </w:pPr>
      <w:r>
        <w:t xml:space="preserve">The underlying model is the MFH2 autoregressive multivariate Fay–Herriot model. For each domain, the vector of direct estimates is modeled as a regression mean plus domain random effects plus sampling errors,</w:t>
      </w:r>
    </w:p>
    <w:p>
      <w:pPr>
        <w:pStyle w:val="BodyText"/>
      </w:pPr>
      <m:oMathPara>
        <m:oMathParaPr>
          <m:jc m:val="center"/>
        </m:oMathParaPr>
        <m:oMath>
          <m:r>
            <m:t>y</m:t>
          </m:r>
          <m:r>
            <m:t>=</m:t>
          </m:r>
          <m:r>
            <m:t>X</m:t>
          </m:r>
          <m:r>
            <m:t>β</m:t>
          </m:r>
          <m:r>
            <m:t>+</m:t>
          </m:r>
          <m:r>
            <m:t>u</m:t>
          </m:r>
          <m:r>
            <m:t>+</m:t>
          </m:r>
          <m:r>
            <m:t>e</m:t>
          </m:r>
          <m:r>
            <m:t>,</m:t>
          </m:r>
          <m:r>
            <m:t>  </m:t>
          </m:r>
          <m:r>
            <m:t>e</m:t>
          </m:r>
          <m:r>
            <m:t>∼</m:t>
          </m:r>
          <m:r>
            <m:t>N</m:t>
          </m:r>
          <m:r>
            <m:t>(</m:t>
          </m:r>
          <m:r>
            <m:t>0</m:t>
          </m:r>
          <m:r>
            <m:t>,</m:t>
          </m:r>
          <m:r>
            <m:t>R</m:t>
          </m:r>
          <m:r>
            <m:t>)</m:t>
          </m:r>
          <m:r>
            <m:t>,</m:t>
          </m:r>
          <m:r>
            <m:t>  </m:t>
          </m:r>
          <m:r>
            <m:t>u</m:t>
          </m:r>
          <m:r>
            <m:t>∼</m:t>
          </m:r>
          <m:r>
            <m:t>N</m:t>
          </m:r>
          <m:r>
            <m:t>(</m:t>
          </m:r>
          <m:r>
            <m:t>0</m:t>
          </m:r>
          <m:r>
            <m:t>,</m:t>
          </m:r>
          <m:r>
            <m:t>G</m:t>
          </m:r>
          <m:r>
            <m:t>)</m:t>
          </m:r>
          <m:r>
            <m:t>.</m:t>
          </m:r>
        </m:oMath>
      </m:oMathPara>
    </w:p>
    <w:p>
      <w:pPr>
        <w:pStyle w:val="FirstParagraph"/>
      </w:pPr>
      <w:r>
        <w:t xml:space="preserve">The sampling-error covariance matrix</w:t>
      </w:r>
      <w:r>
        <w:t xml:space="preserve"> </w:t>
      </w:r>
      <m:oMath>
        <m:r>
          <m:t>R</m:t>
        </m:r>
      </m:oMath>
      <w:r>
        <w:t xml:space="preserve"> </w:t>
      </w:r>
      <w:r>
        <w:t xml:space="preserve">is treated as known and is built from the</w:t>
      </w:r>
      <w:r>
        <w:t xml:space="preserve"> </w:t>
      </w:r>
      <w:r>
        <w:rPr>
          <w:rStyle w:val="VerbatimChar"/>
        </w:rPr>
        <w:t xml:space="preserve">vardir</w:t>
      </w:r>
      <w:r>
        <w:t xml:space="preserve"> </w:t>
      </w:r>
      <w:r>
        <w:t xml:space="preserve">columns. The random-effects covariance is the MFH2 homoskedastic AR(1) structure,</w:t>
      </w:r>
    </w:p>
    <w:p>
      <w:pPr>
        <w:pStyle w:val="BodyText"/>
      </w:pPr>
      <m:oMathPara>
        <m:oMathParaPr>
          <m:jc m:val="center"/>
        </m:oMathParaPr>
        <m:oMath>
          <m:r>
            <m:t>G</m:t>
          </m:r>
          <m:r>
            <m:t>=</m:t>
          </m:r>
          <m:sSubSup>
            <m:e>
              <m:r>
                <m:t>σ</m:t>
              </m:r>
            </m:e>
            <m:sub>
              <m:r>
                <m:t>u</m:t>
              </m:r>
            </m:sub>
            <m:sup>
              <m:r>
                <m:t>2</m:t>
              </m:r>
            </m:sup>
          </m:sSubSup>
          <m:r>
            <m:t> </m:t>
          </m:r>
          <m:sSub>
            <m:e>
              <m:r>
                <m:t>Ω</m:t>
              </m:r>
            </m:e>
            <m:sub>
              <m:r>
                <m:rPr>
                  <m:sty m:val="p"/>
                </m:rPr>
                <m:t>A</m:t>
              </m:r>
              <m:r>
                <m:rPr>
                  <m:sty m:val="p"/>
                </m:rPr>
                <m:t>R</m:t>
              </m:r>
            </m:sub>
          </m:sSub>
          <m:r>
            <m:t>(</m:t>
          </m:r>
          <m:sSub>
            <m:e>
              <m:r>
                <m:t>ρ</m:t>
              </m:r>
            </m:e>
            <m:sub>
              <m:r>
                <m:t>u</m:t>
              </m:r>
            </m:sub>
          </m:sSub>
          <m:r>
            <m:t>)</m:t>
          </m:r>
          <m:r>
            <m:t>,</m:t>
          </m:r>
          <m:r>
            <m:t>  </m:t>
          </m:r>
          <m:r>
            <m:t>[</m:t>
          </m:r>
          <m:sSub>
            <m:e>
              <m:r>
                <m:t>Ω</m:t>
              </m:r>
            </m:e>
            <m:sub>
              <m:r>
                <m:rPr>
                  <m:sty m:val="p"/>
                </m:rPr>
                <m:t>A</m:t>
              </m:r>
              <m:r>
                <m:rPr>
                  <m:sty m:val="p"/>
                </m:rPr>
                <m:t>R</m:t>
              </m:r>
            </m:sub>
          </m:sSub>
          <m:sSub>
            <m:e>
              <m:r>
                <m:t>]</m:t>
              </m:r>
            </m:e>
            <m:sub>
              <m:r>
                <m:t>i</m:t>
              </m:r>
              <m:r>
                <m:t>j</m:t>
              </m:r>
            </m:sub>
          </m:sSub>
          <m:r>
            <m:t>=</m:t>
          </m:r>
          <m:f>
            <m:fPr>
              <m:type m:val="bar"/>
            </m:fPr>
            <m:num>
              <m:sSubSup>
                <m:e>
                  <m:r>
                    <m:t>ρ</m:t>
                  </m:r>
                </m:e>
                <m:sub>
                  <m:r>
                    <m:t>u</m:t>
                  </m:r>
                </m:sub>
                <m:sup>
                  <m:r>
                    <m:t> </m:t>
                  </m:r>
                  <m:r>
                    <m:t>|</m:t>
                  </m:r>
                  <m:r>
                    <m:t>i</m:t>
                  </m:r>
                  <m:r>
                    <m:t>−</m:t>
                  </m:r>
                  <m:r>
                    <m:t>j</m:t>
                  </m:r>
                  <m:r>
                    <m:t>|</m:t>
                  </m:r>
                </m:sup>
              </m:sSubSup>
            </m:num>
            <m:den>
              <m:r>
                <m:t>1</m:t>
              </m:r>
              <m:r>
                <m:t>−</m:t>
              </m:r>
              <m:sSubSup>
                <m:e>
                  <m:r>
                    <m:t>ρ</m:t>
                  </m:r>
                </m:e>
                <m:sub>
                  <m:r>
                    <m:t>u</m:t>
                  </m:r>
                </m:sub>
                <m:sup>
                  <m:r>
                    <m:t>2</m:t>
                  </m:r>
                </m:sup>
              </m:sSubSup>
            </m:den>
          </m:f>
          <m:r>
            <m:t>.</m:t>
          </m:r>
        </m:oMath>
      </m:oMathPara>
    </w:p>
    <w:p>
      <w:pPr>
        <w:pStyle w:val="FirstParagraph"/>
      </w:pPr>
      <w:r>
        <w:t xml:space="preserve">This is the same structure described for</w:t>
      </w:r>
      <w:r>
        <w:t xml:space="preserve"> </w:t>
      </w:r>
      <w:r>
        <w:rPr>
          <w:rStyle w:val="VerbatimChar"/>
        </w:rPr>
        <w:t xml:space="preserve">msae</w:t>
      </w:r>
      <w:r>
        <w:t xml:space="preserve"> </w:t>
      </w:r>
      <w:r>
        <w:t xml:space="preserve">Model 2, where the R Journal article presents MFH2 as the autoregressive multivariate Fay–Herriot model and states that REML is used to estimate the random-effect variance before substituting it into the EBLUP. Benavent and Morales (2016), the methodological source behind</w:t>
      </w:r>
      <w:r>
        <w:t xml:space="preserve"> </w:t>
      </w:r>
      <w:r>
        <w:rPr>
          <w:rStyle w:val="VerbatimChar"/>
        </w:rPr>
        <w:t xml:space="preserve">msae</w:t>
      </w:r>
      <w:r>
        <w:t xml:space="preserve">, likewise derive multivariate Fay–Herriot EBLUPs, REML fitting, and MSE approximations for these models. In the EU SAE pipeline, the components of the per-domain vector are time periods, so this AR(1) structure reflects the temporal correlation used in the MFH2 specification of the companion benchmarking note.</w:t>
      </w:r>
    </w:p>
    <w:p>
      <w:pPr>
        <w:pStyle w:val="Heading1"/>
      </w:pPr>
      <w:bookmarkStart w:id="23" w:name="X9fc41888b8f7fbe5b3caa1f563961ec32c46c81"/>
      <w:r>
        <w:t xml:space="preserve">4. Why the original implementation can produce a boundary fit</w:t>
      </w:r>
      <w:bookmarkEnd w:id="23"/>
    </w:p>
    <w:p>
      <w:pPr>
        <w:pStyle w:val="FirstParagraph"/>
      </w:pPr>
      <w:r>
        <w:t xml:space="preserve">Inspection of the</w:t>
      </w:r>
      <w:r>
        <w:t xml:space="preserve"> </w:t>
      </w:r>
      <w:r>
        <w:rPr>
          <w:rStyle w:val="VerbatimChar"/>
        </w:rPr>
        <w:t xml:space="preserve">msae::eblupMFH2()</w:t>
      </w:r>
      <w:r>
        <w:t xml:space="preserve"> </w:t>
      </w:r>
      <w:r>
        <w:t xml:space="preserve">implementation indicates that the random-effects variance is updated on the raw scale using a Fisher-scoring/Newton-style iteration. Such updates can move</w:t>
      </w:r>
      <w:r>
        <w:t xml:space="preserve"> </w:t>
      </w:r>
      <m:oMath>
        <m:sSubSup>
          <m:e>
            <m:r>
              <m:t>σ</m:t>
            </m:r>
          </m:e>
          <m:sub>
            <m:r>
              <m:t>u</m:t>
            </m:r>
          </m:sub>
          <m:sup>
            <m:r>
              <m:t>2</m:t>
            </m:r>
          </m:sup>
        </m:sSubSup>
      </m:oMath>
      <w:r>
        <w:t xml:space="preserve"> </w:t>
      </w:r>
      <w:r>
        <w:t xml:space="preserve">outside the feasible parameter space even though a variance component must be non-negative. In the package implementation, the final returned estimate may then be placed at the boundary.</w:t>
      </w:r>
    </w:p>
    <w:p>
      <w:pPr>
        <w:pStyle w:val="BodyText"/>
      </w:pPr>
      <w:r>
        <w:t xml:space="preserve">When this happens, the returned fit has</w:t>
      </w:r>
      <w:r>
        <w:t xml:space="preserve"> </w:t>
      </w:r>
      <w:r>
        <w:rPr>
          <w:rStyle w:val="VerbatimChar"/>
        </w:rPr>
        <w:t xml:space="preserve">refvar = 0</w:t>
      </w:r>
      <w:r>
        <w:t xml:space="preserve">. In MFH2, the EBLUP is</w:t>
      </w:r>
    </w:p>
    <w:p>
      <w:pPr>
        <w:pStyle w:val="BodyText"/>
      </w:pPr>
      <m:oMathPara>
        <m:oMathParaPr>
          <m:jc m:val="center"/>
        </m:oMathParaPr>
        <m:oMath>
          <m:acc>
            <m:accPr>
              <m:chr m:val="̂"/>
            </m:accPr>
            <m:e>
              <m:r>
                <m:t>θ</m:t>
              </m:r>
            </m:e>
          </m:acc>
          <m:r>
            <m:t>=</m:t>
          </m:r>
          <m:r>
            <m:t>X</m:t>
          </m:r>
          <m:acc>
            <m:accPr>
              <m:chr m:val="̂"/>
            </m:accPr>
            <m:e>
              <m:r>
                <m:t>β</m:t>
              </m:r>
            </m:e>
          </m:acc>
          <m:r>
            <m:t>+</m:t>
          </m:r>
          <m:r>
            <m:t>G</m:t>
          </m:r>
          <m:r>
            <m:t> </m:t>
          </m:r>
          <m:sSup>
            <m:e>
              <m:r>
                <m:t>V</m:t>
              </m:r>
            </m:e>
            <m:sup>
              <m:r>
                <m:t>−</m:t>
              </m:r>
              <m:r>
                <m:t>1</m:t>
              </m:r>
            </m:sup>
          </m:sSup>
          <m:r>
            <m:t>(</m:t>
          </m:r>
          <m:r>
            <m:t>y</m:t>
          </m:r>
          <m:r>
            <m:t>−</m:t>
          </m:r>
          <m:r>
            <m:t>X</m:t>
          </m:r>
          <m:acc>
            <m:accPr>
              <m:chr m:val="̂"/>
            </m:accPr>
            <m:e>
              <m:r>
                <m:t>β</m:t>
              </m:r>
            </m:e>
          </m:acc>
          <m:r>
            <m:t>)</m:t>
          </m:r>
          <m:r>
            <m:t>,</m:t>
          </m:r>
        </m:oMath>
      </m:oMathPara>
    </w:p>
    <w:p>
      <w:pPr>
        <w:pStyle w:val="FirstParagraph"/>
      </w:pPr>
      <w:r>
        <w:t xml:space="preserve">so, a zero random-effects covariance</w:t>
      </w:r>
      <w:r>
        <w:t xml:space="preserve"> </w:t>
      </w:r>
      <m:oMath>
        <m:r>
          <m:t>G</m:t>
        </m:r>
      </m:oMath>
      <w:r>
        <w:t xml:space="preserve"> </w:t>
      </w:r>
      <w:r>
        <w:t xml:space="preserve">makes the second term vanish, and the estimate collapses to the regression-synthetic component</w:t>
      </w:r>
      <w:r>
        <w:t xml:space="preserve"> </w:t>
      </w:r>
      <m:oMath>
        <m:r>
          <m:t>X</m:t>
        </m:r>
        <m:acc>
          <m:accPr>
            <m:chr m:val="̂"/>
          </m:accPr>
          <m:e>
            <m:r>
              <m:t>β</m:t>
            </m:r>
          </m:e>
        </m:acc>
      </m:oMath>
      <w:r>
        <w:t xml:space="preserve">. A true REML boundary can occur, and the fallback does not rule out that possibility. However, it is risky to treat every package-level zero as substantive when the iteration itself was allowed to move outside the feasible variance space.</w:t>
      </w:r>
    </w:p>
    <w:p>
      <w:pPr>
        <w:pStyle w:val="BodyText"/>
      </w:pPr>
      <w:r>
        <w:t xml:space="preserve">The pipeline, therefore, treats</w:t>
      </w:r>
      <w:r>
        <w:t xml:space="preserve"> </w:t>
      </w:r>
      <w:r>
        <w:rPr>
          <w:rStyle w:val="VerbatimChar"/>
        </w:rPr>
        <w:t xml:space="preserve">refvar = 0</w:t>
      </w:r>
      <w:r>
        <w:t xml:space="preserve"> </w:t>
      </w:r>
      <w:r>
        <w:t xml:space="preserve">as a diagnostic warning, not as automatic proof of no area-level signal. The robust refit asks a more careful numerical question: does the same REML objective still fail to find a meaningful positive-variance solution when the optimizer is forced to remain in the valid parameter space?</w:t>
      </w:r>
    </w:p>
    <w:p>
      <w:pPr>
        <w:pStyle w:val="BodyText"/>
      </w:pPr>
      <w:r>
        <w:t xml:space="preserve">The tolerance used to trigger this check,</w:t>
      </w:r>
      <w:r>
        <w:t xml:space="preserve"> </w:t>
      </w:r>
      <w:r>
        <w:rPr>
          <w:rStyle w:val="VerbatimChar"/>
        </w:rPr>
        <w:t xml:space="preserve">refvar &lt;= 1e-12</w:t>
      </w:r>
      <w:r>
        <w:t xml:space="preserve">, is only a numerical tolerance for distinguishing zero from a positive estimated variance. It is not a substantive threshold for deciding whether area effects are important.</w:t>
      </w:r>
    </w:p>
    <w:p>
      <w:pPr>
        <w:pStyle w:val="Heading1"/>
      </w:pPr>
      <w:bookmarkStart w:id="24" w:name="how-eblupmfh2_robust.r-works"/>
      <w:r>
        <w:t xml:space="preserve">5. How eblupMFH2_robust.R works</w:t>
      </w:r>
      <w:bookmarkEnd w:id="24"/>
    </w:p>
    <w:p>
      <w:pPr>
        <w:pStyle w:val="Heading2"/>
      </w:pPr>
      <w:bookmarkStart w:id="25" w:name="Xbb7688a2177495788258db6f62ba5834b673523"/>
      <w:r>
        <w:t xml:space="preserve">5.1 It preserves the package result when usable</w:t>
      </w:r>
      <w:bookmarkEnd w:id="25"/>
    </w:p>
    <w:p>
      <w:pPr>
        <w:pStyle w:val="FirstParagraph"/>
      </w:pPr>
      <w:r>
        <w:t xml:space="preserve">The public function</w:t>
      </w:r>
      <w:r>
        <w:t xml:space="preserve"> </w:t>
      </w:r>
      <w:r>
        <w:rPr>
          <w:rStyle w:val="VerbatimChar"/>
        </w:rPr>
        <w:t xml:space="preserve">eblupMFH2_robust()</w:t>
      </w:r>
      <w:r>
        <w:t xml:space="preserve"> </w:t>
      </w:r>
      <w:r>
        <w:t xml:space="preserve">first calls the original or patched</w:t>
      </w:r>
      <w:r>
        <w:t xml:space="preserve"> </w:t>
      </w:r>
      <w:r>
        <w:rPr>
          <w:rStyle w:val="VerbatimChar"/>
        </w:rPr>
        <w:t xml:space="preserve">eblupMFH2()</w:t>
      </w:r>
      <w:r>
        <w:t xml:space="preserve"> </w:t>
      </w:r>
      <w:r>
        <w:t xml:space="preserve">through</w:t>
      </w:r>
      <w:r>
        <w:t xml:space="preserve"> </w:t>
      </w:r>
      <w:r>
        <w:rPr>
          <w:rStyle w:val="VerbatimChar"/>
        </w:rPr>
        <w:t xml:space="preserve">.orig_fn</w:t>
      </w:r>
      <w:r>
        <w:t xml:space="preserve">. If</w:t>
      </w:r>
      <w:r>
        <w:t xml:space="preserve"> </w:t>
      </w:r>
      <w:r>
        <w:rPr>
          <w:rStyle w:val="VerbatimChar"/>
        </w:rPr>
        <w:t xml:space="preserve">base_fit$fit$refvar &gt; 1e-12</w:t>
      </w:r>
      <w:r>
        <w:t xml:space="preserve">, the result is returned unchanged. This makes the wrapper backward-compatible for ordinary cases and ensures that the fallback is used only for boundary or near-boundary fits.</w:t>
      </w:r>
    </w:p>
    <w:p>
      <w:pPr>
        <w:pStyle w:val="Heading2"/>
      </w:pPr>
      <w:bookmarkStart w:id="26" w:name="it-rebuilds-the-matrices-mfh2-needs"/>
      <w:r>
        <w:t xml:space="preserve">5.2 It rebuilds the matrices MFH2 needs</w:t>
      </w:r>
      <w:bookmarkEnd w:id="26"/>
    </w:p>
    <w:p>
      <w:pPr>
        <w:pStyle w:val="FirstParagraph"/>
      </w:pPr>
      <w:r>
        <w:t xml:space="preserve">If the package fit fails or returns</w:t>
      </w:r>
      <w:r>
        <w:t xml:space="preserve"> </w:t>
      </w:r>
      <w:r>
        <w:rPr>
          <w:rStyle w:val="VerbatimChar"/>
        </w:rPr>
        <w:t xml:space="preserve">refvar = 0</w:t>
      </w:r>
      <w:r>
        <w:t xml:space="preserve">,</w:t>
      </w:r>
      <w:r>
        <w:t xml:space="preserve"> </w:t>
      </w:r>
      <w:r>
        <w:rPr>
          <w:rStyle w:val="VerbatimChar"/>
        </w:rPr>
        <w:t xml:space="preserve">.eblupMFH2_optim_refit()</w:t>
      </w:r>
      <w:r>
        <w:t xml:space="preserve"> </w:t>
      </w:r>
      <w:r>
        <w:t xml:space="preserve">reconstructs:</w:t>
      </w:r>
    </w:p>
    <w:p>
      <w:pPr>
        <w:numPr>
          <w:ilvl w:val="0"/>
          <w:numId w:val="1002"/>
        </w:numPr>
        <w:pStyle w:val="Compact"/>
      </w:pPr>
      <w:r>
        <w:t xml:space="preserve">the stacked response vector</w:t>
      </w:r>
      <w:r>
        <w:t xml:space="preserve"> </w:t>
      </w:r>
      <w:r>
        <w:rPr>
          <w:rStyle w:val="VerbatimChar"/>
        </w:rPr>
        <w:t xml:space="preserve">y.matrix</w:t>
      </w:r>
      <w:r>
        <w:t xml:space="preserve">;</w:t>
      </w:r>
    </w:p>
    <w:p>
      <w:pPr>
        <w:numPr>
          <w:ilvl w:val="0"/>
          <w:numId w:val="1002"/>
        </w:numPr>
        <w:pStyle w:val="Compact"/>
      </w:pPr>
      <w:r>
        <w:t xml:space="preserve">the block-diagonal design matrix</w:t>
      </w:r>
      <w:r>
        <w:t xml:space="preserve"> </w:t>
      </w:r>
      <w:r>
        <w:rPr>
          <w:rStyle w:val="VerbatimChar"/>
        </w:rPr>
        <w:t xml:space="preserve">x.matrix</w:t>
      </w:r>
      <w:r>
        <w:t xml:space="preserve">, using</w:t>
      </w:r>
      <w:r>
        <w:t xml:space="preserve"> </w:t>
      </w:r>
      <w:r>
        <w:rPr>
          <w:rStyle w:val="VerbatimChar"/>
        </w:rPr>
        <w:t xml:space="preserve">magic::adiag</w:t>
      </w:r>
      <w:r>
        <w:t xml:space="preserve">, as</w:t>
      </w:r>
      <w:r>
        <w:t xml:space="preserve"> </w:t>
      </w:r>
      <w:r>
        <w:rPr>
          <w:rStyle w:val="VerbatimChar"/>
        </w:rPr>
        <w:t xml:space="preserve">msae</w:t>
      </w:r>
      <w:r>
        <w:t xml:space="preserve"> </w:t>
      </w:r>
      <w:r>
        <w:t xml:space="preserve">does;</w:t>
      </w:r>
    </w:p>
    <w:p>
      <w:pPr>
        <w:numPr>
          <w:ilvl w:val="0"/>
          <w:numId w:val="1002"/>
        </w:numPr>
        <w:pStyle w:val="Compact"/>
      </w:pPr>
      <w:r>
        <w:t xml:space="preserve">the known sampling-error covariance matrix</w:t>
      </w:r>
      <w:r>
        <w:t xml:space="preserve"> </w:t>
      </w:r>
      <m:oMath>
        <m:r>
          <m:t>R</m:t>
        </m:r>
      </m:oMath>
      <w:r>
        <w:t xml:space="preserve">, using a local copy of</w:t>
      </w:r>
      <w:r>
        <w:t xml:space="preserve"> </w:t>
      </w:r>
      <w:r>
        <w:rPr>
          <w:rStyle w:val="VerbatimChar"/>
        </w:rPr>
        <w:t xml:space="preserve">df2matR</w:t>
      </w:r>
      <w:r>
        <w:t xml:space="preserve">;</w:t>
      </w:r>
    </w:p>
    <w:p>
      <w:pPr>
        <w:numPr>
          <w:ilvl w:val="0"/>
          <w:numId w:val="1002"/>
        </w:numPr>
        <w:pStyle w:val="Compact"/>
      </w:pPr>
      <w:r>
        <w:t xml:space="preserve">the AR(1) random-effects covariance</w:t>
      </w:r>
      <w:r>
        <w:t xml:space="preserve"> </w:t>
      </w:r>
      <m:oMath>
        <m:r>
          <m:t>G</m:t>
        </m:r>
      </m:oMath>
      <w:r>
        <w:t xml:space="preserve"> </w:t>
      </w:r>
      <w:r>
        <w:t xml:space="preserve">and its domain-stacked version</w:t>
      </w:r>
      <w:r>
        <w:t xml:space="preserve"> </w:t>
      </w:r>
      <w:r>
        <w:rPr>
          <w:rStyle w:val="VerbatimChar"/>
        </w:rPr>
        <w:t xml:space="preserve">GI</w:t>
      </w:r>
      <w:r>
        <w:t xml:space="preserve">.</w:t>
      </w:r>
    </w:p>
    <w:p>
      <w:pPr>
        <w:pStyle w:val="FirstParagraph"/>
      </w:pPr>
      <w:r>
        <w:t xml:space="preserve">The local</w:t>
      </w:r>
      <w:r>
        <w:t xml:space="preserve"> </w:t>
      </w:r>
      <w:r>
        <w:rPr>
          <w:rStyle w:val="VerbatimChar"/>
        </w:rPr>
        <w:t xml:space="preserve">df2matR</w:t>
      </w:r>
      <w:r>
        <w:t xml:space="preserve"> </w:t>
      </w:r>
      <w:r>
        <w:t xml:space="preserve">copy avoids reliance on unexported</w:t>
      </w:r>
      <w:r>
        <w:t xml:space="preserve"> </w:t>
      </w:r>
      <w:r>
        <w:rPr>
          <w:rStyle w:val="VerbatimChar"/>
        </w:rPr>
        <w:t xml:space="preserve">msae</w:t>
      </w:r>
      <w:r>
        <w:t xml:space="preserve"> </w:t>
      </w:r>
      <w:r>
        <w:t xml:space="preserve">internals.</w:t>
      </w:r>
    </w:p>
    <w:p>
      <w:pPr>
        <w:pStyle w:val="Heading2"/>
      </w:pPr>
      <w:bookmarkStart w:id="27" w:name="Xdf13f6611d4a3679f0becbf06ab5c51e475824c"/>
      <w:r>
        <w:t xml:space="preserve">5.3 It optimizes the same REML profile criterion on a constrained scale</w:t>
      </w:r>
      <w:bookmarkEnd w:id="27"/>
    </w:p>
    <w:p>
      <w:pPr>
        <w:pStyle w:val="FirstParagraph"/>
      </w:pPr>
      <w:r>
        <w:t xml:space="preserve">The fallback minimizes the negative REML objective</w:t>
      </w:r>
    </w:p>
    <w:p>
      <w:pPr>
        <w:pStyle w:val="BodyText"/>
      </w:pPr>
      <m:oMathPara>
        <m:oMathParaPr>
          <m:jc m:val="center"/>
        </m:oMathParaPr>
        <m:oMath>
          <m:f>
            <m:fPr>
              <m:type m:val="lin"/>
            </m:fPr>
            <m:num>
              <m:r>
                <m:t>1</m:t>
              </m:r>
            </m:num>
            <m:den>
              <m:r>
                <m:t>2</m:t>
              </m:r>
            </m:den>
          </m:f>
          <m:r>
            <m:t>(</m:t>
          </m:r>
          <m:r>
            <m:rPr>
              <m:nor/>
              <m:sty m:val="p"/>
            </m:rPr>
            <m:t>log</m:t>
          </m:r>
          <m:r>
            <m:t>|</m:t>
          </m:r>
          <m:r>
            <m:t>V</m:t>
          </m:r>
          <m:r>
            <m:t>|</m:t>
          </m:r>
          <m:r>
            <m:t>+</m:t>
          </m:r>
          <m:r>
            <m:rPr>
              <m:nor/>
              <m:sty m:val="p"/>
            </m:rPr>
            <m:t>log</m:t>
          </m:r>
          <m:r>
            <m:t>|</m:t>
          </m:r>
          <m:sSup>
            <m:e>
              <m:r>
                <m:t>X</m:t>
              </m:r>
            </m:e>
            <m:sup>
              <m:r>
                <m:t>⊤</m:t>
              </m:r>
            </m:sup>
          </m:sSup>
          <m:sSup>
            <m:e>
              <m:r>
                <m:t>V</m:t>
              </m:r>
            </m:e>
            <m:sup>
              <m:r>
                <m:t>−</m:t>
              </m:r>
              <m:r>
                <m:t>1</m:t>
              </m:r>
            </m:sup>
          </m:sSup>
          <m:r>
            <m:t>X</m:t>
          </m:r>
          <m:r>
            <m:t>|</m:t>
          </m:r>
          <m:r>
            <m:t>+</m:t>
          </m:r>
          <m:sSup>
            <m:e>
              <m:r>
                <m:t>y</m:t>
              </m:r>
            </m:e>
            <m:sup>
              <m:r>
                <m:t>⊤</m:t>
              </m:r>
            </m:sup>
          </m:sSup>
          <m:r>
            <m:t>P</m:t>
          </m:r>
          <m:r>
            <m:t> </m:t>
          </m:r>
          <m:r>
            <m:t>y</m:t>
          </m:r>
          <m:r>
            <m:t>)</m:t>
          </m:r>
          <m:r>
            <m:t>,</m:t>
          </m:r>
        </m:oMath>
      </m:oMathPara>
    </w:p>
    <w:p>
      <w:pPr>
        <w:pStyle w:val="FirstParagraph"/>
      </w:pPr>
      <w:r>
        <w:t xml:space="preserve">where</w:t>
      </w:r>
    </w:p>
    <w:p>
      <w:pPr>
        <w:pStyle w:val="BodyText"/>
      </w:pPr>
      <m:oMathPara>
        <m:oMathParaPr>
          <m:jc m:val="center"/>
        </m:oMathParaPr>
        <m:oMath>
          <m:r>
            <m:t>V</m:t>
          </m:r>
          <m:r>
            <m:t>=</m:t>
          </m:r>
          <m:r>
            <m:t>G</m:t>
          </m:r>
          <m:r>
            <m:t>+</m:t>
          </m:r>
          <m:r>
            <m:t>R</m:t>
          </m:r>
          <m:r>
            <m:t>,</m:t>
          </m:r>
          <m:r>
            <m:t>  </m:t>
          </m:r>
          <m:r>
            <m:t>P</m:t>
          </m:r>
          <m:r>
            <m:t>=</m:t>
          </m:r>
          <m:sSup>
            <m:e>
              <m:r>
                <m:t>V</m:t>
              </m:r>
            </m:e>
            <m:sup>
              <m:r>
                <m:t>−</m:t>
              </m:r>
              <m:r>
                <m:t>1</m:t>
              </m:r>
            </m:sup>
          </m:sSup>
          <m:r>
            <m:t>−</m:t>
          </m:r>
          <m:sSup>
            <m:e>
              <m:r>
                <m:t>V</m:t>
              </m:r>
            </m:e>
            <m:sup>
              <m:r>
                <m:t>−</m:t>
              </m:r>
              <m:r>
                <m:t>1</m:t>
              </m:r>
            </m:sup>
          </m:sSup>
          <m:r>
            <m:t>X</m:t>
          </m:r>
          <m:r>
            <m:t>(</m:t>
          </m:r>
          <m:sSup>
            <m:e>
              <m:r>
                <m:t>X</m:t>
              </m:r>
            </m:e>
            <m:sup>
              <m:r>
                <m:t>⊤</m:t>
              </m:r>
            </m:sup>
          </m:sSup>
          <m:sSup>
            <m:e>
              <m:r>
                <m:t>V</m:t>
              </m:r>
            </m:e>
            <m:sup>
              <m:r>
                <m:t>−</m:t>
              </m:r>
              <m:r>
                <m:t>1</m:t>
              </m:r>
            </m:sup>
          </m:sSup>
          <m:r>
            <m:t>X</m:t>
          </m:r>
          <m:sSup>
            <m:e>
              <m:r>
                <m:t>)</m:t>
              </m:r>
            </m:e>
            <m:sup>
              <m:r>
                <m:t>−</m:t>
              </m:r>
              <m:r>
                <m:t>1</m:t>
              </m:r>
            </m:sup>
          </m:sSup>
          <m:sSup>
            <m:e>
              <m:r>
                <m:t>X</m:t>
              </m:r>
            </m:e>
            <m:sup>
              <m:r>
                <m:t>⊤</m:t>
              </m:r>
            </m:sup>
          </m:sSup>
          <m:sSup>
            <m:e>
              <m:r>
                <m:t>V</m:t>
              </m:r>
            </m:e>
            <m:sup>
              <m:r>
                <m:t>−</m:t>
              </m:r>
              <m:r>
                <m:t>1</m:t>
              </m:r>
            </m:sup>
          </m:sSup>
          <m:r>
            <m:t>.</m:t>
          </m:r>
        </m:oMath>
      </m:oMathPara>
    </w:p>
    <w:p>
      <w:pPr>
        <w:pStyle w:val="FirstParagraph"/>
      </w:pPr>
      <w:r>
        <w:t xml:space="preserve">Instead of optimizing the raw pair</w:t>
      </w:r>
      <w:r>
        <w:t xml:space="preserve"> </w:t>
      </w:r>
      <m:oMath>
        <m:r>
          <m:t>(</m:t>
        </m:r>
        <m:sSubSup>
          <m:e>
            <m:r>
              <m:t>σ</m:t>
            </m:r>
          </m:e>
          <m:sub>
            <m:r>
              <m:t>u</m:t>
            </m:r>
          </m:sub>
          <m:sup>
            <m:r>
              <m:t>2</m:t>
            </m:r>
          </m:sup>
        </m:sSubSup>
        <m:r>
          <m:t>,</m:t>
        </m:r>
        <m:sSub>
          <m:e>
            <m:r>
              <m:t>ρ</m:t>
            </m:r>
          </m:e>
          <m:sub>
            <m:r>
              <m:t>u</m:t>
            </m:r>
          </m:sub>
        </m:sSub>
        <m:r>
          <m:t>)</m:t>
        </m:r>
      </m:oMath>
      <w:r>
        <w:t xml:space="preserve">, it uses</w:t>
      </w:r>
    </w:p>
    <w:p>
      <w:pPr>
        <w:pStyle w:val="BodyText"/>
      </w:pPr>
      <m:oMathPara>
        <m:oMathParaPr>
          <m:jc m:val="center"/>
        </m:oMathParaPr>
        <m:oMath>
          <m:r>
            <m:t>τ</m:t>
          </m:r>
          <m:r>
            <m:t>=</m:t>
          </m:r>
          <m:r>
            <m:rPr>
              <m:nor/>
              <m:sty m:val="p"/>
            </m:rPr>
            <m:t>log</m:t>
          </m:r>
          <m:sSubSup>
            <m:e>
              <m:r>
                <m:t>σ</m:t>
              </m:r>
            </m:e>
            <m:sub>
              <m:r>
                <m:t>u</m:t>
              </m:r>
            </m:sub>
            <m:sup>
              <m:r>
                <m:t>2</m:t>
              </m:r>
            </m:sup>
          </m:sSubSup>
          <m:r>
            <m:t>,</m:t>
          </m:r>
          <m:r>
            <m:t> </m:t>
          </m:r>
          <m:r>
            <m:t>η</m:t>
          </m:r>
          <m:r>
            <m:t>=</m:t>
          </m:r>
          <m:r>
            <m:rPr>
              <m:nor/>
              <m:sty m:val="p"/>
            </m:rPr>
            <m:t>atanh</m:t>
          </m:r>
          <m:r>
            <m:t>(</m:t>
          </m:r>
          <m:sSub>
            <m:e>
              <m:r>
                <m:t>ρ</m:t>
              </m:r>
            </m:e>
            <m:sub>
              <m:r>
                <m:t>u</m:t>
              </m:r>
            </m:sub>
          </m:sSub>
          <m:r>
            <m:t>)</m:t>
          </m:r>
          <m:r>
            <m:t>,</m:t>
          </m:r>
          <m:r>
            <m:t>  </m:t>
          </m:r>
          <m:sSubSup>
            <m:e>
              <m:r>
                <m:t>σ</m:t>
              </m:r>
            </m:e>
            <m:sub>
              <m:r>
                <m:t>u</m:t>
              </m:r>
            </m:sub>
            <m:sup>
              <m:r>
                <m:t>2</m:t>
              </m:r>
            </m:sup>
          </m:sSubSup>
          <m:r>
            <m:t>=</m:t>
          </m:r>
          <m:sSup>
            <m:e>
              <m:r>
                <m:t>e</m:t>
              </m:r>
            </m:e>
            <m:sup>
              <m:r>
                <m:t>τ</m:t>
              </m:r>
            </m:sup>
          </m:sSup>
          <m:r>
            <m:t>,</m:t>
          </m:r>
          <m:r>
            <m:t> </m:t>
          </m:r>
          <m:sSub>
            <m:e>
              <m:r>
                <m:t>ρ</m:t>
              </m:r>
            </m:e>
            <m:sub>
              <m:r>
                <m:t>u</m:t>
              </m:r>
            </m:sub>
          </m:sSub>
          <m:r>
            <m:t>=</m:t>
          </m:r>
          <m:r>
            <m:rPr>
              <m:nor/>
              <m:sty m:val="p"/>
            </m:rPr>
            <m:t>tanh</m:t>
          </m:r>
          <m:r>
            <m:t>(</m:t>
          </m:r>
          <m:r>
            <m:t>η</m:t>
          </m:r>
          <m:r>
            <m:t>)</m:t>
          </m:r>
          <m:r>
            <m:t>.</m:t>
          </m:r>
        </m:oMath>
      </m:oMathPara>
    </w:p>
    <w:p>
      <w:pPr>
        <w:pStyle w:val="FirstParagraph"/>
      </w:pPr>
      <w:r>
        <w:t xml:space="preserve">This keeps the variance positive and the AR(1) correlation within its legal bounds throughout optimization. The code also uses Cholesky decompositions to reject a non-positive-definite</w:t>
      </w:r>
      <w:r>
        <w:t xml:space="preserve"> </w:t>
      </w:r>
      <m:oMath>
        <m:r>
          <m:t>V</m:t>
        </m:r>
      </m:oMath>
      <w:r>
        <w:t xml:space="preserve"> </w:t>
      </w:r>
      <w:r>
        <w:t xml:space="preserve">or</w:t>
      </w:r>
      <w:r>
        <w:t xml:space="preserve"> </w:t>
      </w:r>
      <m:oMath>
        <m:sSup>
          <m:e>
            <m:r>
              <m:t>X</m:t>
            </m:r>
          </m:e>
          <m:sup>
            <m:r>
              <m:t>⊤</m:t>
            </m:r>
          </m:sup>
        </m:sSup>
        <m:sSup>
          <m:e>
            <m:r>
              <m:t>V</m:t>
            </m:r>
          </m:e>
          <m:sup>
            <m:r>
              <m:t>−</m:t>
            </m:r>
            <m:r>
              <m:t>1</m:t>
            </m:r>
          </m:sup>
        </m:sSup>
        <m:r>
          <m:t>X</m:t>
        </m:r>
      </m:oMath>
      <w:r>
        <w:t xml:space="preserve">, returning a large objective value for invalid trials.</w:t>
      </w:r>
    </w:p>
    <w:p>
      <w:pPr>
        <w:pStyle w:val="BodyText"/>
      </w:pPr>
      <w:r>
        <w:t xml:space="preserve">Because</w:t>
      </w:r>
      <w:r>
        <w:t xml:space="preserve"> </w:t>
      </w:r>
      <m:oMath>
        <m:sSubSup>
          <m:e>
            <m:r>
              <m:t>σ</m:t>
            </m:r>
          </m:e>
          <m:sub>
            <m:r>
              <m:t>u</m:t>
            </m:r>
          </m:sub>
          <m:sup>
            <m:r>
              <m:t>2</m:t>
            </m:r>
          </m:sup>
        </m:sSubSup>
        <m:r>
          <m:t>=</m:t>
        </m:r>
        <m:sSup>
          <m:e>
            <m:r>
              <m:t>e</m:t>
            </m:r>
          </m:e>
          <m:sup>
            <m:r>
              <m:t>τ</m:t>
            </m:r>
          </m:sup>
        </m:sSup>
      </m:oMath>
      <w:r>
        <w:t xml:space="preserve"> </w:t>
      </w:r>
      <w:r>
        <w:t xml:space="preserve">is strictly positive, the fallback searches over the positive interior of the parameter space; it therefore cannot prove that the true REML optimum does not lie exactly at zero, only whether a feasible positive-variance solution attains a better REML value than the boundary fit. In practice, this means it checks whether a meaningful positive-variance solution can be recovered. If it cannot, the original boundary result is retained and flagged instead of being replaced.</w:t>
      </w:r>
    </w:p>
    <w:p>
      <w:pPr>
        <w:pStyle w:val="Heading2"/>
      </w:pPr>
      <w:bookmarkStart w:id="28" w:name="it-uses-multiple-starting-values"/>
      <w:r>
        <w:t xml:space="preserve">5.4 It uses multiple starting values</w:t>
      </w:r>
      <w:bookmarkEnd w:id="28"/>
    </w:p>
    <w:p>
      <w:pPr>
        <w:pStyle w:val="FirstParagraph"/>
      </w:pPr>
      <w:r>
        <w:t xml:space="preserve">The fallback starts BFGS optimization from five points, scaled to the average diagonal of</w:t>
      </w:r>
      <w:r>
        <w:t xml:space="preserve"> </w:t>
      </w:r>
      <m:oMath>
        <m:r>
          <m:t>R</m:t>
        </m:r>
      </m:oMath>
      <w:r>
        <w:t xml:space="preserve"> </w:t>
      </w:r>
      <w:r>
        <w:t xml:space="preserve">and using several candidate correlations. This is a practical guard against local optima or bad starts. The best finite objective value is retained.</w:t>
      </w:r>
    </w:p>
    <w:p>
      <w:pPr>
        <w:pStyle w:val="Heading2"/>
      </w:pPr>
      <w:bookmarkStart w:id="29" w:name="X90c125bff06cc6e9eaf9a49d1d3d71f4dd77e2c"/>
      <w:r>
        <w:t xml:space="preserve">5.5 It reconstructs an eblupMFH2()-compatible object</w:t>
      </w:r>
      <w:bookmarkEnd w:id="29"/>
    </w:p>
    <w:p>
      <w:pPr>
        <w:pStyle w:val="FirstParagraph"/>
      </w:pPr>
      <w:r>
        <w:t>After optimization, .eblupMFH2_finalize() rebuilds the same output structure as msae::eblupMFH2(): eblup, MSE, randomEffect, Rmatrix, fit$method, fit$convergence, fit$iterations, fit$estcoef, fit$refvar, fit$rho, and fit$informationFisher. Required symmetric inverses are attempted by Cholesky. If Cholesky fails, MASS::ginv is used with an explicit warning and the fallback method and condition number are recorded. If Fisher information remains unavailable, g3 and MSE are returned as NA rather than understating MSE as g1 + g2, and dependent test statistics are also unavailable. The returned object remains compatible with downstream MCPE, benchmarking, and comparison code.</w:t>
      </w:r>
    </w:p>
    <w:p>
      <w:pPr>
        <w:pStyle w:val="Heading2"/>
      </w:pPr>
      <w:bookmarkStart w:id="30" w:name="it-records-whether-the-fallback-was-used"/>
      <w:r>
        <w:t xml:space="preserve">5.6 It records whether the fallback was used</w:t>
      </w:r>
      <w:bookmarkEnd w:id="30"/>
    </w:p>
    <w:p>
      <w:pPr>
        <w:pStyle w:val="FirstParagraph"/>
      </w:pPr>
      <w:r>
        <w:t>If the constrained refit succeeds, the returned object gets attr(result, ".robust_refit_used") = TRUE. If the constrained refit cannot recover a meaningful positive-variance solution, the original boundary result is returned with attr(result, ".robust_refit_failed") = TRUE. fit$numerical_diagnostics records the inversion method and availability for the marginal covariance, fixed-effect information, and Fisher information, plus g3_available; successful Cholesky paths report a labeled low-cost condition-number estimate, while inversion-fallback paths report an exact condition number when it can be computed. The pipeline writes these fields to mfh_numerical_diagnostics.csv and run_metadata.rds, summarizes them in the run log, and displays them in the final report.</w:t>
      </w:r>
    </w:p>
    <w:p>
      <w:pPr>
        <w:pStyle w:val="Heading1"/>
      </w:pPr>
      <w:bookmarkStart w:id="31" w:name="X2aa1a597fee0edd31516fd9007df7a7264ac6cd"/>
      <w:r>
        <w:t xml:space="preserve">6. Why the constrained fallback is a defensible numerical safeguard</w:t>
      </w:r>
      <w:bookmarkEnd w:id="31"/>
    </w:p>
    <w:p>
      <w:pPr>
        <w:pStyle w:val="Heading2"/>
      </w:pPr>
      <w:bookmarkStart w:id="32" w:name="X8a170967b8618408c3e61476bcc103dad46e07c"/>
      <w:r>
        <w:t xml:space="preserve">6.1 It keeps the accepted MFH2 model and REML/EBLUP framework</w:t>
      </w:r>
      <w:bookmarkEnd w:id="32"/>
    </w:p>
    <w:p>
      <w:pPr>
        <w:pStyle w:val="FirstParagraph"/>
      </w:pPr>
      <w:r>
        <w:t xml:space="preserve">The wrapper keeps the same MFH2 model described in the</w:t>
      </w:r>
      <w:r>
        <w:t xml:space="preserve"> </w:t>
      </w:r>
      <w:r>
        <w:rPr>
          <w:rStyle w:val="VerbatimChar"/>
        </w:rPr>
        <w:t xml:space="preserve">msae</w:t>
      </w:r>
      <w:r>
        <w:t xml:space="preserve"> </w:t>
      </w:r>
      <w:r>
        <w:t xml:space="preserve">R Journal paper and in Benavent and Morales (2016): a multivariate Fay–Herriot model with AR(1) random effects, REML variance-component estimation, and EBLUP prediction. The difference is only the numerical route used after the package implementation has produced a boundary variance. This is why the wrapper should be interpreted as a numerical safeguard rather than as an alternative SAE estimator.</w:t>
      </w:r>
    </w:p>
    <w:p>
      <w:pPr>
        <w:pStyle w:val="Heading2"/>
      </w:pPr>
      <w:bookmarkStart w:id="33" w:name="Xc6789f1101c464c0e228f032489238946bc9a4b"/>
      <w:r>
        <w:t xml:space="preserve">6.2 It directly addresses a known Fay–Herriot weakness</w:t>
      </w:r>
      <w:bookmarkEnd w:id="33"/>
    </w:p>
    <w:p>
      <w:pPr>
        <w:pStyle w:val="FirstParagraph"/>
      </w:pPr>
      <w:r>
        <w:t xml:space="preserve">The small-area literature repeatedly notes that standard variance-component estimators in Fay–Herriot models can return zero estimates of a strictly positive random-effects variance. Li and Lahiri (2010) and related adjusted-likelihood work (Yoshimori and Lahiri, 2014) motivate this concern: zero or nonpositive variance-component estimates can eliminate the area-level random-effect contribution and thereby overshrink predictions toward the regression-synthetic estimator. Rubin-Bleuer and You (2016) likewise state that a zero REML variance makes the EBLUP become synthetic and is often undesirable in practice. Halbmeier et al. (2019) describe adjusted likelihood methods in applied Fay–Herriot software precisely because REML/MLE do not guarantee positive variance estimates.</w:t>
      </w:r>
    </w:p>
    <w:p>
      <w:pPr>
        <w:pStyle w:val="BodyText"/>
      </w:pPr>
      <w:r>
        <w:t xml:space="preserve">The robust wrapper is more conservative than adjusted likelihood methods. It does not change the likelihood by adding an adjustment factor. It first tries the standard</w:t>
      </w:r>
      <w:r>
        <w:t xml:space="preserve"> </w:t>
      </w:r>
      <w:r>
        <w:rPr>
          <w:rStyle w:val="VerbatimChar"/>
        </w:rPr>
        <w:t xml:space="preserve">msae</w:t>
      </w:r>
      <w:r>
        <w:t xml:space="preserve"> </w:t>
      </w:r>
      <w:r>
        <w:t xml:space="preserve">result and only refits the same REML objective under valid constraints when the returned variance is zero or numerically indistinguishable from zero. This is a modest numerical check rather than a new estimator family.</w:t>
      </w:r>
    </w:p>
    <w:p>
      <w:pPr>
        <w:pStyle w:val="Heading2"/>
      </w:pPr>
      <w:bookmarkStart w:id="34" w:name="Xa467b8356ea50542dc240519fe2f5d84551cbd2"/>
      <w:r>
        <w:t xml:space="preserve">6.3 It follows standard mixed-model optimization practice</w:t>
      </w:r>
      <w:bookmarkEnd w:id="34"/>
    </w:p>
    <w:p>
      <w:pPr>
        <w:pStyle w:val="FirstParagraph"/>
      </w:pPr>
      <w:r>
        <w:t xml:space="preserve">Modern mixed-model software commonly uses constrained or transformed covariance parameterizations so that optimization respects the admissible parameter space for covariance matrices. The</w:t>
      </w:r>
      <w:r>
        <w:t xml:space="preserve"> </w:t>
      </w:r>
      <w:r>
        <w:rPr>
          <w:rStyle w:val="VerbatimChar"/>
        </w:rPr>
        <w:t xml:space="preserve">lme4</w:t>
      </w:r>
      <w:r>
        <w:t xml:space="preserve"> </w:t>
      </w:r>
      <w:r>
        <w:t xml:space="preserve">framework (Bates et al., 2015), for example, illustrates this broader computational principle for mixed models. The fallback’s use of</w:t>
      </w:r>
      <w:r>
        <w:t xml:space="preserve"> </w:t>
      </w:r>
      <m:oMath>
        <m:r>
          <m:rPr>
            <m:nor/>
            <m:sty m:val="p"/>
          </m:rPr>
          <m:t>log</m:t>
        </m:r>
        <m:sSubSup>
          <m:e>
            <m:r>
              <m:t>σ</m:t>
            </m:r>
          </m:e>
          <m:sub>
            <m:r>
              <m:t>u</m:t>
            </m:r>
          </m:sub>
          <m:sup>
            <m:r>
              <m:t>2</m:t>
            </m:r>
          </m:sup>
        </m:sSubSup>
      </m:oMath>
      <w:r>
        <w:t xml:space="preserve"> </w:t>
      </w:r>
      <w:r>
        <w:t xml:space="preserve">and</w:t>
      </w:r>
      <w:r>
        <w:t xml:space="preserve"> </w:t>
      </w:r>
      <m:oMath>
        <m:r>
          <m:rPr>
            <m:nor/>
            <m:sty m:val="p"/>
          </m:rPr>
          <m:t>atanh</m:t>
        </m:r>
        <m:r>
          <m:t>(</m:t>
        </m:r>
        <m:sSub>
          <m:e>
            <m:r>
              <m:t>ρ</m:t>
            </m:r>
          </m:e>
          <m:sub>
            <m:r>
              <m:t>u</m:t>
            </m:r>
          </m:sub>
        </m:sSub>
        <m:r>
          <m:t>)</m:t>
        </m:r>
      </m:oMath>
      <w:r>
        <w:t xml:space="preserve"> </w:t>
      </w:r>
      <w:r>
        <w:t xml:space="preserve">follows the same general principle: the variance remains positive and the AR(1) correlation remains within its legal bounds throughout optimization.</w:t>
      </w:r>
    </w:p>
    <w:p>
      <w:pPr>
        <w:pStyle w:val="Heading2"/>
      </w:pPr>
      <w:bookmarkStart w:id="35" w:name="Xcbb5cec7389658d03c9371a05410598e6cf41e7"/>
      <w:r>
        <w:t xml:space="preserve">6.4 It gives a stronger diagnosis than accepting zero immediately</w:t>
      </w:r>
      <w:bookmarkEnd w:id="35"/>
    </w:p>
    <w:p>
      <w:pPr>
        <w:pStyle w:val="FirstParagraph"/>
      </w:pPr>
      <w:r>
        <w:t xml:space="preserve">If the original</w:t>
      </w:r>
      <w:r>
        <w:t xml:space="preserve"> </w:t>
      </w:r>
      <w:r>
        <w:rPr>
          <w:rStyle w:val="VerbatimChar"/>
        </w:rPr>
        <w:t xml:space="preserve">msae</w:t>
      </w:r>
      <w:r>
        <w:t xml:space="preserve"> </w:t>
      </w:r>
      <w:r>
        <w:t xml:space="preserve">Fisher-scoring update returns zero and the constrained fallback recovers a meaningful positive-variance solution, the original boundary result was likely influenced by the raw-scale numerical update. In that case, the fallback provides a feasible REML solution while preserving the MFH2 model and downstream formulas.</w:t>
      </w:r>
    </w:p>
    <w:p>
      <w:pPr>
        <w:pStyle w:val="BodyText"/>
      </w:pPr>
      <w:r>
        <w:t xml:space="preserve">If the original update returns zero and the constrained fallback cannot recover a meaningful positive-variance solution, the pipeline has stronger evidence that the boundary result may be substantive rather than merely an artifact of the raw-scale update. The boundary fit is then retained and flagged, so the result remains transparent.</w:t>
      </w:r>
    </w:p>
    <w:p>
      <w:pPr>
        <w:pStyle w:val="BodyText"/>
      </w:pPr>
      <w:r>
        <w:t xml:space="preserve">This two-step behavior is the main reason the wrapper is defensible. It does not overrule the package implementation in ordinary cases, and it does not force a positive variance when the fallback cannot support one. It intervenes only in the narrow situation where a feasible-space optimizer provides a credible positive-variance REML solution.</w:t>
      </w:r>
    </w:p>
    <w:p>
      <w:pPr>
        <w:pStyle w:val="Heading1"/>
      </w:pPr>
      <w:bookmarkStart w:id="36" w:name="concluding-remarks"/>
      <w:r>
        <w:t xml:space="preserve">7. Concluding remarks</w:t>
      </w:r>
      <w:bookmarkEnd w:id="36"/>
    </w:p>
    <w:p>
      <w:pPr>
        <w:pStyle w:val="FirstParagraph"/>
      </w:pPr>
      <w:r>
        <w:t xml:space="preserve">MFH2 estimates were fitted using the standard autoregressive multivariate Fay–Herriot REML/EBLUP framework. When the package implementation returned a boundary random-effects variance (</w:t>
      </w:r>
      <m:oMath>
        <m:sSubSup>
          <m:e>
            <m:r>
              <m:t>σ</m:t>
            </m:r>
          </m:e>
          <m:sub>
            <m:r>
              <m:t>u</m:t>
            </m:r>
          </m:sub>
          <m:sup>
            <m:r>
              <m:t>2</m:t>
            </m:r>
          </m:sup>
        </m:sSubSup>
        <m:r>
          <m:t>=</m:t>
        </m:r>
        <m:r>
          <m:t>0</m:t>
        </m:r>
      </m:oMath>
      <w:r>
        <w:t xml:space="preserve">), we treated this as a numerical warning rather than automatic evidence of no area-level signal. In those cases only, we refit the same REML objective using a constrained parameterization,</w:t>
      </w:r>
      <w:r>
        <w:t xml:space="preserve"> </w:t>
      </w:r>
      <m:oMath>
        <m:r>
          <m:rPr>
            <m:nor/>
            <m:sty m:val="p"/>
          </m:rPr>
          <m:t>log</m:t>
        </m:r>
        <m:sSubSup>
          <m:e>
            <m:r>
              <m:t>σ</m:t>
            </m:r>
          </m:e>
          <m:sub>
            <m:r>
              <m:t>u</m:t>
            </m:r>
          </m:sub>
          <m:sup>
            <m:r>
              <m:t>2</m:t>
            </m:r>
          </m:sup>
        </m:sSubSup>
      </m:oMath>
      <w:r>
        <w:t xml:space="preserve"> </w:t>
      </w:r>
      <w:r>
        <w:t xml:space="preserve">and</w:t>
      </w:r>
      <w:r>
        <w:t xml:space="preserve"> </w:t>
      </w:r>
      <m:oMath>
        <m:r>
          <m:rPr>
            <m:nor/>
            <m:sty m:val="p"/>
          </m:rPr>
          <m:t>atanh</m:t>
        </m:r>
        <m:r>
          <m:t>(</m:t>
        </m:r>
        <m:sSub>
          <m:e>
            <m:r>
              <m:t>ρ</m:t>
            </m:r>
          </m:e>
          <m:sub>
            <m:r>
              <m:t>u</m:t>
            </m:r>
          </m:sub>
        </m:sSub>
        <m:r>
          <m:t>)</m:t>
        </m:r>
      </m:oMath>
      <w:r>
        <w:t xml:space="preserve">, so that the variance and AR(1) correlation remained in the admissible parameter space during optimization. Positive package fits were retained unchanged. If the constrained refit could not recover a meaningful positive variance, the original boundary fit was retained and flagged. This safeguard does not introduce a new SAE model or adjusted likelihood; it is a conservative numerical check consistent with the Fay–Herriot literature on zero variance-component estimates and with standard mixed-model practice for constrained covariance estimation.</w:t>
      </w:r>
    </w:p>
    <w:p>
      <w:pPr>
        <w:pStyle w:val="Heading1"/>
      </w:pPr>
      <w:bookmarkStart w:id="37" w:name="references"/>
      <w:r>
        <w:t xml:space="preserve">8. References</w:t>
      </w:r>
      <w:bookmarkEnd w:id="37"/>
    </w:p>
    <w:p>
      <w:pPr>
        <w:pStyle w:val="FirstParagraph"/>
      </w:pPr>
      <w:r>
        <w:t xml:space="preserve">Bates, D., Mächler, M., Bolker, B., and Walker, S. (2015). Fitting linear mixed-effects models using lme4.</w:t>
      </w:r>
      <w:r>
        <w:t xml:space="preserve"> </w:t>
      </w:r>
      <w:r>
        <w:rPr>
          <w:i/>
        </w:rPr>
        <w:t xml:space="preserve">Journal of Statistical Software</w:t>
      </w:r>
      <w:r>
        <w:t xml:space="preserve">, 67(1), 1–48.</w:t>
      </w:r>
    </w:p>
    <w:p>
      <w:pPr>
        <w:pStyle w:val="BodyText"/>
      </w:pPr>
      <w:r>
        <w:t xml:space="preserve">Benavent, R. and Morales, D. (2016). Multivariate Fay–Herriot models for small area estimation.</w:t>
      </w:r>
      <w:r>
        <w:t xml:space="preserve"> </w:t>
      </w:r>
      <w:r>
        <w:rPr>
          <w:i/>
        </w:rPr>
        <w:t xml:space="preserve">Computational Statistics &amp; Data Analysis</w:t>
      </w:r>
      <w:r>
        <w:t xml:space="preserve">, 94, 372–390.</w:t>
      </w:r>
    </w:p>
    <w:p>
      <w:pPr>
        <w:pStyle w:val="BodyText"/>
      </w:pPr>
      <w:r>
        <w:t xml:space="preserve">Fay, R. E. and Herriot, R. A. (1979). Estimates of income for small places: an application of James–Stein procedures to census data.</w:t>
      </w:r>
      <w:r>
        <w:t xml:space="preserve"> </w:t>
      </w:r>
      <w:r>
        <w:rPr>
          <w:i/>
        </w:rPr>
        <w:t xml:space="preserve">Journal of the American Statistical Association</w:t>
      </w:r>
      <w:r>
        <w:t xml:space="preserve">, 74(366), 269–277.</w:t>
      </w:r>
    </w:p>
    <w:p>
      <w:pPr>
        <w:pStyle w:val="BodyText"/>
      </w:pPr>
      <w:r>
        <w:t xml:space="preserve">Halbmeier, C., Kreutzmann, A.-K., Schmid, T., and Schröder, C. (2019). The fayherriot command for estimating small-area indicators.</w:t>
      </w:r>
      <w:r>
        <w:t xml:space="preserve"> </w:t>
      </w:r>
      <w:r>
        <w:rPr>
          <w:i/>
        </w:rPr>
        <w:t xml:space="preserve">The Stata Journal</w:t>
      </w:r>
      <w:r>
        <w:t xml:space="preserve">, 19(3), 626–644.</w:t>
      </w:r>
    </w:p>
    <w:p>
      <w:pPr>
        <w:pStyle w:val="BodyText"/>
      </w:pPr>
      <w:r>
        <w:t xml:space="preserve">Li, H. and Lahiri, P. (2010). An adjusted maximum likelihood method for solving small area estimation problems.</w:t>
      </w:r>
      <w:r>
        <w:t xml:space="preserve"> </w:t>
      </w:r>
      <w:r>
        <w:rPr>
          <w:i/>
        </w:rPr>
        <w:t xml:space="preserve">Journal of Multivariate Analysis</w:t>
      </w:r>
      <w:r>
        <w:t xml:space="preserve">, 101(4), 882–892.</w:t>
      </w:r>
    </w:p>
    <w:p>
      <w:pPr>
        <w:pStyle w:val="BodyText"/>
      </w:pPr>
      <w:r>
        <w:t xml:space="preserve">Permatasari, N. and Ubaidillah, A. (2021). msae: an R package of multivariate Fay–Herriot models for small area estimation.</w:t>
      </w:r>
      <w:r>
        <w:t xml:space="preserve"> </w:t>
      </w:r>
      <w:r>
        <w:rPr>
          <w:i/>
        </w:rPr>
        <w:t xml:space="preserve">The R Journal</w:t>
      </w:r>
      <w:r>
        <w:t xml:space="preserve">, 13(2), 111–122.</w:t>
      </w:r>
    </w:p>
    <w:p>
      <w:pPr>
        <w:pStyle w:val="BodyText"/>
      </w:pPr>
      <w:r>
        <w:t xml:space="preserve">Rao, J. N. K. and Molina, I. (2015). Small Area Estimation, 2nd edition. Wiley, Hoboken.</w:t>
      </w:r>
    </w:p>
    <w:p>
      <w:pPr>
        <w:pStyle w:val="BodyText"/>
      </w:pPr>
      <w:r>
        <w:t xml:space="preserve">Rubin-Bleuer, S. and You, Y. (2016). Comparison of some positive variance estimators for the Fay–Herriot small area model.</w:t>
      </w:r>
      <w:r>
        <w:t xml:space="preserve"> </w:t>
      </w:r>
      <w:r>
        <w:rPr>
          <w:i/>
        </w:rPr>
        <w:t xml:space="preserve">Survey Methodology</w:t>
      </w:r>
      <w:r>
        <w:t xml:space="preserve">, 42(1), 63–85.</w:t>
      </w:r>
    </w:p>
    <w:p>
      <w:pPr>
        <w:pStyle w:val="BodyText"/>
      </w:pPr>
      <w:r>
        <w:t xml:space="preserve">Yoshimori, M. and Lahiri, P. (2014). A new adjusted maximum likelihood method for the Fay–Herriot small area model.</w:t>
      </w:r>
      <w:r>
        <w:t xml:space="preserve"> </w:t>
      </w:r>
      <w:r>
        <w:rPr>
          <w:i/>
        </w:rPr>
        <w:t xml:space="preserve">Journal of Multivariate Analysis</w:t>
      </w:r>
      <w:r>
        <w:t xml:space="preserve">, 124, 281–294.</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after="120" w:line="276" w:lineRule="auto"/>
      <w:jc w:val="both"/>
    </w:pPr>
    <w:rPr>
      <w:rFonts w:ascii="Times New Roman" w:hAnsi="Times New Roman"/>
      <w:color w:val="000000"/>
      <w:sz w:val="22"/>
    </w:rPr>
  </w:style>
  <w:style w:type="paragraph" w:styleId="BodyText">
    <w:name w:val="Body Text"/>
    <w:basedOn w:val="Normal"/>
    <w:link w:val="BodyTextChar"/>
    <w:pPr>
      <w:spacing w:before="180" w:after="120" w:line="276" w:lineRule="auto"/>
      <w:jc w:val="both"/>
    </w:pPr>
    <w:qFormat/>
    <w:rPr>
      <w:rFonts w:ascii="Times New Roman" w:hAnsi="Times New Roman"/>
      <w:color w:val="000000"/>
      <w:sz w:val="22"/>
    </w:rPr>
  </w:style>
  <w:style w:type="paragraph" w:customStyle="1" w:styleId="FirstParagraph">
    <w:name w:val="First Paragraph"/>
    <w:basedOn w:val="BodyText"/>
    <w:next w:val="BodyText"/>
    <w:qFormat/>
    <w:pPr>
      <w:spacing w:after="120" w:line="276" w:lineRule="auto"/>
      <w:jc w:val="both"/>
    </w:pPr>
    <w:rPr>
      <w:rFonts w:ascii="Times New Roman" w:hAnsi="Times New Roman"/>
      <w:color w:val="000000"/>
      <w:sz w:val="22"/>
    </w:rPr>
  </w:style>
  <w:style w:type="paragraph" w:customStyle="1" w:styleId="Compact">
    <w:name w:val="Compact"/>
    <w:basedOn w:val="BodyText"/>
    <w:qFormat/>
    <w:pPr>
      <w:spacing w:before="36" w:after="40" w:line="264" w:lineRule="auto"/>
      <w:jc w:val="left"/>
    </w:pPr>
    <w:rPr>
      <w:rFonts w:ascii="Times New Roman" w:hAnsi="Times New Roman"/>
      <w:color w:val="000000"/>
      <w:sz w:val="22"/>
    </w:rPr>
  </w:style>
  <w:style w:type="paragraph" w:styleId="Title">
    <w:name w:val="Title"/>
    <w:basedOn w:val="Normal"/>
    <w:next w:val="BodyText"/>
    <w:qFormat/>
    <w:pPr>
      <w:keepNext/>
      <w:spacing w:before="0" w:after="120" w:line="240" w:lineRule="auto"/>
      <w:jc w:val="center"/>
    </w:pPr>
    <w:rPr>
      <w:rFonts w:ascii="Times New Roman" w:hAnsi="Times New Roman" w:cs="Times New Roman"/>
      <w:b/>
      <w:color w:val="000000"/>
      <w:sz w:val="40"/>
    </w:rPr>
  </w:style>
  <w:style w:type="paragraph" w:styleId="Subtitle">
    <w:name w:val="Subtitle"/>
    <w:basedOn w:val="Title"/>
    <w:next w:val="BodyText"/>
    <w:qFormat/>
    <w:pPr>
      <w:keepNext/>
      <w:spacing w:before="0" w:after="240" w:line="240" w:lineRule="auto"/>
      <w:jc w:val="center"/>
    </w:pPr>
    <w:rPr>
      <w:rFonts w:ascii="Times New Roman" w:hAnsi="Times New Roman" w:cs="Times New Roman"/>
      <w:i/>
      <w:color w:val="000000"/>
      <w:sz w:val="24"/>
    </w:rPr>
  </w:style>
  <w:style w:type="paragraph" w:customStyle="1" w:styleId="Author">
    <w:name w:val="Author"/>
    <w:next w:val="BodyText"/>
    <w:qFormat/>
    <w:pPr>
      <w:keepNext/>
      <w:keepLines/>
      <w:spacing w:after="40"/>
      <w:jc w:val="center"/>
    </w:pPr>
    <w:rPr>
      <w:rFonts w:ascii="Times New Roman" w:hAnsi="Times New Roman"/>
      <w:color w:val="000000"/>
      <w:sz w:val="22"/>
    </w:rPr>
  </w:style>
  <w:style w:type="paragraph" w:styleId="Date">
    <w:name w:val="Date"/>
    <w:next w:val="BodyText"/>
    <w:qFormat/>
    <w:pPr>
      <w:keepNext/>
      <w:keepLines/>
      <w:spacing w:after="40"/>
      <w:jc w:val="center"/>
    </w:pPr>
    <w:rPr>
      <w:rFonts w:ascii="Times New Roman" w:hAnsi="Times New Roman"/>
      <w:color w:val="404040"/>
      <w:sz w:val="22"/>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spacing w:before="480" w:after="240" w:line="240" w:lineRule="auto"/>
      <w:jc w:val="center"/>
    </w:pPr>
    <w:rPr>
      <w:rFonts w:ascii="Times New Roman" w:hAnsi="Times New Roman" w:cs="Times New Roman"/>
      <w:b/>
      <w:color w:val="000000"/>
      <w:sz w:val="24"/>
    </w:rPr>
  </w:style>
  <w:style w:type="paragraph" w:styleId="Heading2">
    <w:name w:val="Heading 2"/>
    <w:basedOn w:val="Normal"/>
    <w:next w:val="BodyText"/>
    <w:uiPriority w:val="9"/>
    <w:unhideWhenUsed/>
    <w:qFormat/>
    <w:pPr>
      <w:keepNext/>
      <w:spacing w:before="280" w:after="120" w:line="240" w:lineRule="auto"/>
      <w:jc w:val="left"/>
    </w:pPr>
    <w:rPr>
      <w:rFonts w:ascii="Times New Roman" w:hAnsi="Times New Roman" w:cs="Times New Roman"/>
      <w:b/>
      <w:i/>
      <w:color w:val="000000"/>
      <w:sz w:val="22"/>
    </w:rPr>
  </w:style>
  <w:style w:type="paragraph" w:styleId="Heading3">
    <w:name w:val="Heading 3"/>
    <w:basedOn w:val="Normal"/>
    <w:next w:val="BodyText"/>
    <w:uiPriority w:val="9"/>
    <w:unhideWhenUsed/>
    <w:qFormat/>
    <w:pPr>
      <w:keepNext/>
      <w:spacing w:before="200" w:after="80" w:line="240" w:lineRule="auto"/>
      <w:jc w:val="left"/>
    </w:pPr>
    <w:rPr>
      <w:rFonts w:ascii="Times New Roman" w:hAnsi="Times New Roman" w:cs="Times New Roman"/>
      <w:i/>
      <w:color w:val="000000"/>
      <w:sz w:val="22"/>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20" w:line="276" w:lineRule="auto"/>
      <w:ind w:firstLine="0" w:left="480" w:right="480"/>
      <w:jc w:val="left"/>
    </w:pPr>
    <w:rPr>
      <w:rFonts w:ascii="Times New Roman" w:hAnsi="Times New Roman"/>
      <w:i w:val="0"/>
      <w:color w:val="000000"/>
      <w:sz w:val="22"/>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before="80" w:after="200"/>
      <w:jc w:val="center"/>
    </w:pPr>
    <w:rPr>
      <w:rFonts w:ascii="Times New Roman" w:hAnsi="Times New Roman"/>
      <w:i/>
      <w:color w:val="40404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360" w:line="259" w:lineRule="auto" w:after="200"/>
      <w:jc w:val="center"/>
      <w:outlineLvl w:val="9"/>
    </w:pPr>
    <w:rPr>
      <w:rFonts w:asciiTheme="majorHAnsi" w:eastAsiaTheme="majorEastAsia" w:hAnsiTheme="majorHAnsi" w:cstheme="majorBidi" w:ascii="Times New Roman" w:hAnsi="Times New Roman"/>
      <w:b/>
      <w:bCs w:val="0"/>
      <w:i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itle>Technical Note on eblupMFH2_robust.R</dc:title>
  <dc:creator>EU SAE application package contributors</dc:creator>
  <cp:keywords>EU SAE; MFH2; constrained REML; numerical diagnostics; 5.2.0-rc.4</cp:keywords>
  <dcterms:created xsi:type="dcterms:W3CDTF">2026-06-05T02:28:21Z</dcterms:created>
  <dcterms:modified xsi:type="dcterms:W3CDTF">2026-08-22T00:26:27Z</dcterms:modified>
  <dc:subject>Technical note revised for EU SAE application package 5.2.0-rc.4</dc:subject>
  <cp:lastModifiedBy>EU SAE application package contributors</cp:lastModifiedBy>
  <dc:description>Revised for the 5.2.0-rc.4 review candidate on 2026-08-21.</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2026</vt:lpwstr>
  </property>
  <property fmtid="{D5CDD505-2E9C-101B-9397-08002B2CF9AE}" pid="3" name="subtitle">
    <vt:lpwstr>Recovering boundary (zero-variance) fits from msae::eblupMFH2() in scripts/eblupMFH2_robust.R</vt:lpwstr>
  </property>
</Properties>
</file>