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Estimation of Mean Squared Errors in the EU SAE Poverty Mapping Package</w:t>
      </w:r>
    </w:p>
    <w:p>
      <w:pPr>
        <w:pStyle w:val="Subtitle"/>
        <w:rPr/>
      </w:pPr>
      <w:r>
        <w:rPr/>
        <w:t>Levels and Changes, with and without Benchmarking</w:t>
      </w:r>
    </w:p>
    <w:p>
      <w:pPr>
        <w:pStyle w:val="Date"/>
        <w:rPr/>
      </w:pPr>
      <w:r>
        <w:rPr/>
        <w:t>August 21, 2026 (revised for 5.2.0-rc.4)</w:t>
      </w:r>
    </w:p>
    <w:p>
      <w:pPr>
        <w:pStyle w:val="Heading1"/>
        <w:rPr/>
      </w:pPr>
      <w:bookmarkStart w:id="0" w:name="introduction"/>
      <w:r>
        <w:rPr/>
        <w:t>Introduction</w:t>
      </w:r>
      <w:bookmarkEnd w:id="0"/>
    </w:p>
    <w:p>
      <w:pPr>
        <w:pStyle w:val="FirstParagraph"/>
        <w:rPr/>
      </w:pPr>
      <w:r>
        <w:rPr/>
        <w:t xml:space="preserve">This note documents how the EU SAE poverty mapping package quantifies the uncertainty of its small-area estimates. The package reports mean squared errors (MSEs) for four families of estimates: single-period estimates from the univariate Fay–Herriot (UFH) model, multi-period estimates from the multivariate Fay–Herriot (MFH) models, estimated </w:t>
      </w:r>
      <w:r>
        <w:rPr>
          <w:i/>
        </w:rPr>
        <w:t>changes</w:t>
      </w:r>
      <w:r>
        <w:rPr/>
        <w:t xml:space="preserve"> in poverty between two periods, and the benchmarked counterparts of each. The methods differ by case — analytical approximations where the literature provides them, bootstrap methods where benchmarking or temporal covariance makes analytical formulas unavailable — but they share one organizing principle: uncertainty is always assessed relative to the underlying true small-area value </w:t>
      </w:r>
      <m:oMath xmlns:m="http://schemas.openxmlformats.org/officeDocument/2006/math">
        <m:sSub>
          <m:e>
            <m:r>
              <m:t xml:space="preserve">θ</m:t>
            </m:r>
          </m:e>
          <m:sub>
            <m:r>
              <m:t xml:space="preserve">d</m:t>
            </m:r>
          </m:sub>
        </m:sSub>
      </m:oMath>
      <w:r>
        <w:rPr/>
        <w:t>, never relative to the benchmark constraint, and any data-dependent step (benchmarking in particular) is repeated inside every bootstrap replicate so that its variability is propagated into the reported MSE.</w:t>
      </w:r>
    </w:p>
    <w:p>
      <w:pPr>
        <w:pStyle w:val="BodyText"/>
        <w:rPr/>
      </w:pPr>
      <w:r>
        <w:rPr/>
        <w:t>The note proceeds from the single-period UFH case (Part I), to the multi-period MFH case and the mean cross-product error (MCPE) needed for changes (Part II), to the change analysis that combines them (Part III). A summary table and practical observations close the note. General treatments of the Fay–Herriot model, EBLUP prediction, REML estimation, MSE, and benchmarking are given in Rao and Molina (2015).</w:t>
      </w:r>
    </w:p>
    <w:p>
      <w:pPr>
        <w:pStyle w:val="Heading1"/>
        <w:rPr/>
      </w:pPr>
      <w:bookmarkStart w:id="1" w:name="Xe6e3af71fd2fc7af3543eeecce2d16ac4f451ff"/>
      <w:r>
        <w:rPr/>
        <w:t>Part I. The Univariate Fay–Herriot Model (Single Period)</w:t>
      </w:r>
      <w:bookmarkEnd w:id="1"/>
    </w:p>
    <w:p>
      <w:pPr>
        <w:pStyle w:val="Heading2"/>
        <w:rPr/>
      </w:pPr>
      <w:bookmarkStart w:id="2" w:name="the-model-and-the-eblup"/>
      <w:r>
        <w:rPr/>
        <w:t>The model and the EBLUP</w:t>
      </w:r>
      <w:bookmarkEnd w:id="2"/>
    </w:p>
    <w:p>
      <w:pPr>
        <w:pStyle w:val="FirstParagraph"/>
        <w:rPr/>
      </w:pPr>
      <w:r>
        <w:rPr/>
        <w:t xml:space="preserve">Index the small areas (domains) by </w:t>
      </w:r>
      <m:oMath xmlns:m="http://schemas.openxmlformats.org/officeDocument/2006/math">
        <m:r>
          <m:t xml:space="preserve">d</m:t>
        </m:r>
        <m:r>
          <m:rPr>
            <m:lit/>
            <m:nor/>
          </m:rPr>
          <m:t xml:space="preserve">=</m:t>
        </m:r>
        <m:r>
          <m:t xml:space="preserve">1</m:t>
        </m:r>
        <m:r>
          <m:t xml:space="preserve">,</m:t>
        </m:r>
        <m:r>
          <m:t xml:space="preserve">…</m:t>
        </m:r>
        <m:r>
          <m:t xml:space="preserve">,</m:t>
        </m:r>
        <m:r>
          <m:t xml:space="preserve">M</m:t>
        </m:r>
      </m:oMath>
      <w:r>
        <w:rPr/>
        <w:t xml:space="preserve">, of which </w:t>
      </w:r>
      <m:oMath xmlns:m="http://schemas.openxmlformats.org/officeDocument/2006/math">
        <m:r>
          <m:t xml:space="preserve">m</m:t>
        </m:r>
      </m:oMath>
      <w:r>
        <w:rPr/>
        <w:t xml:space="preserve"> are observed in the survey. The area-level Fay–Herriot model (Fay and Herriot, 1979) combines a sampling layer and a linking layer,</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sub>
          <m:sup>
            <m:r>
              <m:t xml:space="preserve">dir</m:t>
            </m:r>
          </m:sup>
        </m:sSubSup>
        <m:r>
          <m:rPr>
            <m:lit/>
            <m:nor/>
          </m:rPr>
          <m:t xml:space="preserve">=</m:t>
        </m:r>
        <m:sSub>
          <m:e>
            <m:r>
              <m:t xml:space="preserve">θ</m:t>
            </m:r>
          </m:e>
          <m:sub>
            <m:r>
              <m:t xml:space="preserve">d</m:t>
            </m:r>
          </m:sub>
        </m:sSub>
        <m:r>
          <m:rPr>
            <m:lit/>
            <m:nor/>
          </m:rPr>
          <m:t xml:space="preserve">+</m:t>
        </m:r>
        <m:sSub>
          <m:e>
            <m:r>
              <m:t xml:space="preserve">e</m:t>
            </m:r>
          </m:e>
          <m:sub>
            <m:r>
              <m:t xml:space="preserve">d</m:t>
            </m:r>
          </m:sub>
        </m:sSub>
        <m:r>
          <m:t xml:space="preserve">,</m:t>
        </m:r>
        <m:sSub>
          <m:e>
            <m:r>
              <m:t xml:space="preserve">θ</m:t>
            </m:r>
          </m:e>
          <m:sub>
            <m:r>
              <m:t xml:space="preserve">d</m:t>
            </m:r>
          </m:sub>
        </m:sSub>
        <m:r>
          <m:rPr>
            <m:lit/>
            <m:nor/>
          </m:rPr>
          <m:t xml:space="preserve">=</m:t>
        </m:r>
        <m:sSubSup>
          <m:e>
            <m:r>
              <m:t xml:space="preserve">x</m:t>
            </m:r>
          </m:e>
          <m:sub>
            <m:r>
              <m:t xml:space="preserve">d</m:t>
            </m:r>
          </m:sub>
          <m:sup>
            <m:r>
              <m:t xml:space="preserve">⊤</m:t>
            </m:r>
          </m:sup>
        </m:sSubSup>
        <m:r>
          <m:t xml:space="preserve">β</m:t>
        </m:r>
        <m:r>
          <m:rPr>
            <m:lit/>
            <m:nor/>
          </m:rPr>
          <m:t xml:space="preserve">+</m:t>
        </m:r>
        <m:sSub>
          <m:e>
            <m:r>
              <m:t xml:space="preserve">u</m:t>
            </m:r>
          </m:e>
          <m:sub>
            <m:r>
              <m:t xml:space="preserve">d</m:t>
            </m:r>
          </m:sub>
        </m:sSub>
        <m:r>
          <m:t xml:space="preserve">,</m:t>
        </m:r>
      </m:oMath>
      <w:r>
        <w:rPr/>
        <w:t xml:space="preserve"> </w:t>
      </w:r>
    </w:p>
    <w:p>
      <w:pPr>
        <w:pStyle w:val="FirstParagraph"/>
        <w:rPr/>
      </w:pPr>
      <w:r>
        <w:rPr/>
        <w:t xml:space="preserve">with independent sampling errors </w:t>
      </w:r>
      <m:oMath xmlns:m="http://schemas.openxmlformats.org/officeDocument/2006/math">
        <m:sSub>
          <m:e>
            <m:r>
              <m:t xml:space="preserve">e</m:t>
            </m:r>
          </m:e>
          <m:sub>
            <m:r>
              <m:t xml:space="preserve">d</m:t>
            </m:r>
          </m:sub>
        </m:sSub>
        <m:r>
          <m:t xml:space="preserve">∼</m:t>
        </m:r>
        <m:r>
          <m:t xml:space="preserve">N</m:t>
        </m:r>
        <m:r>
          <m:t xml:space="preserve">(</m:t>
        </m:r>
        <m:r>
          <m:t xml:space="preserve">0</m:t>
        </m:r>
        <m:r>
          <m:t xml:space="preserve">,</m:t>
        </m:r>
        <m:sSub>
          <m:e>
            <m:r>
              <m:t xml:space="preserve">ψ</m:t>
            </m:r>
          </m:e>
          <m:sub>
            <m:r>
              <m:t xml:space="preserve">d</m:t>
            </m:r>
          </m:sub>
        </m:sSub>
        <m:r>
          <m:t xml:space="preserve">)</m:t>
        </m:r>
      </m:oMath>
      <w:r>
        <w:rPr/>
        <w:t xml:space="preserve"> and area random effects </w:t>
      </w:r>
      <m:oMath xmlns:m="http://schemas.openxmlformats.org/officeDocument/2006/math">
        <m:sSub>
          <m:e>
            <m:r>
              <m:t xml:space="preserve">u</m:t>
            </m:r>
          </m:e>
          <m:sub>
            <m:r>
              <m:t xml:space="preserve">d</m:t>
            </m:r>
          </m:sub>
        </m:sSub>
        <m:r>
          <m:t xml:space="preserve">∼</m:t>
        </m:r>
        <m:r>
          <m:t xml:space="preserve">N</m:t>
        </m:r>
        <m:r>
          <m:t xml:space="preserve">(</m:t>
        </m:r>
        <m:r>
          <m:t xml:space="preserve">0</m:t>
        </m:r>
        <m:r>
          <m:t xml:space="preserve">,</m:t>
        </m:r>
        <m:sSubSup>
          <m:e>
            <m:r>
              <m:t xml:space="preserve">σ</m:t>
            </m:r>
          </m:e>
          <m:sub>
            <m:r>
              <m:t xml:space="preserve">u</m:t>
            </m:r>
          </m:sub>
          <m:sup>
            <m:r>
              <m:t xml:space="preserve">2</m:t>
            </m:r>
          </m:sup>
        </m:sSubSup>
        <m:r>
          <m:t xml:space="preserve">)</m:t>
        </m:r>
      </m:oMath>
      <w:r>
        <w:rPr/>
        <w:t xml:space="preserve">. Here </w:t>
      </w:r>
      <m:oMath xmlns:m="http://schemas.openxmlformats.org/officeDocument/2006/math">
        <m:sSubSup>
          <m:e>
            <m:acc>
              <m:accPr>
                <m:chr m:val="^"/>
              </m:accPr>
              <m:e>
                <m:r>
                  <m:t xml:space="preserve">θ</m:t>
                </m:r>
              </m:e>
            </m:acc>
          </m:e>
          <m:sub>
            <m:r>
              <m:t xml:space="preserve">d</m:t>
            </m:r>
          </m:sub>
          <m:sup>
            <m:r>
              <m:t xml:space="preserve">dir</m:t>
            </m:r>
          </m:sup>
        </m:sSubSup>
      </m:oMath>
      <w:r>
        <w:rPr/>
        <w:t xml:space="preserve"> is the direct survey estimate of the poverty rate, </w:t>
      </w:r>
      <m:oMath xmlns:m="http://schemas.openxmlformats.org/officeDocument/2006/math">
        <m:sSub>
          <m:e>
            <m:r>
              <m:t xml:space="preserve">ψ</m:t>
            </m:r>
          </m:e>
          <m:sub>
            <m:r>
              <m:t xml:space="preserve">d</m:t>
            </m:r>
          </m:sub>
        </m:sSub>
      </m:oMath>
      <w:r>
        <w:rPr/>
        <w:t xml:space="preserve"> its (known) sampling variance, and </w:t>
      </w:r>
      <m:oMath xmlns:m="http://schemas.openxmlformats.org/officeDocument/2006/math">
        <m:sSub>
          <m:e>
            <m:r>
              <m:t xml:space="preserve">x</m:t>
            </m:r>
          </m:e>
          <m:sub>
            <m:r>
              <m:t xml:space="preserve">d</m:t>
            </m:r>
          </m:sub>
        </m:sSub>
      </m:oMath>
      <w:r>
        <w:rPr/>
        <w:t xml:space="preserve"> a vector of auxiliary covariates. The package estimates </w:t>
      </w:r>
      <m:oMath xmlns:m="http://schemas.openxmlformats.org/officeDocument/2006/math">
        <m:sSubSup>
          <m:e>
            <m:r>
              <m:t xml:space="preserve">σ</m:t>
            </m:r>
          </m:e>
          <m:sub>
            <m:r>
              <m:t xml:space="preserve">u</m:t>
            </m:r>
          </m:sub>
          <m:sup>
            <m:r>
              <m:t xml:space="preserve">2</m:t>
            </m:r>
          </m:sup>
        </m:sSubSup>
      </m:oMath>
      <w:r>
        <w:rPr/>
        <w:t xml:space="preserve"> by REML via </w:t>
      </w:r>
      <w:r>
        <w:rPr>
          <w:rStyle w:val="VerbatimChar"/>
        </w:rPr>
        <w:t>emdi::fh()</w:t>
      </w:r>
      <w:r>
        <w:rPr/>
        <w:t>. The empirical best linear unbiased predictor (EBLUP) is a precision-weighted average of the direct estimate and the regression prediction,</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sub>
          <m:sup>
            <m:r>
              <m:t xml:space="preserve">FH</m:t>
            </m:r>
          </m:sup>
        </m:sSubSup>
        <m:r>
          <m:rPr>
            <m:lit/>
            <m:nor/>
          </m:rPr>
          <m:t xml:space="preserve">=</m:t>
        </m:r>
        <m:sSub>
          <m:e>
            <m:acc>
              <m:accPr>
                <m:chr m:val="^"/>
              </m:accPr>
              <m:e>
                <m:r>
                  <m:t xml:space="preserve">γ</m:t>
                </m:r>
              </m:e>
            </m:acc>
          </m:e>
          <m:sub>
            <m:r>
              <m:t xml:space="preserve">d</m:t>
            </m:r>
          </m:sub>
        </m:sSub>
        <m:sSubSup>
          <m:e>
            <m:acc>
              <m:accPr>
                <m:chr m:val="^"/>
              </m:accPr>
              <m:e>
                <m:r>
                  <m:t xml:space="preserve">θ</m:t>
                </m:r>
              </m:e>
            </m:acc>
          </m:e>
          <m:sub>
            <m:r>
              <m:t xml:space="preserve">d</m:t>
            </m:r>
          </m:sub>
          <m:sup>
            <m:r>
              <m:t xml:space="preserve">dir</m:t>
            </m:r>
          </m:sup>
        </m:sSubSup>
        <m:r>
          <m:rPr>
            <m:lit/>
            <m:nor/>
          </m:rPr>
          <m:t xml:space="preserve">+</m:t>
        </m:r>
        <m:r>
          <m:t xml:space="preserve">(</m:t>
        </m:r>
        <m:r>
          <m:t xml:space="preserve">1</m:t>
        </m:r>
        <m:r>
          <m:rPr>
            <m:lit/>
            <m:nor/>
          </m:rPr>
          <m:t xml:space="preserve">-</m:t>
        </m:r>
        <m:sSub>
          <m:e>
            <m:acc>
              <m:accPr>
                <m:chr m:val="^"/>
              </m:accPr>
              <m:e>
                <m:r>
                  <m:t xml:space="preserve">γ</m:t>
                </m:r>
              </m:e>
            </m:acc>
          </m:e>
          <m:sub>
            <m:r>
              <m:t xml:space="preserve">d</m:t>
            </m:r>
          </m:sub>
        </m:sSub>
        <m:r>
          <m:t xml:space="preserve">)</m:t>
        </m:r>
        <m:sSubSup>
          <m:e>
            <m:r>
              <m:t xml:space="preserve">x</m:t>
            </m:r>
          </m:e>
          <m:sub>
            <m:r>
              <m:t xml:space="preserve">d</m:t>
            </m:r>
          </m:sub>
          <m:sup>
            <m:r>
              <m:t xml:space="preserve">⊤</m:t>
            </m:r>
          </m:sup>
        </m:sSubSup>
        <m:acc>
          <m:accPr>
            <m:chr m:val="^"/>
          </m:accPr>
          <m:e>
            <m:r>
              <m:t xml:space="preserve">β</m:t>
            </m:r>
          </m:e>
        </m:acc>
        <m:r>
          <m:t xml:space="preserve">,</m:t>
        </m:r>
        <m:sSub>
          <m:e>
            <m:acc>
              <m:accPr>
                <m:chr m:val="^"/>
              </m:accPr>
              <m:e>
                <m:r>
                  <m:t xml:space="preserve">γ</m:t>
                </m:r>
              </m:e>
            </m:acc>
          </m:e>
          <m:sub>
            <m:r>
              <m:t xml:space="preserve">d</m:t>
            </m:r>
          </m:sub>
        </m:sSub>
        <m:r>
          <m:rPr>
            <m:lit/>
            <m:nor/>
          </m:rPr>
          <m:t xml:space="preserve">=</m:t>
        </m:r>
        <m:f>
          <m:num>
            <m:sSubSup>
              <m:e>
                <m:acc>
                  <m:accPr>
                    <m:chr m:val="^"/>
                  </m:accPr>
                  <m:e>
                    <m:r>
                      <m:t xml:space="preserve">σ</m:t>
                    </m:r>
                  </m:e>
                </m:acc>
              </m:e>
              <m:sub>
                <m:r>
                  <m:t xml:space="preserve">u</m:t>
                </m:r>
              </m:sub>
              <m:sup>
                <m:r>
                  <m:t xml:space="preserve">2</m:t>
                </m:r>
              </m:sup>
            </m:sSubSup>
          </m:num>
          <m:den>
            <m:sSubSup>
              <m:e>
                <m:acc>
                  <m:accPr>
                    <m:chr m:val="^"/>
                  </m:accPr>
                  <m:e>
                    <m:r>
                      <m:t xml:space="preserve">σ</m:t>
                    </m:r>
                  </m:e>
                </m:acc>
              </m:e>
              <m:sub>
                <m:r>
                  <m:t xml:space="preserve">u</m:t>
                </m:r>
              </m:sub>
              <m:sup>
                <m:r>
                  <m:t xml:space="preserve">2</m:t>
                </m:r>
              </m:sup>
            </m:sSubSup>
            <m:r>
              <m:rPr>
                <m:lit/>
                <m:nor/>
              </m:rPr>
              <m:t xml:space="preserve">+</m:t>
            </m:r>
            <m:sSub>
              <m:e>
                <m:r>
                  <m:t xml:space="preserve">ψ</m:t>
                </m:r>
              </m:e>
              <m:sub>
                <m:r>
                  <m:t xml:space="preserve">d</m:t>
                </m:r>
              </m:sub>
            </m:sSub>
          </m:den>
        </m:f>
        <m:r>
          <m:t xml:space="preserve">.</m:t>
        </m:r>
      </m:oMath>
      <w:r>
        <w:rPr/>
        <w:t xml:space="preserve"> </w:t>
      </w:r>
    </w:p>
    <w:p>
      <w:pPr>
        <w:pStyle w:val="Heading2"/>
        <w:rPr/>
      </w:pPr>
      <w:bookmarkStart w:id="3" w:name="mse-of-the-unbenchmarked-ufh-estimates"/>
      <w:r>
        <w:rPr/>
        <w:t>MSE of the unbenchmarked UFH estimates</w:t>
      </w:r>
      <w:bookmarkEnd w:id="3"/>
    </w:p>
    <w:p>
      <w:pPr>
        <w:pStyle w:val="FirstParagraph"/>
        <w:rPr/>
      </w:pPr>
      <w:r>
        <w:rPr/>
        <w:t>For the unbenchmarked EBLUP, the package reports the analytical Prasad–Rao / Datta–Lahiri MSE approximation under the untransformed and log scales (Prasad and Rao, 1990; Datta and Lahiri, 2000; Harmening et al., 2023), and a parametric bootstrap under the arcsin transformation. Results are returned on the original poverty scale — Duan smearing for the log model (Duan, 1983) and the arcsin back-transform for rates — with variances propagated via the delta method.</w:t>
      </w:r>
    </w:p>
    <w:p>
      <w:pPr>
        <w:pStyle w:val="Heading2"/>
        <w:rPr/>
      </w:pPr>
      <w:bookmarkStart w:id="4" w:name="X1f30418b3584d6ba58c457a6316902ccaf16966"/>
      <w:r>
        <w:rPr/>
        <w:t>Benchmarking and the MSE of benchmarked UFH estimates</w:t>
      </w:r>
      <w:bookmarkEnd w:id="4"/>
    </w:p>
    <w:p>
      <w:pPr>
        <w:pStyle w:val="FirstParagraph"/>
        <w:rPr/>
      </w:pPr>
      <w:r>
        <w:rPr/>
        <w:t xml:space="preserve">Benchmarking restores aggregate consistency: within each benchmark area </w:t>
      </w:r>
      <m:oMath xmlns:m="http://schemas.openxmlformats.org/officeDocument/2006/math">
        <m:r>
          <m:t xml:space="preserve">r</m:t>
        </m:r>
      </m:oMath>
      <w:r>
        <w:rPr/>
        <w:t xml:space="preserve"> (regions by default), </w:t>
      </w:r>
      <w:r>
        <w:rPr>
          <w:rStyle w:val="VerbatimChar"/>
        </w:rPr>
        <w:t>bench_regional()</w:t>
      </w:r>
      <w:r>
        <w:rPr/>
        <w:t xml:space="preserve"> applies a ratio adjustment so that the population-weighted mean of the benchmarked estimates reproduces the direct regional aggregate,</w:t>
      </w:r>
    </w:p>
    <w:p>
      <w:pPr>
        <w:pStyle w:val="BodyText"/>
        <w:spacing w:lineRule="atLeast" w:line="240" w:before="0" w:after="160"/>
        <w:jc w:val="center"/>
        <w:rPr/>
      </w:pPr>
      <w:r>
        <w:rPr/>
        <w:t xml:space="preserve"> </w:t>
      </w:r>
      <m:oMath xmlns:m="http://schemas.openxmlformats.org/officeDocument/2006/math">
        <m:sSub>
          <m:e>
            <m:r>
              <m:t xml:space="preserve">B</m:t>
            </m:r>
          </m:e>
          <m:sub>
            <m:r>
              <m:t xml:space="preserve">r</m:t>
            </m:r>
          </m:sub>
        </m:sSub>
        <m:r>
          <m:rPr>
            <m:lit/>
            <m:nor/>
          </m:rPr>
          <m:t xml:space="preserve">=</m:t>
        </m:r>
        <m:f>
          <m:num>
            <m:nary>
              <m:naryPr>
                <m:chr m:val="∑"/>
                <m:supHide m:val="1"/>
              </m:naryPr>
              <m:sub>
                <m:r>
                  <m:t xml:space="preserve">d</m:t>
                </m:r>
                <m:r>
                  <m:t xml:space="preserve">∈</m:t>
                </m:r>
                <m:r>
                  <m:t xml:space="preserve">r</m:t>
                </m:r>
              </m:sub>
              <m:sup/>
              <m:e>
                <m:sSub>
                  <m:e>
                    <m:r>
                      <m:t xml:space="preserve">N</m:t>
                    </m:r>
                  </m:e>
                  <m:sub>
                    <m:r>
                      <m:t xml:space="preserve">d</m:t>
                    </m:r>
                  </m:sub>
                </m:sSub>
              </m:e>
            </m:nary>
            <m:sSubSup>
              <m:e>
                <m:acc>
                  <m:accPr>
                    <m:chr m:val="^"/>
                  </m:accPr>
                  <m:e>
                    <m:r>
                      <m:t xml:space="preserve">θ</m:t>
                    </m:r>
                  </m:e>
                </m:acc>
              </m:e>
              <m:sub>
                <m:r>
                  <m:t xml:space="preserve">d</m:t>
                </m:r>
              </m:sub>
              <m:sup>
                <m:r>
                  <m:t xml:space="preserve">dir</m:t>
                </m:r>
              </m:sup>
            </m:sSubSup>
          </m:num>
          <m:den>
            <m:nary>
              <m:naryPr>
                <m:chr m:val="∑"/>
                <m:supHide m:val="1"/>
              </m:naryPr>
              <m:sub>
                <m:r>
                  <m:t xml:space="preserve">d</m:t>
                </m:r>
                <m:r>
                  <m:t xml:space="preserve">∈</m:t>
                </m:r>
                <m:r>
                  <m:t xml:space="preserve">r</m:t>
                </m:r>
              </m:sub>
              <m:sup/>
              <m:e>
                <m:sSub>
                  <m:e>
                    <m:r>
                      <m:t xml:space="preserve">N</m:t>
                    </m:r>
                  </m:e>
                  <m:sub>
                    <m:r>
                      <m:t xml:space="preserve">d</m:t>
                    </m:r>
                  </m:sub>
                </m:sSub>
              </m:e>
            </m:nary>
          </m:den>
        </m:f>
        <m:r>
          <m:t xml:space="preserve">,</m:t>
        </m:r>
        <m:sSub>
          <m:e>
            <m:r>
              <m:t xml:space="preserve">λ</m:t>
            </m:r>
          </m:e>
          <m:sub>
            <m:r>
              <m:t xml:space="preserve">r</m:t>
            </m:r>
          </m:sub>
        </m:sSub>
        <m:r>
          <m:rPr>
            <m:lit/>
            <m:nor/>
          </m:rPr>
          <m:t xml:space="preserve">=</m:t>
        </m:r>
        <m:f>
          <m:num>
            <m:sSub>
              <m:e>
                <m:r>
                  <m:t xml:space="preserve">B</m:t>
                </m:r>
              </m:e>
              <m:sub>
                <m:r>
                  <m:t xml:space="preserve">r</m:t>
                </m:r>
              </m:sub>
            </m:sSub>
          </m:num>
          <m:den>
            <m:nary>
              <m:naryPr>
                <m:chr m:val="∑"/>
                <m:supHide m:val="1"/>
              </m:naryPr>
              <m:sub>
                <m:r>
                  <m:t xml:space="preserve">d</m:t>
                </m:r>
                <m:r>
                  <m:t xml:space="preserve">∈</m:t>
                </m:r>
                <m:r>
                  <m:t xml:space="preserve">r</m:t>
                </m:r>
              </m:sub>
              <m:sup/>
              <m:e>
                <m:sSub>
                  <m:e>
                    <m:r>
                      <m:t xml:space="preserve">ω</m:t>
                    </m:r>
                  </m:e>
                  <m:sub>
                    <m:r>
                      <m:t xml:space="preserve">r</m:t>
                    </m:r>
                    <m:r>
                      <m:t xml:space="preserve">,</m:t>
                    </m:r>
                    <m:r>
                      <m:t xml:space="preserve">d</m:t>
                    </m:r>
                  </m:sub>
                </m:sSub>
              </m:e>
            </m:nary>
            <m:sSubSup>
              <m:e>
                <m:acc>
                  <m:accPr>
                    <m:chr m:val="^"/>
                  </m:accPr>
                  <m:e>
                    <m:r>
                      <m:t xml:space="preserve">θ</m:t>
                    </m:r>
                  </m:e>
                </m:acc>
              </m:e>
              <m:sub>
                <m:r>
                  <m:t xml:space="preserve">d</m:t>
                </m:r>
              </m:sub>
              <m:sup>
                <m:r>
                  <m:t xml:space="preserve">FH</m:t>
                </m:r>
              </m:sup>
            </m:sSubSup>
          </m:den>
        </m:f>
        <m:r>
          <m:t xml:space="preserve">,</m:t>
        </m:r>
        <m:sSubSup>
          <m:e>
            <m:acc>
              <m:accPr>
                <m:chr m:val="^"/>
              </m:accPr>
              <m:e>
                <m:r>
                  <m:t xml:space="preserve">θ</m:t>
                </m:r>
              </m:e>
            </m:acc>
          </m:e>
          <m:sub>
            <m:r>
              <m:t xml:space="preserve">d</m:t>
            </m:r>
          </m:sub>
          <m:sup>
            <m:r>
              <m:t xml:space="preserve">Bench</m:t>
            </m:r>
          </m:sup>
        </m:sSubSup>
        <m:r>
          <m:rPr>
            <m:lit/>
            <m:nor/>
          </m:rPr>
          <m:t xml:space="preserve">=</m:t>
        </m:r>
        <m:sSub>
          <m:e>
            <m:r>
              <m:t xml:space="preserve">λ</m:t>
            </m:r>
          </m:e>
          <m:sub>
            <m:r>
              <m:t xml:space="preserve">r</m:t>
            </m:r>
          </m:sub>
        </m:sSub>
        <m:sSubSup>
          <m:e>
            <m:acc>
              <m:accPr>
                <m:chr m:val="^"/>
              </m:accPr>
              <m:e>
                <m:r>
                  <m:t xml:space="preserve">θ</m:t>
                </m:r>
              </m:e>
            </m:acc>
          </m:e>
          <m:sub>
            <m:r>
              <m:t xml:space="preserve">d</m:t>
            </m:r>
          </m:sub>
          <m:sup>
            <m:r>
              <m:t xml:space="preserve">FH</m:t>
            </m:r>
          </m:sup>
        </m:sSubSup>
        <m:r>
          <m:t xml:space="preserve">(</m:t>
        </m:r>
        <m:r>
          <m:t xml:space="preserve">d</m:t>
        </m:r>
        <m:r>
          <m:t xml:space="preserve">∈</m:t>
        </m:r>
        <m:r>
          <m:t xml:space="preserve">r</m:t>
        </m:r>
        <m:r>
          <m:t xml:space="preserve">)</m:t>
        </m:r>
        <m:r>
          <m:t xml:space="preserve">,</m:t>
        </m:r>
      </m:oMath>
      <w:r>
        <w:rPr/>
        <w:t xml:space="preserve"> </w:t>
      </w:r>
    </w:p>
    <w:p>
      <w:pPr>
        <w:pStyle w:val="FirstParagraph"/>
        <w:rPr/>
      </w:pPr>
      <w:r>
        <w:rPr/>
        <w:t xml:space="preserve">with </w:t>
      </w:r>
      <m:oMath xmlns:m="http://schemas.openxmlformats.org/officeDocument/2006/math">
        <m:sSub>
          <m:e>
            <m:r>
              <m:t xml:space="preserve">ω</m:t>
            </m:r>
          </m:e>
          <m:sub>
            <m:r>
              <m:t xml:space="preserve">r</m:t>
            </m:r>
            <m:r>
              <m:t xml:space="preserve">,</m:t>
            </m:r>
            <m:r>
              <m:t xml:space="preserve">d</m:t>
            </m:r>
          </m:sub>
        </m:sSub>
        <m:r>
          <m:rPr>
            <m:lit/>
            <m:nor/>
          </m:rPr>
          <m:t xml:space="preserve">=</m:t>
        </m:r>
        <m:sSub>
          <m:e>
            <m:r>
              <m:t xml:space="preserve">N</m:t>
            </m:r>
          </m:e>
          <m:sub>
            <m:r>
              <m:t xml:space="preserve">d</m:t>
            </m:r>
          </m:sub>
        </m:sSub>
        <m:r>
          <m:rPr>
            <m:lit/>
            <m:nor/>
          </m:rPr>
          <m:t xml:space="preserve">/</m:t>
        </m:r>
        <m:nary>
          <m:naryPr>
            <m:chr m:val="∑"/>
            <m:supHide m:val="1"/>
          </m:naryPr>
          <m:sub>
            <m:r>
              <m:t xml:space="preserve">j</m:t>
            </m:r>
            <m:r>
              <m:t xml:space="preserve">∈</m:t>
            </m:r>
            <m:r>
              <m:t xml:space="preserve">r</m:t>
            </m:r>
          </m:sub>
          <m:sup/>
          <m:e>
            <m:sSub>
              <m:e>
                <m:r>
                  <m:t xml:space="preserve">N</m:t>
                </m:r>
              </m:e>
              <m:sub>
                <m:r>
                  <m:t xml:space="preserve">j</m:t>
                </m:r>
              </m:sub>
            </m:sSub>
          </m:e>
        </m:nary>
      </m:oMath>
      <w:r>
        <w:rPr/>
        <w:t xml:space="preserve">. An external official total can replace </w:t>
      </w:r>
      <m:oMath xmlns:m="http://schemas.openxmlformats.org/officeDocument/2006/math">
        <m:sSub>
          <m:e>
            <m:r>
              <m:t xml:space="preserve">B</m:t>
            </m:r>
          </m:e>
          <m:sub>
            <m:r>
              <m:t xml:space="preserve">r</m:t>
            </m:r>
          </m:sub>
        </m:sSub>
      </m:oMath>
      <w:r>
        <w:rPr/>
        <w:t>. The ratio form keeps benchmarked rates non-negative and preserves proportional differences among domains within an area. An external total is treated as fixed: its own sampling error is not included in the benchmarked MSE, so matching it exactly says nothing about its accuracy.</w:t>
      </w:r>
    </w:p>
    <w:p>
      <w:pPr>
        <w:pStyle w:val="BodyText"/>
        <w:rPr/>
      </w:pPr>
      <w:r>
        <w:rPr/>
        <w:t>Consistent with the benchmarking literature (Datta, Ghosh, Steorts, and Maples, 2011; Bell, Datta, and Ghosh, 2013), the uncertainty of the benchmarked predictor is assessed relative to the true small-area value,</w:t>
      </w:r>
    </w:p>
    <w:p>
      <w:pPr>
        <w:pStyle w:val="BodyText"/>
        <w:spacing w:lineRule="atLeast" w:line="240" w:before="0" w:after="160"/>
        <w:jc w:val="center"/>
        <w:rPr/>
      </w:pPr>
      <w:r>
        <w:rPr/>
        <w:t xml:space="preserve"> </w:t>
      </w:r>
      <m:oMath xmlns:m="http://schemas.openxmlformats.org/officeDocument/2006/math">
        <m:r>
          <m:t xml:space="preserve">MSE</m:t>
        </m:r>
        <m:r>
          <m:t xml:space="preserve">(</m:t>
        </m:r>
        <m:sSubSup>
          <m:e>
            <m:acc>
              <m:accPr>
                <m:chr m:val="^"/>
              </m:accPr>
              <m:e>
                <m:r>
                  <m:t xml:space="preserve">θ</m:t>
                </m:r>
              </m:e>
            </m:acc>
          </m:e>
          <m:sub>
            <m:r>
              <m:t xml:space="preserve">d</m:t>
            </m:r>
          </m:sub>
          <m:sup>
            <m:r>
              <m:t xml:space="preserve">Bench</m:t>
            </m:r>
          </m:sup>
        </m:sSubSup>
        <m:r>
          <m:t xml:space="preserve">)</m:t>
        </m:r>
        <m:r>
          <m:rPr>
            <m:lit/>
            <m:nor/>
          </m:rPr>
          <m:t xml:space="preserve">=</m:t>
        </m:r>
        <m:r>
          <m:t xml:space="preserve">E</m:t>
        </m:r>
        <m:r>
          <m:t xml:space="preserve">[</m:t>
        </m:r>
        <m:r>
          <m:t xml:space="preserve">(</m:t>
        </m:r>
        <m:sSubSup>
          <m:e>
            <m:acc>
              <m:accPr>
                <m:chr m:val="^"/>
              </m:accPr>
              <m:e>
                <m:r>
                  <m:t xml:space="preserve">θ</m:t>
                </m:r>
              </m:e>
            </m:acc>
          </m:e>
          <m:sub>
            <m:r>
              <m:t xml:space="preserve">d</m:t>
            </m:r>
          </m:sub>
          <m:sup>
            <m:r>
              <m:t xml:space="preserve">Bench</m:t>
            </m:r>
          </m:sup>
        </m:sSubSup>
        <m:r>
          <m:rPr>
            <m:lit/>
            <m:nor/>
          </m:rPr>
          <m:t xml:space="preserve">-</m:t>
        </m:r>
        <m:sSub>
          <m:e>
            <m:r>
              <m:t xml:space="preserve">θ</m:t>
            </m:r>
          </m:e>
          <m:sub>
            <m:r>
              <m:t xml:space="preserve">d</m:t>
            </m:r>
          </m:sub>
        </m:sSub>
        <m:sSup>
          <m:e>
            <m:r>
              <m:t xml:space="preserve">)</m:t>
            </m:r>
          </m:e>
          <m:sup>
            <m:r>
              <m:t xml:space="preserve">2</m:t>
            </m:r>
          </m:sup>
        </m:sSup>
        <m:r>
          <m:t xml:space="preserve">]</m:t>
        </m:r>
        <m:r>
          <m:t xml:space="preserve">.</m:t>
        </m:r>
      </m:oMath>
      <w:r>
        <w:rPr/>
        <w:t xml:space="preserve"> </w:t>
      </w:r>
    </w:p>
    <w:p>
      <w:pPr>
        <w:pStyle w:val="FirstParagraph"/>
        <w:rPr/>
      </w:pPr>
      <w:r>
        <w:rPr/>
        <w:t xml:space="preserve">Because </w:t>
      </w:r>
      <m:oMath xmlns:m="http://schemas.openxmlformats.org/officeDocument/2006/math">
        <m:sSub>
          <m:e>
            <m:r>
              <m:t xml:space="preserve">λ</m:t>
            </m:r>
          </m:e>
          <m:sub>
            <m:r>
              <m:t xml:space="preserve">r</m:t>
            </m:r>
          </m:sub>
        </m:sSub>
      </m:oMath>
      <w:r>
        <w:rPr/>
        <w:t xml:space="preserve"> is estimated from the data, the benchmarked predictor is a nonlinear function of the fitted EBLUPs and no analytical MSE is available; the package estimates it by a </w:t>
      </w:r>
      <w:r>
        <w:rPr>
          <w:b/>
        </w:rPr>
        <w:t>model-based bootstrap</w:t>
      </w:r>
      <w:r>
        <w:rPr/>
        <w:t xml:space="preserve">. Each replicate </w:t>
      </w:r>
      <m:oMath xmlns:m="http://schemas.openxmlformats.org/officeDocument/2006/math">
        <m:r>
          <m:t xml:space="preserve">b</m:t>
        </m:r>
      </m:oMath>
      <w:r>
        <w:rPr/>
        <w:t xml:space="preserve"> resamples the centered and rescaled fitted random effects and residuals (random effects rescaled to variance </w:t>
      </w:r>
      <m:oMath xmlns:m="http://schemas.openxmlformats.org/officeDocument/2006/math">
        <m:sSubSup>
          <m:e>
            <m:acc>
              <m:accPr>
                <m:chr m:val="^"/>
              </m:accPr>
              <m:e>
                <m:r>
                  <m:t xml:space="preserve">σ</m:t>
                </m:r>
              </m:e>
            </m:acc>
          </m:e>
          <m:sub>
            <m:r>
              <m:t xml:space="preserve">u</m:t>
            </m:r>
          </m:sub>
          <m:sup>
            <m:r>
              <m:t xml:space="preserve">2</m:t>
            </m:r>
          </m:sup>
        </m:sSubSup>
      </m:oMath>
      <w:r>
        <w:rPr/>
        <w:t xml:space="preserve">, residuals to unit variance), forms synthetic sampling errors </w:t>
      </w:r>
      <m:oMath xmlns:m="http://schemas.openxmlformats.org/officeDocument/2006/math">
        <m:sSubSup>
          <m:e>
            <m:r>
              <m:t xml:space="preserve">e</m:t>
            </m:r>
          </m:e>
          <m:sub>
            <m:r>
              <m:t xml:space="preserve">d</m:t>
            </m:r>
          </m:sub>
          <m:sup>
            <m:r>
              <m:t xml:space="preserve">(</m:t>
            </m:r>
            <m:r>
              <m:t xml:space="preserve">b</m:t>
            </m:r>
            <m:r>
              <m:t xml:space="preserve">)</m:t>
            </m:r>
          </m:sup>
        </m:sSubSup>
        <m:r>
          <m:rPr>
            <m:lit/>
            <m:nor/>
          </m:rPr>
          <m:t xml:space="preserve">=</m:t>
        </m:r>
        <m:sSubSup>
          <m:e>
            <m:r>
              <m:t xml:space="preserve">res</m:t>
            </m:r>
          </m:e>
          <m:sub>
            <m:r>
              <m:t xml:space="preserve">d</m:t>
            </m:r>
          </m:sub>
          <m:sup>
            <m:r>
              <m:t xml:space="preserve">(</m:t>
            </m:r>
            <m:r>
              <m:t xml:space="preserve">b</m:t>
            </m:r>
            <m:r>
              <m:t xml:space="preserve">)</m:t>
            </m:r>
          </m:sup>
        </m:sSubSup>
        <m:rad>
          <m:radPr>
            <m:degHide m:val="1"/>
          </m:radPr>
          <m:deg/>
          <m:e>
            <m:sSub>
              <m:e>
                <m:r>
                  <m:t xml:space="preserve">ψ</m:t>
                </m:r>
              </m:e>
              <m:sub>
                <m:r>
                  <m:t xml:space="preserve">d</m:t>
                </m:r>
              </m:sub>
            </m:sSub>
          </m:e>
        </m:rad>
      </m:oMath>
      <w:r>
        <w:rPr/>
        <w:t>, builds a synthetic truth and observation</w:t>
      </w:r>
    </w:p>
    <w:p>
      <w:pPr>
        <w:pStyle w:val="BodyText"/>
        <w:spacing w:lineRule="atLeast" w:line="240" w:before="0" w:after="160"/>
        <w:jc w:val="center"/>
        <w:rPr/>
      </w:pPr>
      <w:r>
        <w:rPr/>
        <w:t xml:space="preserve"> </w:t>
      </w:r>
      <m:oMath xmlns:m="http://schemas.openxmlformats.org/officeDocument/2006/math">
        <m:sSubSup>
          <m:e>
            <m:r>
              <m:t xml:space="preserve">θ</m:t>
            </m:r>
          </m:e>
          <m:sub>
            <m:r>
              <m:t xml:space="preserve">d</m:t>
            </m:r>
          </m:sub>
          <m:sup>
            <m:r>
              <m:t xml:space="preserve">(</m:t>
            </m:r>
            <m:r>
              <m:t xml:space="preserve">b</m:t>
            </m:r>
            <m:r>
              <m:t xml:space="preserve">)</m:t>
            </m:r>
          </m:sup>
        </m:sSubSup>
        <m:r>
          <m:rPr>
            <m:lit/>
            <m:nor/>
          </m:rPr>
          <m:t xml:space="preserve">=</m:t>
        </m:r>
        <m:sSubSup>
          <m:e>
            <m:r>
              <m:t xml:space="preserve">x</m:t>
            </m:r>
          </m:e>
          <m:sub>
            <m:r>
              <m:t xml:space="preserve">d</m:t>
            </m:r>
          </m:sub>
          <m:sup>
            <m:r>
              <m:t xml:space="preserve">⊤</m:t>
            </m:r>
          </m:sup>
        </m:sSubSup>
        <m:acc>
          <m:accPr>
            <m:chr m:val="^"/>
          </m:accPr>
          <m:e>
            <m:r>
              <m:t xml:space="preserve">β</m:t>
            </m:r>
          </m:e>
        </m:acc>
        <m:r>
          <m:rPr>
            <m:lit/>
            <m:nor/>
          </m:rPr>
          <m:t xml:space="preserve">+</m:t>
        </m:r>
        <m:sSubSup>
          <m:e>
            <m:r>
              <m:t xml:space="preserve">u</m:t>
            </m:r>
          </m:e>
          <m:sub>
            <m:r>
              <m:t xml:space="preserve">d</m:t>
            </m:r>
          </m:sub>
          <m:sup>
            <m:r>
              <m:t xml:space="preserve">(</m:t>
            </m:r>
            <m:r>
              <m:t xml:space="preserve">b</m:t>
            </m:r>
            <m:r>
              <m:t xml:space="preserve">)</m:t>
            </m:r>
          </m:sup>
        </m:sSubSup>
        <m:r>
          <m:t xml:space="preserve">,</m:t>
        </m:r>
        <m:sSubSup>
          <m:e>
            <m:r>
              <m:t xml:space="preserve">y</m:t>
            </m:r>
          </m:e>
          <m:sub>
            <m:r>
              <m:t xml:space="preserve">d</m:t>
            </m:r>
          </m:sub>
          <m:sup>
            <m:r>
              <m:t xml:space="preserve">(</m:t>
            </m:r>
            <m:r>
              <m:t xml:space="preserve">b</m:t>
            </m:r>
            <m:r>
              <m:t xml:space="preserve">)</m:t>
            </m:r>
          </m:sup>
        </m:sSubSup>
        <m:r>
          <m:rPr>
            <m:lit/>
            <m:nor/>
          </m:rPr>
          <m:t xml:space="preserve">=</m:t>
        </m:r>
        <m:sSubSup>
          <m:e>
            <m:r>
              <m:t xml:space="preserve">θ</m:t>
            </m:r>
          </m:e>
          <m:sub>
            <m:r>
              <m:t xml:space="preserve">d</m:t>
            </m:r>
          </m:sub>
          <m:sup>
            <m:r>
              <m:t xml:space="preserve">(</m:t>
            </m:r>
            <m:r>
              <m:t xml:space="preserve">b</m:t>
            </m:r>
            <m:r>
              <m:t xml:space="preserve">)</m:t>
            </m:r>
          </m:sup>
        </m:sSubSup>
        <m:r>
          <m:rPr>
            <m:lit/>
            <m:nor/>
          </m:rPr>
          <m:t xml:space="preserve">+</m:t>
        </m:r>
        <m:sSubSup>
          <m:e>
            <m:r>
              <m:t xml:space="preserve">e</m:t>
            </m:r>
          </m:e>
          <m:sub>
            <m:r>
              <m:t xml:space="preserve">d</m:t>
            </m:r>
          </m:sub>
          <m:sup>
            <m:r>
              <m:t xml:space="preserve">(</m:t>
            </m:r>
            <m:r>
              <m:t xml:space="preserve">b</m:t>
            </m:r>
            <m:r>
              <m:t xml:space="preserve">)</m:t>
            </m:r>
          </m:sup>
        </m:sSubSup>
        <m:r>
          <m:t xml:space="preserve">,</m:t>
        </m:r>
      </m:oMath>
      <w:r>
        <w:rPr/>
        <w:t xml:space="preserve"> </w:t>
      </w:r>
    </w:p>
    <w:p>
      <w:pPr>
        <w:pStyle w:val="FirstParagraph"/>
        <w:rPr/>
      </w:pPr>
      <w:r>
        <w:rPr/>
        <w:t xml:space="preserve">refits the Fay–Herriot model, re-benchmarks the new EBLUPs (with </w:t>
      </w:r>
      <m:oMath xmlns:m="http://schemas.openxmlformats.org/officeDocument/2006/math">
        <m:sSubSup>
          <m:e>
            <m:r>
              <m:t xml:space="preserve">y</m:t>
            </m:r>
          </m:e>
          <m:sub>
            <m:r>
              <m:t xml:space="preserve">d</m:t>
            </m:r>
          </m:sub>
          <m:sup>
            <m:r>
              <m:t xml:space="preserve">(</m:t>
            </m:r>
            <m:r>
              <m:t xml:space="preserve">b</m:t>
            </m:r>
            <m:r>
              <m:t xml:space="preserve">)</m:t>
            </m:r>
          </m:sup>
        </m:sSubSup>
      </m:oMath>
      <w:r>
        <w:rPr/>
        <w:t xml:space="preserve"> playing the role of the direct estimate), and compares the result to the synthetic truth. Averaging over the </w:t>
      </w:r>
      <m:oMath xmlns:m="http://schemas.openxmlformats.org/officeDocument/2006/math">
        <m:r>
          <m:t xml:space="preserve">B</m:t>
        </m:r>
      </m:oMath>
      <w:r>
        <w:rPr/>
        <w:t xml:space="preserve"> successful replicates (</w:t>
      </w:r>
      <m:oMath xmlns:m="http://schemas.openxmlformats.org/officeDocument/2006/math">
        <m:r>
          <m:t xml:space="preserve">B</m:t>
        </m:r>
        <m:r>
          <m:rPr>
            <m:lit/>
            <m:nor/>
          </m:rPr>
          <m:t xml:space="preserve">=</m:t>
        </m:r>
        <m:r>
          <m:t xml:space="preserve">200</m:t>
        </m:r>
      </m:oMath>
      <w:r>
        <w:rPr/>
        <w:t xml:space="preserve"> in the driver </w:t>
      </w:r>
      <w:r>
        <w:rPr>
          <w:rStyle w:val="VerbatimChar"/>
        </w:rPr>
        <w:t>01_ufh.R</w:t>
      </w:r>
      <w:r>
        <w:rPr/>
        <w:t>),</w:t>
      </w:r>
    </w:p>
    <w:p>
      <w:pPr>
        <w:pStyle w:val="BodyText"/>
        <w:spacing w:lineRule="atLeast" w:line="240" w:before="0" w:after="160"/>
        <w:jc w:val="center"/>
        <w:rPr/>
      </w:pPr>
      <w:r>
        <w:rPr/>
        <w:t xml:space="preserve"> </w:t>
      </w:r>
      <m:oMath xmlns:m="http://schemas.openxmlformats.org/officeDocument/2006/math">
        <m:acc>
          <m:accPr>
            <m:chr m:val="^"/>
          </m:accPr>
          <m:e>
            <m:r>
              <m:t xml:space="preserve">MSE</m:t>
            </m:r>
          </m:e>
        </m:acc>
        <m:r>
          <m:t xml:space="preserve">(</m:t>
        </m:r>
        <m:sSubSup>
          <m:e>
            <m:acc>
              <m:accPr>
                <m:chr m:val="^"/>
              </m:accPr>
              <m:e>
                <m:r>
                  <m:t xml:space="preserve">θ</m:t>
                </m:r>
              </m:e>
            </m:acc>
          </m:e>
          <m:sub>
            <m:r>
              <m:t xml:space="preserve">d</m:t>
            </m:r>
          </m:sub>
          <m:sup>
            <m:r>
              <m:t xml:space="preserve">Bench</m:t>
            </m:r>
          </m:sup>
        </m:sSubSup>
        <m:r>
          <m:t xml:space="preserve">)</m:t>
        </m:r>
        <m:r>
          <m:rPr>
            <m:lit/>
            <m:nor/>
          </m:rPr>
          <m:t xml:space="preserve">=</m:t>
        </m:r>
        <m:f>
          <m:num>
            <m:r>
              <m:t xml:space="preserve">1</m:t>
            </m:r>
          </m:num>
          <m:den>
            <m:r>
              <m:t xml:space="preserve">B</m:t>
            </m:r>
          </m:den>
        </m:f>
        <m:nary>
          <m:naryPr>
            <m:chr m:val="∑"/>
          </m:naryPr>
          <m:sub>
            <m:r>
              <m:t xml:space="preserve">b</m:t>
            </m:r>
            <m:r>
              <m:rPr>
                <m:lit/>
                <m:nor/>
              </m:rPr>
              <m:t xml:space="preserve">=</m:t>
            </m:r>
            <m:r>
              <m:t xml:space="preserve">1</m:t>
            </m:r>
          </m:sub>
          <m:sup>
            <m:r>
              <m:t xml:space="preserve">B</m:t>
            </m:r>
          </m:sup>
          <m:e>
            <m:r>
              <m:t xml:space="preserve">(</m:t>
            </m:r>
          </m:e>
        </m:nary>
        <m:sSubSup>
          <m:e>
            <m:acc>
              <m:accPr>
                <m:chr m:val="^"/>
              </m:accPr>
              <m:e>
                <m:r>
                  <m:t xml:space="preserve">θ</m:t>
                </m:r>
              </m:e>
            </m:acc>
          </m:e>
          <m:sub>
            <m:r>
              <m:t xml:space="preserve">d</m:t>
            </m:r>
          </m:sub>
          <m:sup>
            <m:r>
              <m:t xml:space="preserve">Bench</m:t>
            </m:r>
            <m:r>
              <m:t xml:space="preserve">,</m:t>
            </m:r>
            <m:r>
              <m:t xml:space="preserve">(</m:t>
            </m:r>
            <m:r>
              <m:t xml:space="preserve">b</m:t>
            </m:r>
            <m:r>
              <m:t xml:space="preserve">)</m:t>
            </m:r>
          </m:sup>
        </m:sSubSup>
        <m:r>
          <m:rPr>
            <m:lit/>
            <m:nor/>
          </m:rPr>
          <m:t xml:space="preserve">-</m:t>
        </m:r>
        <m:sSubSup>
          <m:e>
            <m:r>
              <m:t xml:space="preserve">θ</m:t>
            </m:r>
          </m:e>
          <m:sub>
            <m:r>
              <m:t xml:space="preserve">d</m:t>
            </m:r>
          </m:sub>
          <m:sup>
            <m:r>
              <m:t xml:space="preserve">(</m:t>
            </m:r>
            <m:r>
              <m:t xml:space="preserve">b</m:t>
            </m:r>
            <m:r>
              <m:t xml:space="preserve">)</m:t>
            </m:r>
          </m:sup>
        </m:sSubSup>
        <m:sSup>
          <m:e>
            <m:r>
              <m:t xml:space="preserve">)</m:t>
            </m:r>
          </m:e>
          <m:sup>
            <m:r>
              <m:t xml:space="preserve">2</m:t>
            </m:r>
          </m:sup>
        </m:sSup>
        <m:r>
          <m:t xml:space="preserve">.</m:t>
        </m:r>
      </m:oMath>
      <w:r>
        <w:rPr/>
        <w:t xml:space="preserve"> </w:t>
      </w:r>
    </w:p>
    <w:p>
      <w:pPr>
        <w:pStyle w:val="FirstParagraph"/>
        <w:rPr/>
      </w:pPr>
      <w:r>
        <w:rPr/>
        <w:t xml:space="preserve">Re-running the benchmarking inside every replicate is what propagates the variability of </w:t>
      </w:r>
      <m:oMath xmlns:m="http://schemas.openxmlformats.org/officeDocument/2006/math">
        <m:sSub>
          <m:e>
            <m:r>
              <m:t xml:space="preserve">λ</m:t>
            </m:r>
          </m:e>
          <m:sub>
            <m:r>
              <m:t xml:space="preserve">r</m:t>
            </m:r>
          </m:sub>
        </m:sSub>
      </m:oMath>
      <w:r>
        <w:rPr/>
        <w:t xml:space="preserve"> into the MSE. Replicates that fail to converge are skipped and the divisor reduced accordingly; with </w:t>
      </w:r>
      <w:r>
        <w:rPr>
          <w:rStyle w:val="VerbatimChar"/>
        </w:rPr>
        <w:t>MSE = FALSE</w:t>
      </w:r>
      <w:r>
        <w:rPr/>
        <w:t>, the benchmarked MSE column is filled with the unbenchmarked FH MSE as a placeholder. One exception applies to mean welfare fitted in logs. There the bootstrap benchmarks on the log scale to the survey’s own regional figures; after the back-transform, a final ratio adjustment on the currency scale (to the survey’s arithmetic regional means, or to uploaded targets) makes the estimates match the targets. That final adjustment is not repeated inside the replicates: the reported MSE is rescaled so that it keeps the coefficient of variation of the log-scale bootstrap, which is an approximation, not the MSE of the final estimator.</w:t>
      </w:r>
    </w:p>
    <w:p>
      <w:pPr>
        <w:pStyle w:val="Heading1"/>
        <w:rPr/>
      </w:pPr>
      <w:bookmarkStart w:id="5" w:name="X9488b9aabddd51e961886777afc99694e19435e"/>
      <w:r>
        <w:rPr/>
        <w:t>Part II. The Multivariate Fay–Herriot Models (Multiple Periods)</w:t>
      </w:r>
      <w:bookmarkEnd w:id="5"/>
    </w:p>
    <w:p>
      <w:pPr>
        <w:pStyle w:val="Heading2"/>
        <w:rPr/>
      </w:pPr>
      <w:bookmarkStart w:id="6" w:name="model-variants"/>
      <w:r>
        <w:rPr/>
        <w:t>Model variants</w:t>
      </w:r>
      <w:bookmarkEnd w:id="6"/>
    </w:p>
    <w:p>
      <w:pPr>
        <w:pStyle w:val="FirstParagraph"/>
        <w:rPr/>
      </w:pPr>
      <w:r>
        <w:rPr/>
        <w:t xml:space="preserve">Let </w:t>
      </w:r>
      <m:oMath xmlns:m="http://schemas.openxmlformats.org/officeDocument/2006/math">
        <m:r>
          <m:t xml:space="preserve">d</m:t>
        </m:r>
        <m:r>
          <m:rPr>
            <m:lit/>
            <m:nor/>
          </m:rPr>
          <m:t xml:space="preserve">=</m:t>
        </m:r>
        <m:r>
          <m:t xml:space="preserve">1</m:t>
        </m:r>
        <m:r>
          <m:t xml:space="preserve">,</m:t>
        </m:r>
        <m:r>
          <m:t xml:space="preserve">…</m:t>
        </m:r>
        <m:r>
          <m:t xml:space="preserve">,</m:t>
        </m:r>
        <m:r>
          <m:t xml:space="preserve">D</m:t>
        </m:r>
      </m:oMath>
      <w:r>
        <w:rPr/>
        <w:t xml:space="preserve"> index domains and </w:t>
      </w:r>
      <m:oMath xmlns:m="http://schemas.openxmlformats.org/officeDocument/2006/math">
        <m:r>
          <m:t xml:space="preserve">t</m:t>
        </m:r>
        <m:r>
          <m:rPr>
            <m:lit/>
            <m:nor/>
          </m:rPr>
          <m:t xml:space="preserve">=</m:t>
        </m:r>
        <m:r>
          <m:t xml:space="preserve">1</m:t>
        </m:r>
        <m:r>
          <m:t xml:space="preserve">,</m:t>
        </m:r>
        <m:r>
          <m:t xml:space="preserve">…</m:t>
        </m:r>
        <m:r>
          <m:t xml:space="preserve">,</m:t>
        </m:r>
        <m:r>
          <m:t xml:space="preserve">T</m:t>
        </m:r>
      </m:oMath>
      <w:r>
        <w:rPr/>
        <w:t xml:space="preserve"> periods. For each domain, the vector of direct estimates over time is modeled as a regression mean plus correlated random effects plus sampling errors with known </w:t>
      </w:r>
      <m:oMath xmlns:m="http://schemas.openxmlformats.org/officeDocument/2006/math">
        <m:r>
          <m:t xml:space="preserve">T</m:t>
        </m:r>
        <m:r>
          <m:t xml:space="preserve">×</m:t>
        </m:r>
        <m:r>
          <m:t xml:space="preserve">T</m:t>
        </m:r>
      </m:oMath>
      <w:r>
        <w:rPr/>
        <w:t xml:space="preserve"> covariance </w:t>
      </w:r>
      <m:oMath xmlns:m="http://schemas.openxmlformats.org/officeDocument/2006/math">
        <m:sSub>
          <m:e>
            <m:r>
              <m:t xml:space="preserve">Σ</m:t>
            </m:r>
          </m:e>
          <m:sub>
            <m:r>
              <m:t xml:space="preserve">e</m:t>
            </m:r>
            <m:r>
              <m:t xml:space="preserve">,</m:t>
            </m:r>
            <m:r>
              <m:t xml:space="preserve">d</m:t>
            </m:r>
          </m:sub>
        </m:sSub>
      </m:oMath>
      <w:r>
        <w:rPr/>
        <w:t xml:space="preserve">. Under MFH2 the random effects follow a homoskedastic AR(1) process, </w:t>
      </w:r>
      <m:oMath xmlns:m="http://schemas.openxmlformats.org/officeDocument/2006/math">
        <m:sSub>
          <m:e>
            <m:r>
              <m:t xml:space="preserve">u</m:t>
            </m:r>
          </m:e>
          <m:sub>
            <m:r>
              <m:t xml:space="preserve">d</m:t>
            </m:r>
            <m:r>
              <m:t xml:space="preserve">,</m:t>
            </m:r>
            <m:r>
              <m:t xml:space="preserve">t</m:t>
            </m:r>
          </m:sub>
        </m:sSub>
        <m:r>
          <m:rPr>
            <m:lit/>
            <m:nor/>
          </m:rPr>
          <m:t xml:space="preserve">=</m:t>
        </m:r>
        <m:r>
          <m:t xml:space="preserve">ρ</m:t>
        </m:r>
        <m:sSub>
          <m:e>
            <m:r>
              <m:t xml:space="preserve">u</m:t>
            </m:r>
          </m:e>
          <m:sub>
            <m:r>
              <m:t xml:space="preserve">d</m:t>
            </m:r>
            <m:r>
              <m:t xml:space="preserve">,</m:t>
            </m:r>
            <m:r>
              <m:t xml:space="preserve">t</m:t>
            </m:r>
            <m:r>
              <m:rPr>
                <m:lit/>
                <m:nor/>
              </m:rPr>
              <m:t xml:space="preserve">-</m:t>
            </m:r>
            <m:r>
              <m:t xml:space="preserve">1</m:t>
            </m:r>
          </m:sub>
        </m:sSub>
        <m:r>
          <m:rPr>
            <m:lit/>
            <m:nor/>
          </m:rPr>
          <m:t xml:space="preserve">+</m:t>
        </m:r>
        <m:sSub>
          <m:e>
            <m:r>
              <m:t xml:space="preserve">a</m:t>
            </m:r>
          </m:e>
          <m:sub>
            <m:r>
              <m:t xml:space="preserve">d</m:t>
            </m:r>
            <m:r>
              <m:t xml:space="preserve">,</m:t>
            </m:r>
            <m:r>
              <m:t xml:space="preserve">t</m:t>
            </m:r>
          </m:sub>
        </m:sSub>
      </m:oMath>
      <w:r>
        <w:rPr/>
        <w:t xml:space="preserve">, so nearby periods share information; MFH1 makes the effects independent across periods; MFH3 allows the AR(1) innovation variance to vary by period. The models are fitted with the </w:t>
      </w:r>
      <w:r>
        <w:rPr>
          <w:rStyle w:val="VerbatimChar"/>
        </w:rPr>
        <w:t>msae</w:t>
      </w:r>
      <w:r>
        <w:rPr/>
        <w:t xml:space="preserve"> package (Permatasari and Ubaidillah, 2021), following Benavent and Morales (2016).</w:t>
      </w:r>
    </w:p>
    <w:p>
      <w:pPr>
        <w:pStyle w:val="Heading2"/>
        <w:rPr/>
      </w:pPr>
      <w:bookmarkStart w:id="7" w:name="Xdff753641f262cb82e7d1d0826f1bdb0876a302"/>
      <w:r>
        <w:rPr/>
        <w:t>Parametric bootstrap for MSE and MCPE (unbenchmarked)</w:t>
      </w:r>
      <w:bookmarkEnd w:id="7"/>
    </w:p>
    <w:p>
      <w:pPr>
        <w:pStyle w:val="FirstParagraph"/>
        <w:rPr/>
      </w:pPr>
      <w:r>
        <w:rPr/>
        <w:t xml:space="preserve">For the MFH, the package needs not only per-period MSEs but also the cross-period covariance of prediction errors — the mean cross-product error (MCPE) — required for inference on changes. Both are estimated by a </w:t>
      </w:r>
      <w:r>
        <w:rPr>
          <w:b/>
        </w:rPr>
        <w:t>fully parametric bootstrap</w:t>
      </w:r>
      <w:r>
        <w:rPr/>
        <w:t xml:space="preserve"> (</w:t>
      </w:r>
      <w:r>
        <w:rPr>
          <w:rStyle w:val="VerbatimChar"/>
        </w:rPr>
        <w:t>pbmcpe_with_existing()</w:t>
      </w:r>
      <w:r>
        <w:rPr/>
        <w:t xml:space="preserve">, dispatching to the variant-specific routines), which draws random effects and sampling errors directly from the fitted normal model rather than resampling residuals. From the fitted object, it harvests </w:t>
      </w:r>
      <m:oMath xmlns:m="http://schemas.openxmlformats.org/officeDocument/2006/math">
        <m:sSub>
          <m:e>
            <m:acc>
              <m:accPr>
                <m:chr m:val="^"/>
              </m:accPr>
              <m:e>
                <m:r>
                  <m:t xml:space="preserve">β</m:t>
                </m:r>
              </m:e>
            </m:acc>
          </m:e>
          <m:sub>
            <m:r>
              <m:t xml:space="preserve">t</m:t>
            </m:r>
          </m:sub>
        </m:sSub>
      </m:oMath>
      <w:r>
        <w:rPr/>
        <w:t xml:space="preserve">, the random-effect variance (scalar </w:t>
      </w:r>
      <m:oMath xmlns:m="http://schemas.openxmlformats.org/officeDocument/2006/math">
        <m:sSubSup>
          <m:e>
            <m:acc>
              <m:accPr>
                <m:chr m:val="^"/>
              </m:accPr>
              <m:e>
                <m:r>
                  <m:t xml:space="preserve">σ</m:t>
                </m:r>
              </m:e>
            </m:acc>
          </m:e>
          <m:sub>
            <m:r>
              <m:t xml:space="preserve">u</m:t>
            </m:r>
          </m:sub>
          <m:sup>
            <m:r>
              <m:t xml:space="preserve">2</m:t>
            </m:r>
          </m:sup>
        </m:sSubSup>
      </m:oMath>
      <w:r>
        <w:rPr/>
        <w:t xml:space="preserve"> under MFH2, length- </w:t>
      </w:r>
      <m:oMath xmlns:m="http://schemas.openxmlformats.org/officeDocument/2006/math">
        <m:r>
          <m:t xml:space="preserve">T</m:t>
        </m:r>
      </m:oMath>
      <w:r>
        <w:rPr/>
        <w:t xml:space="preserve"> vector under MFH1/MFH3), the AR(1) coefficient </w:t>
      </w:r>
      <m:oMath xmlns:m="http://schemas.openxmlformats.org/officeDocument/2006/math">
        <m:acc>
          <m:accPr>
            <m:chr m:val="^"/>
          </m:accPr>
          <m:e>
            <m:r>
              <m:t xml:space="preserve">ρ</m:t>
            </m:r>
          </m:e>
        </m:acc>
      </m:oMath>
      <w:r>
        <w:rPr/>
        <w:t xml:space="preserve">, and </w:t>
      </w:r>
      <m:oMath xmlns:m="http://schemas.openxmlformats.org/officeDocument/2006/math">
        <m:sSub>
          <m:e>
            <m:r>
              <m:t xml:space="preserve">Σ</m:t>
            </m:r>
          </m:e>
          <m:sub>
            <m:r>
              <m:t xml:space="preserve">e</m:t>
            </m:r>
            <m:r>
              <m:t xml:space="preserve">,</m:t>
            </m:r>
            <m:r>
              <m:t xml:space="preserve">d</m:t>
            </m:r>
          </m:sub>
        </m:sSub>
      </m:oMath>
      <w:r>
        <w:rPr/>
        <w:t xml:space="preserve">. For each replicate </w:t>
      </w:r>
      <m:oMath xmlns:m="http://schemas.openxmlformats.org/officeDocument/2006/math">
        <m:r>
          <m:t xml:space="preserve">b</m:t>
        </m:r>
        <m:r>
          <m:rPr>
            <m:lit/>
            <m:nor/>
          </m:rPr>
          <m:t xml:space="preserve">=</m:t>
        </m:r>
        <m:r>
          <m:t xml:space="preserve">1</m:t>
        </m:r>
        <m:r>
          <m:t xml:space="preserve">,</m:t>
        </m:r>
        <m:r>
          <m:t xml:space="preserve">…</m:t>
        </m:r>
        <m:r>
          <m:t xml:space="preserve">,</m:t>
        </m:r>
        <m:r>
          <m:t xml:space="preserve">B</m:t>
        </m:r>
      </m:oMath>
      <w:r>
        <w:rPr/>
        <w:t>:</w:t>
      </w:r>
    </w:p>
    <w:p>
      <w:pPr>
        <w:pStyle w:val="Compact"/>
        <w:numPr>
          <w:ilvl w:val="0"/>
          <w:numId w:val="6"/>
        </w:numPr>
        <w:rPr/>
      </w:pPr>
      <w:r>
        <w:rPr>
          <w:b/>
        </w:rPr>
        <w:t>Random effects.</w:t>
      </w:r>
      <w:r>
        <w:rPr/>
        <w:t xml:space="preserve"> For MFH2 (homoskedastic AR(1), stationary initialization):</w:t>
      </w:r>
    </w:p>
    <w:p>
      <w:pPr>
        <w:pStyle w:val="FirstParagraph"/>
        <w:spacing w:lineRule="atLeast" w:line="240" w:before="0" w:after="160"/>
        <w:jc w:val="center"/>
        <w:rPr/>
      </w:pPr>
      <w:r>
        <w:rPr/>
        <w:t xml:space="preserve"> </w:t>
      </w:r>
      <m:oMath xmlns:m="http://schemas.openxmlformats.org/officeDocument/2006/math">
        <m:sSubSup>
          <m:e>
            <m:r>
              <m:t xml:space="preserve">u</m:t>
            </m:r>
          </m:e>
          <m:sub>
            <m:r>
              <m:t xml:space="preserve">d</m:t>
            </m:r>
            <m:r>
              <m:t xml:space="preserve">,</m:t>
            </m:r>
            <m:r>
              <m:t xml:space="preserve">1</m:t>
            </m:r>
          </m:sub>
          <m:sup>
            <m:r>
              <m:t xml:space="preserve">(</m:t>
            </m:r>
            <m:r>
              <m:t xml:space="preserve">b</m:t>
            </m:r>
            <m:r>
              <m:t xml:space="preserve">)</m:t>
            </m:r>
          </m:sup>
        </m:sSubSup>
        <m:r>
          <m:rPr>
            <m:lit/>
            <m:nor/>
          </m:rPr>
          <m:t xml:space="preserve">=</m:t>
        </m:r>
        <m:f>
          <m:num>
            <m:sSubSup>
              <m:e>
                <m:r>
                  <m:t xml:space="preserve">a</m:t>
                </m:r>
              </m:e>
              <m:sub>
                <m:r>
                  <m:t xml:space="preserve">d</m:t>
                </m:r>
                <m:r>
                  <m:t xml:space="preserve">,</m:t>
                </m:r>
                <m:r>
                  <m:t xml:space="preserve">1</m:t>
                </m:r>
              </m:sub>
              <m:sup>
                <m:r>
                  <m:t xml:space="preserve">(</m:t>
                </m:r>
                <m:r>
                  <m:t xml:space="preserve">b</m:t>
                </m:r>
                <m:r>
                  <m:t xml:space="preserve">)</m:t>
                </m:r>
              </m:sup>
            </m:sSubSup>
          </m:num>
          <m:den>
            <m:rad>
              <m:radPr>
                <m:degHide m:val="1"/>
              </m:radPr>
              <m:deg/>
              <m:e>
                <m:r>
                  <m:t xml:space="preserve">1</m:t>
                </m:r>
                <m:r>
                  <m:rPr>
                    <m:lit/>
                    <m:nor/>
                  </m:rPr>
                  <m:t xml:space="preserve">-</m:t>
                </m:r>
                <m:sSup>
                  <m:e>
                    <m:acc>
                      <m:accPr>
                        <m:chr m:val="^"/>
                      </m:accPr>
                      <m:e>
                        <m:r>
                          <m:t xml:space="preserve">ρ</m:t>
                        </m:r>
                      </m:e>
                    </m:acc>
                  </m:e>
                  <m:sup>
                    <m:r>
                      <m:t xml:space="preserve">2</m:t>
                    </m:r>
                  </m:sup>
                </m:sSup>
              </m:e>
            </m:rad>
          </m:den>
        </m:f>
        <m:r>
          <m:t xml:space="preserve">,</m:t>
        </m:r>
        <m:sSubSup>
          <m:e>
            <m:r>
              <m:t xml:space="preserve">u</m:t>
            </m:r>
          </m:e>
          <m:sub>
            <m:r>
              <m:t xml:space="preserve">d</m:t>
            </m:r>
            <m:r>
              <m:t xml:space="preserve">,</m:t>
            </m:r>
            <m:r>
              <m:t xml:space="preserve">t</m:t>
            </m:r>
          </m:sub>
          <m:sup>
            <m:r>
              <m:t xml:space="preserve">(</m:t>
            </m:r>
            <m:r>
              <m:t xml:space="preserve">b</m:t>
            </m:r>
            <m:r>
              <m:t xml:space="preserve">)</m:t>
            </m:r>
          </m:sup>
        </m:sSubSup>
        <m:r>
          <m:rPr>
            <m:lit/>
            <m:nor/>
          </m:rPr>
          <m:t xml:space="preserve">=</m:t>
        </m:r>
        <m:acc>
          <m:accPr>
            <m:chr m:val="^"/>
          </m:accPr>
          <m:e>
            <m:r>
              <m:t xml:space="preserve">ρ</m:t>
            </m:r>
          </m:e>
        </m:acc>
        <m:sSubSup>
          <m:e>
            <m:r>
              <m:t xml:space="preserve">u</m:t>
            </m:r>
          </m:e>
          <m:sub>
            <m:r>
              <m:t xml:space="preserve">d</m:t>
            </m:r>
            <m:r>
              <m:t xml:space="preserve">,</m:t>
            </m:r>
            <m:r>
              <m:t xml:space="preserve">t</m:t>
            </m:r>
            <m:r>
              <m:rPr>
                <m:lit/>
                <m:nor/>
              </m:rPr>
              <m:t xml:space="preserve">-</m:t>
            </m:r>
            <m:r>
              <m:t xml:space="preserve">1</m:t>
            </m:r>
          </m:sub>
          <m:sup>
            <m:r>
              <m:t xml:space="preserve">(</m:t>
            </m:r>
            <m:r>
              <m:t xml:space="preserve">b</m:t>
            </m:r>
            <m:r>
              <m:t xml:space="preserve">)</m:t>
            </m:r>
          </m:sup>
        </m:sSubSup>
        <m:r>
          <m:rPr>
            <m:lit/>
            <m:nor/>
          </m:rPr>
          <m:t xml:space="preserve">+</m:t>
        </m:r>
        <m:sSubSup>
          <m:e>
            <m:r>
              <m:t xml:space="preserve">a</m:t>
            </m:r>
          </m:e>
          <m:sub>
            <m:r>
              <m:t xml:space="preserve">d</m:t>
            </m:r>
            <m:r>
              <m:t xml:space="preserve">,</m:t>
            </m:r>
            <m:r>
              <m:t xml:space="preserve">t</m:t>
            </m:r>
          </m:sub>
          <m:sup>
            <m:r>
              <m:t xml:space="preserve">(</m:t>
            </m:r>
            <m:r>
              <m:t xml:space="preserve">b</m:t>
            </m:r>
            <m:r>
              <m:t xml:space="preserve">)</m:t>
            </m:r>
          </m:sup>
        </m:sSubSup>
        <m:r>
          <m:t xml:space="preserve">,</m:t>
        </m:r>
        <m:sSubSup>
          <m:e>
            <m:r>
              <m:t xml:space="preserve">a</m:t>
            </m:r>
          </m:e>
          <m:sub>
            <m:r>
              <m:t xml:space="preserve">d</m:t>
            </m:r>
            <m:r>
              <m:t xml:space="preserve">,</m:t>
            </m:r>
            <m:r>
              <m:t xml:space="preserve">t</m:t>
            </m:r>
          </m:sub>
          <m:sup>
            <m:r>
              <m:t xml:space="preserve">(</m:t>
            </m:r>
            <m:r>
              <m:t xml:space="preserve">b</m:t>
            </m:r>
            <m:r>
              <m:t xml:space="preserve">)</m:t>
            </m:r>
          </m:sup>
        </m:sSubSup>
        <m:r>
          <m:t xml:space="preserve">∼</m:t>
        </m:r>
        <m:r>
          <m:t xml:space="preserve">N</m:t>
        </m:r>
        <m:r>
          <m:t xml:space="preserve">(</m:t>
        </m:r>
        <m:r>
          <m:t xml:space="preserve">0</m:t>
        </m:r>
        <m:r>
          <m:t xml:space="preserve">,</m:t>
        </m:r>
        <m:sSubSup>
          <m:e>
            <m:acc>
              <m:accPr>
                <m:chr m:val="^"/>
              </m:accPr>
              <m:e>
                <m:r>
                  <m:t xml:space="preserve">σ</m:t>
                </m:r>
              </m:e>
            </m:acc>
          </m:e>
          <m:sub>
            <m:r>
              <m:t xml:space="preserve">u</m:t>
            </m:r>
          </m:sub>
          <m:sup>
            <m:r>
              <m:t xml:space="preserve">2</m:t>
            </m:r>
          </m:sup>
        </m:sSubSup>
        <m:r>
          <m:t xml:space="preserve">)</m:t>
        </m:r>
        <m:r>
          <m:t xml:space="preserve">.</m:t>
        </m:r>
      </m:oMath>
      <w:r>
        <w:rPr/>
        <w:t xml:space="preserve"> </w:t>
      </w:r>
    </w:p>
    <w:p>
      <w:pPr>
        <w:pStyle w:val="FirstParagraph"/>
        <w:rPr/>
      </w:pPr>
      <w:r>
        <w:rPr/>
        <w:t xml:space="preserve">MFH3 uses the same recursion with time-varying innovation variance </w:t>
      </w:r>
      <m:oMath xmlns:m="http://schemas.openxmlformats.org/officeDocument/2006/math">
        <m:sSubSup>
          <m:e>
            <m:acc>
              <m:accPr>
                <m:chr m:val="^"/>
              </m:accPr>
              <m:e>
                <m:r>
                  <m:t xml:space="preserve">σ</m:t>
                </m:r>
              </m:e>
            </m:acc>
          </m:e>
          <m:sub>
            <m:r>
              <m:t xml:space="preserve">u</m:t>
            </m:r>
            <m:r>
              <m:t xml:space="preserve">,</m:t>
            </m:r>
            <m:r>
              <m:t xml:space="preserve">t</m:t>
            </m:r>
          </m:sub>
          <m:sup>
            <m:r>
              <m:t xml:space="preserve">2</m:t>
            </m:r>
          </m:sup>
        </m:sSubSup>
      </m:oMath>
      <w:r>
        <w:rPr/>
        <w:t xml:space="preserve"> and a non-stationary first period (a stationary initialization does not strictly exist in the heteroskedastic case); MFH1 sets </w:t>
      </w:r>
      <m:oMath xmlns:m="http://schemas.openxmlformats.org/officeDocument/2006/math">
        <m:r>
          <m:t xml:space="preserve">ρ</m:t>
        </m:r>
        <m:r>
          <m:rPr>
            <m:lit/>
            <m:nor/>
          </m:rPr>
          <m:t xml:space="preserve">=</m:t>
        </m:r>
        <m:r>
          <m:t xml:space="preserve">0</m:t>
        </m:r>
      </m:oMath>
      <w:r>
        <w:rPr/>
        <w:t xml:space="preserve"> and draws </w:t>
      </w:r>
      <m:oMath xmlns:m="http://schemas.openxmlformats.org/officeDocument/2006/math">
        <m:sSubSup>
          <m:e>
            <m:r>
              <m:t xml:space="preserve">u</m:t>
            </m:r>
          </m:e>
          <m:sub>
            <m:r>
              <m:t xml:space="preserve">d</m:t>
            </m:r>
            <m:r>
              <m:t xml:space="preserve">,</m:t>
            </m:r>
            <m:r>
              <m:t xml:space="preserve">t</m:t>
            </m:r>
          </m:sub>
          <m:sup>
            <m:r>
              <m:t xml:space="preserve">(</m:t>
            </m:r>
            <m:r>
              <m:t xml:space="preserve">b</m:t>
            </m:r>
            <m:r>
              <m:t xml:space="preserve">)</m:t>
            </m:r>
          </m:sup>
        </m:sSubSup>
        <m:r>
          <m:t xml:space="preserve">∼</m:t>
        </m:r>
        <m:r>
          <m:t xml:space="preserve">N</m:t>
        </m:r>
        <m:r>
          <m:t xml:space="preserve">(</m:t>
        </m:r>
        <m:r>
          <m:t xml:space="preserve">0</m:t>
        </m:r>
        <m:r>
          <m:t xml:space="preserve">,</m:t>
        </m:r>
        <m:sSubSup>
          <m:e>
            <m:acc>
              <m:accPr>
                <m:chr m:val="^"/>
              </m:accPr>
              <m:e>
                <m:r>
                  <m:t xml:space="preserve">σ</m:t>
                </m:r>
              </m:e>
            </m:acc>
          </m:e>
          <m:sub>
            <m:r>
              <m:t xml:space="preserve">u</m:t>
            </m:r>
            <m:r>
              <m:t xml:space="preserve">,</m:t>
            </m:r>
            <m:r>
              <m:t xml:space="preserve">t</m:t>
            </m:r>
          </m:sub>
          <m:sup>
            <m:r>
              <m:t xml:space="preserve">2</m:t>
            </m:r>
          </m:sup>
        </m:sSubSup>
        <m:r>
          <m:t xml:space="preserve">)</m:t>
        </m:r>
      </m:oMath>
      <w:r>
        <w:rPr/>
        <w:t xml:space="preserve"> independently.</w:t>
      </w:r>
    </w:p>
    <w:p>
      <w:pPr>
        <w:pStyle w:val="Normal"/>
        <w:numPr>
          <w:ilvl w:val="0"/>
          <w:numId w:val="7"/>
        </w:numPr>
        <w:rPr/>
      </w:pPr>
      <w:r>
        <w:rPr>
          <w:b/>
        </w:rPr>
        <w:t>Sampling errors</w:t>
      </w:r>
      <w:r>
        <w:rPr/>
        <w:t xml:space="preserve">, drawn jointly across periods, so the temporal covariance of the direct estimates is respected: </w:t>
      </w:r>
      <m:oMath xmlns:m="http://schemas.openxmlformats.org/officeDocument/2006/math">
        <m:sSubSup>
          <m:e>
            <m:r>
              <m:t xml:space="preserve">e</m:t>
            </m:r>
          </m:e>
          <m:sub>
            <m:r>
              <m:t xml:space="preserve">d</m:t>
            </m:r>
          </m:sub>
          <m:sup>
            <m:r>
              <m:t xml:space="preserve">(</m:t>
            </m:r>
            <m:r>
              <m:t xml:space="preserve">b</m:t>
            </m:r>
            <m:r>
              <m:t xml:space="preserve">)</m:t>
            </m:r>
          </m:sup>
        </m:sSubSup>
        <m:r>
          <m:t xml:space="preserve">∼</m:t>
        </m:r>
        <m:r>
          <m:t xml:space="preserve">N</m:t>
        </m:r>
        <m:r>
          <m:t xml:space="preserve">(</m:t>
        </m:r>
        <m:r>
          <m:t xml:space="preserve">0</m:t>
        </m:r>
        <m:r>
          <m:t xml:space="preserve">,</m:t>
        </m:r>
        <m:sSub>
          <m:e>
            <m:r>
              <m:t xml:space="preserve">Σ</m:t>
            </m:r>
          </m:e>
          <m:sub>
            <m:r>
              <m:t xml:space="preserve">e</m:t>
            </m:r>
            <m:r>
              <m:t xml:space="preserve">,</m:t>
            </m:r>
            <m:r>
              <m:t xml:space="preserve">d</m:t>
            </m:r>
          </m:sub>
        </m:sSub>
        <m:r>
          <m:t xml:space="preserve">)</m:t>
        </m:r>
      </m:oMath>
      <w:r>
        <w:rPr/>
        <w:t>.</w:t>
      </w:r>
    </w:p>
    <w:p>
      <w:pPr>
        <w:pStyle w:val="Normal"/>
        <w:numPr>
          <w:ilvl w:val="0"/>
          <w:numId w:val="2"/>
        </w:numPr>
        <w:rPr/>
      </w:pPr>
      <w:r>
        <w:rPr>
          <w:b/>
        </w:rPr>
        <w:t>Synthetic truth and observation:</w:t>
      </w:r>
    </w:p>
    <w:p>
      <w:pPr>
        <w:pStyle w:val="FirstParagraph"/>
        <w:spacing w:lineRule="atLeast" w:line="240" w:before="0" w:after="160"/>
        <w:jc w:val="center"/>
        <w:rPr/>
      </w:pPr>
      <w:r>
        <w:rPr/>
        <w:t xml:space="preserve"> </w:t>
      </w:r>
      <m:oMath xmlns:m="http://schemas.openxmlformats.org/officeDocument/2006/math">
        <m:sSubSup>
          <m:e>
            <m:r>
              <m:t xml:space="preserve">θ</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x</m:t>
            </m:r>
          </m:e>
          <m:sub>
            <m:r>
              <m:t xml:space="preserve">d</m:t>
            </m:r>
            <m:r>
              <m:t xml:space="preserve">,</m:t>
            </m:r>
            <m:r>
              <m:t xml:space="preserve">t</m:t>
            </m:r>
          </m:sub>
          <m:sup>
            <m:r>
              <m:t xml:space="preserve">⊤</m:t>
            </m:r>
          </m:sup>
        </m:sSubSup>
        <m:sSub>
          <m:e>
            <m:acc>
              <m:accPr>
                <m:chr m:val="^"/>
              </m:accPr>
              <m:e>
                <m:r>
                  <m:t xml:space="preserve">β</m:t>
                </m:r>
              </m:e>
            </m:acc>
          </m:e>
          <m:sub>
            <m:r>
              <m:t xml:space="preserve">t</m:t>
            </m:r>
          </m:sub>
        </m:sSub>
        <m:r>
          <m:rPr>
            <m:lit/>
            <m:nor/>
          </m:rPr>
          <m:t xml:space="preserve">+</m:t>
        </m:r>
        <m:sSubSup>
          <m:e>
            <m:r>
              <m:t xml:space="preserve">u</m:t>
            </m:r>
          </m:e>
          <m:sub>
            <m:r>
              <m:t xml:space="preserve">d</m:t>
            </m:r>
            <m:r>
              <m:t xml:space="preserve">,</m:t>
            </m:r>
            <m:r>
              <m:t xml:space="preserve">t</m:t>
            </m:r>
          </m:sub>
          <m:sup>
            <m:r>
              <m:t xml:space="preserve">(</m:t>
            </m:r>
            <m:r>
              <m:t xml:space="preserve">b</m:t>
            </m:r>
            <m:r>
              <m:t xml:space="preserve">)</m:t>
            </m:r>
          </m:sup>
        </m:sSubSup>
        <m:r>
          <m:t xml:space="preserve">,</m:t>
        </m:r>
        <m:sSubSup>
          <m:e>
            <m:r>
              <m:t xml:space="preserve">y</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e</m:t>
            </m:r>
          </m:e>
          <m:sub>
            <m:r>
              <m:t xml:space="preserve">d</m:t>
            </m:r>
            <m:r>
              <m:t xml:space="preserve">,</m:t>
            </m:r>
            <m:r>
              <m:t xml:space="preserve">t</m:t>
            </m:r>
          </m:sub>
          <m:sup>
            <m:r>
              <m:t xml:space="preserve">(</m:t>
            </m:r>
            <m:r>
              <m:t xml:space="preserve">b</m:t>
            </m:r>
            <m:r>
              <m:t xml:space="preserve">)</m:t>
            </m:r>
          </m:sup>
        </m:sSubSup>
        <m:r>
          <m:t xml:space="preserve">.</m:t>
        </m:r>
      </m:oMath>
      <w:r>
        <w:rPr/>
        <w:t xml:space="preserve"> </w:t>
      </w:r>
    </w:p>
    <w:p>
      <w:pPr>
        <w:pStyle w:val="Compact"/>
        <w:numPr>
          <w:ilvl w:val="0"/>
          <w:numId w:val="8"/>
        </w:numPr>
        <w:rPr/>
      </w:pPr>
      <w:r>
        <w:rPr>
          <w:b/>
        </w:rPr>
        <w:t>Refit</w:t>
      </w:r>
      <w:r>
        <w:rPr/>
        <w:t xml:space="preserve"> the same MFH variant on </w:t>
      </w:r>
      <m:oMath xmlns:m="http://schemas.openxmlformats.org/officeDocument/2006/math">
        <m:sSup>
          <m:e>
            <m:r>
              <m:t xml:space="preserve">y</m:t>
            </m:r>
          </m:e>
          <m:sup>
            <m:r>
              <m:t xml:space="preserve">(</m:t>
            </m:r>
            <m:r>
              <m:t xml:space="preserve">b</m:t>
            </m:r>
            <m:r>
              <m:t xml:space="preserve">)</m:t>
            </m:r>
          </m:sup>
        </m:sSup>
      </m:oMath>
      <w:r>
        <w:rPr/>
        <w:t xml:space="preserve"> to obtain bootstrap EBLUPs </w:t>
      </w:r>
      <m:oMath xmlns:m="http://schemas.openxmlformats.org/officeDocument/2006/math">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oMath>
      <w:r>
        <w:rPr/>
        <w:t xml:space="preserve">. Non-convergent replicates are skipped, counted in </w:t>
      </w:r>
      <w:r>
        <w:rPr>
          <w:rStyle w:val="VerbatimChar"/>
        </w:rPr>
        <w:t>fails</w:t>
      </w:r>
      <w:r>
        <w:rPr/>
        <w:t>, and redrawn, up to a hard cap (</w:t>
      </w:r>
      <w:r>
        <w:rPr>
          <w:rStyle w:val="VerbatimChar"/>
        </w:rPr>
        <w:t>max_attempts</w:t>
      </w:r>
      <w:r>
        <w:rPr/>
        <w:t xml:space="preserve">, default </w:t>
      </w:r>
      <m:oMath xmlns:m="http://schemas.openxmlformats.org/officeDocument/2006/math">
        <m:r>
          <m:t xml:space="preserve">5</m:t>
        </m:r>
        <m:r>
          <m:t xml:space="preserve">B</m:t>
        </m:r>
      </m:oMath>
      <w:r>
        <w:rPr/>
        <w:t xml:space="preserve">); the divisor is the number of </w:t>
      </w:r>
      <w:r>
        <w:rPr>
          <w:i/>
        </w:rPr>
        <w:t>successful</w:t>
      </w:r>
      <w:r>
        <w:rPr/>
        <w:t xml:space="preserve"> replicates </w:t>
      </w:r>
      <m:oMath xmlns:m="http://schemas.openxmlformats.org/officeDocument/2006/math">
        <m:sSub>
          <m:e>
            <m:r>
              <m:t xml:space="preserve">n</m:t>
            </m:r>
          </m:e>
          <m:sub>
            <m:r>
              <m:t xml:space="preserve">valid</m:t>
            </m:r>
          </m:sub>
        </m:sSub>
      </m:oMath>
      <w:r>
        <w:rPr/>
        <w:t>, so failures do not deflate the estimate.</w:t>
      </w:r>
    </w:p>
    <w:p>
      <w:pPr>
        <w:pStyle w:val="FirstParagraph"/>
        <w:rPr/>
      </w:pPr>
      <w:r>
        <w:rPr/>
        <w:t xml:space="preserve">With prediction errors </w:t>
      </w:r>
      <m:oMath xmlns:m="http://schemas.openxmlformats.org/officeDocument/2006/math">
        <m:sSubSup>
          <m:e>
            <m:r>
              <m:t xml:space="preserve">δ</m:t>
            </m:r>
          </m:e>
          <m:sub>
            <m:r>
              <m:t xml:space="preserve">d</m:t>
            </m:r>
            <m:r>
              <m:t xml:space="preserve">,</m:t>
            </m:r>
            <m:r>
              <m:t xml:space="preserve">t</m:t>
            </m:r>
          </m:sub>
          <m:sup>
            <m:r>
              <m:t xml:space="preserve">(</m:t>
            </m:r>
            <m:r>
              <m:t xml:space="preserve">b</m:t>
            </m:r>
            <m:r>
              <m:t xml:space="preserve">)</m:t>
            </m:r>
          </m:sup>
        </m:sSubSup>
        <m:r>
          <m:rPr>
            <m:lit/>
            <m:nor/>
          </m:rPr>
          <m:t xml:space="preserve">=</m:t>
        </m:r>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oMath>
      <w:r>
        <w:rPr/>
        <w:t>,</w:t>
      </w:r>
    </w:p>
    <w:p>
      <w:pPr>
        <w:pStyle w:val="BodyText"/>
        <w:spacing w:lineRule="atLeast" w:line="240" w:before="0" w:after="160"/>
        <w:jc w:val="center"/>
        <w:rPr/>
      </w:pPr>
      <w:r>
        <w:rPr/>
        <w:t xml:space="preserve"> </w:t>
      </w:r>
      <m:oMath xmlns:m="http://schemas.openxmlformats.org/officeDocument/2006/math">
        <m:sSub>
          <m:e>
            <m:acc>
              <m:accPr>
                <m:chr m:val="^"/>
              </m:accPr>
              <m:e>
                <m:r>
                  <m:t xml:space="preserve">MSE</m:t>
                </m:r>
              </m:e>
            </m:acc>
          </m:e>
          <m:sub>
            <m:r>
              <m:t xml:space="preserve">d</m:t>
            </m:r>
            <m:r>
              <m:t xml:space="preserve">,</m:t>
            </m:r>
            <m:r>
              <m:t xml:space="preserve">t</m:t>
            </m:r>
          </m:sub>
        </m:sSub>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r>
              <m:t xml:space="preserve">(</m:t>
            </m:r>
          </m:e>
        </m:nary>
        <m:sSubSup>
          <m:e>
            <m:r>
              <m:t xml:space="preserve">δ</m:t>
            </m:r>
          </m:e>
          <m:sub>
            <m:r>
              <m:t xml:space="preserve">d</m:t>
            </m:r>
            <m:r>
              <m:t xml:space="preserve">,</m:t>
            </m:r>
            <m:r>
              <m:t xml:space="preserve">t</m:t>
            </m:r>
          </m:sub>
          <m:sup>
            <m:r>
              <m:t xml:space="preserve">(</m:t>
            </m:r>
            <m:r>
              <m:t xml:space="preserve">b</m:t>
            </m:r>
            <m:r>
              <m:t xml:space="preserve">)</m:t>
            </m:r>
          </m:sup>
        </m:sSubSup>
        <m:sSup>
          <m:e>
            <m:r>
              <m:t xml:space="preserve">)</m:t>
            </m:r>
          </m:e>
          <m:sup>
            <m:r>
              <m:t xml:space="preserve">2</m:t>
            </m:r>
          </m:sup>
        </m:sSup>
        <m:r>
          <m:t xml:space="preserve">,</m:t>
        </m:r>
        <m:sSub>
          <m:e>
            <m:acc>
              <m:accPr>
                <m:chr m:val="^"/>
              </m:accPr>
              <m:e>
                <m:r>
                  <m:t xml:space="preserve">MCPE</m:t>
                </m:r>
              </m:e>
            </m:acc>
          </m:e>
          <m:sub>
            <m:r>
              <m:t xml:space="preserve">d</m:t>
            </m:r>
          </m:sub>
        </m:sSub>
        <m:r>
          <m:t xml:space="preserve">(</m:t>
        </m:r>
        <m:sSub>
          <m:e>
            <m:r>
              <m:t xml:space="preserve">t</m:t>
            </m:r>
          </m:e>
          <m:sub>
            <m:r>
              <m:t xml:space="preserve">1</m:t>
            </m:r>
          </m:sub>
        </m:sSub>
        <m:r>
          <m:t xml:space="preserve">,</m:t>
        </m:r>
        <m:sSub>
          <m:e>
            <m:r>
              <m:t xml:space="preserve">t</m:t>
            </m:r>
          </m:e>
          <m:sub>
            <m:r>
              <m:t xml:space="preserve">2</m:t>
            </m:r>
          </m:sub>
        </m:sSub>
        <m:r>
          <m:t xml:space="preserve">)</m:t>
        </m:r>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sSubSup>
              <m:e>
                <m:r>
                  <m:t xml:space="preserve">δ</m:t>
                </m:r>
              </m:e>
              <m:sub>
                <m:r>
                  <m:t xml:space="preserve">d</m:t>
                </m:r>
                <m:r>
                  <m:t xml:space="preserve">,</m:t>
                </m:r>
                <m:sSub>
                  <m:e>
                    <m:r>
                      <m:t xml:space="preserve">t</m:t>
                    </m:r>
                  </m:e>
                  <m:sub>
                    <m:r>
                      <m:t xml:space="preserve">1</m:t>
                    </m:r>
                  </m:sub>
                </m:sSub>
              </m:sub>
              <m:sup>
                <m:r>
                  <m:t xml:space="preserve">(</m:t>
                </m:r>
                <m:r>
                  <m:t xml:space="preserve">b</m:t>
                </m:r>
                <m:r>
                  <m:t xml:space="preserve">)</m:t>
                </m:r>
              </m:sup>
            </m:sSubSup>
          </m:e>
        </m:nary>
        <m:sSubSup>
          <m:e>
            <m:r>
              <m:t xml:space="preserve">δ</m:t>
            </m:r>
          </m:e>
          <m:sub>
            <m:r>
              <m:t xml:space="preserve">d</m:t>
            </m:r>
            <m:r>
              <m:t xml:space="preserve">,</m:t>
            </m:r>
            <m:sSub>
              <m:e>
                <m:r>
                  <m:t xml:space="preserve">t</m:t>
                </m:r>
              </m:e>
              <m:sub>
                <m:r>
                  <m:t xml:space="preserve">2</m:t>
                </m:r>
              </m:sub>
            </m:sSub>
          </m:sub>
          <m:sup>
            <m:r>
              <m:t xml:space="preserve">(</m:t>
            </m:r>
            <m:r>
              <m:t xml:space="preserve">b</m:t>
            </m:r>
            <m:r>
              <m:t xml:space="preserve">)</m:t>
            </m:r>
          </m:sup>
        </m:sSubSup>
        <m:r>
          <m:t xml:space="preserve">.</m:t>
        </m:r>
      </m:oMath>
      <w:r>
        <w:rPr/>
        <w:t xml:space="preserve"> </w:t>
      </w:r>
    </w:p>
    <w:p>
      <w:pPr>
        <w:pStyle w:val="FirstParagraph"/>
        <w:rPr/>
      </w:pPr>
      <w:r>
        <w:rPr/>
        <w:t>The MSE fills the diagonal and the MCPE the off-diagonals of each domain’s prediction-error covariance matrix over time. Point estimates reported to the user come from the original model fit; only the MSE/MCPE come from the bootstrap. The driver 02_mfh.R uses the configurable mcpe_nB value (interactive default B = 200; minimum 50) and passes MAXITER = 100 and PRECISION = 1e-4 to the variant-specific bootstrap refits. For production inference, use at least 500 replications after checking Monte Carlo stability.</w:t>
      </w:r>
    </w:p>
    <w:p>
      <w:pPr>
        <w:pStyle w:val="BodyText"/>
        <w:rPr/>
      </w:pPr>
      <w:r>
        <w:rPr/>
        <w:t>For robust MFH2 refits, inversion method, fallback status, and g3/MSE availability are written to mfh_numerical_diagnostics.csv and run_metadata.rds and are displayed in the run log and final report. If Fisher information remains unavailable, g3, MSE, and CV are reported as unavailable rather than as a partial MSE.</w:t>
      </w:r>
    </w:p>
    <w:p>
      <w:pPr>
        <w:pStyle w:val="Heading2"/>
        <w:rPr/>
      </w:pPr>
      <w:bookmarkStart w:id="8" w:name="benchmarked-mfh-estimates"/>
      <w:r>
        <w:rPr/>
        <w:t>Benchmarked MFH estimates</w:t>
      </w:r>
      <w:bookmarkEnd w:id="8"/>
    </w:p>
    <w:p>
      <w:pPr>
        <w:pStyle w:val="FirstParagraph"/>
        <w:rPr/>
      </w:pPr>
      <w:r>
        <w:rPr/>
        <w:t xml:space="preserve">Benchmarking is applied independently within each region and period by </w:t>
      </w:r>
      <w:r>
        <w:rPr>
          <w:rStyle w:val="VerbatimChar"/>
        </w:rPr>
        <w:t>bench_regional_mfh()</w:t>
      </w:r>
      <w:r>
        <w:rPr/>
        <w:t xml:space="preserve">, on a common set of domains </w:t>
      </w:r>
      <m:oMath xmlns:m="http://schemas.openxmlformats.org/officeDocument/2006/math">
        <m:sSub>
          <m:e>
            <m:r>
              <m:t xml:space="preserve">B</m:t>
            </m:r>
          </m:e>
          <m:sub>
            <m:r>
              <m:t xml:space="preserve">rt</m:t>
            </m:r>
          </m:sub>
        </m:sSub>
      </m:oMath>
      <w:r>
        <w:rPr/>
        <w:t xml:space="preserve"> (those with a finite direct estimate, EBLUP, and population weight):</w:t>
      </w:r>
    </w:p>
    <w:p>
      <w:pPr>
        <w:pStyle w:val="BodyText"/>
        <w:spacing w:lineRule="atLeast" w:line="240" w:before="0" w:after="160"/>
        <w:jc w:val="center"/>
        <w:rPr/>
      </w:pPr>
      <w:r>
        <w:rPr/>
        <w:t xml:space="preserve"> </w:t>
      </w:r>
      <m:oMath xmlns:m="http://schemas.openxmlformats.org/officeDocument/2006/math">
        <m:sSub>
          <m:e>
            <m:r>
              <m:t xml:space="preserve">B</m:t>
            </m:r>
          </m:e>
          <m:sub>
            <m:r>
              <m:t xml:space="preserve">rt</m:t>
            </m:r>
          </m:sub>
        </m:sSub>
        <m:r>
          <m:rPr>
            <m:lit/>
            <m:nor/>
          </m:rPr>
          <m:t xml:space="preserve">=</m:t>
        </m:r>
        <m:f>
          <m:num>
            <m:nary>
              <m:naryPr>
                <m:chr m:val="∑"/>
                <m:supHide m:val="1"/>
              </m:naryPr>
              <m:sub>
                <m:r>
                  <m:t xml:space="preserve">d</m:t>
                </m:r>
                <m:r>
                  <m:t xml:space="preserve">∈</m:t>
                </m:r>
                <m:sSub>
                  <m:e>
                    <m:r>
                      <m:t xml:space="preserve">B</m:t>
                    </m:r>
                  </m:e>
                  <m:sub>
                    <m:r>
                      <m:t xml:space="preserve">rt</m:t>
                    </m:r>
                  </m:sub>
                </m:sSub>
              </m:sub>
              <m:sup/>
              <m:e>
                <m:sSub>
                  <m:e>
                    <m:r>
                      <m:t xml:space="preserve">N</m:t>
                    </m:r>
                  </m:e>
                  <m:sub>
                    <m:r>
                      <m:t xml:space="preserve">d</m:t>
                    </m:r>
                    <m:r>
                      <m:t xml:space="preserve">,</m:t>
                    </m:r>
                    <m:r>
                      <m:t xml:space="preserve">t</m:t>
                    </m:r>
                  </m:sub>
                </m:sSub>
              </m:e>
            </m:nary>
            <m:sSubSup>
              <m:e>
                <m:acc>
                  <m:accPr>
                    <m:chr m:val="^"/>
                  </m:accPr>
                  <m:e>
                    <m:r>
                      <m:t xml:space="preserve">θ</m:t>
                    </m:r>
                  </m:e>
                </m:acc>
              </m:e>
              <m:sub>
                <m:r>
                  <m:t xml:space="preserve">d</m:t>
                </m:r>
                <m:r>
                  <m:t xml:space="preserve">,</m:t>
                </m:r>
                <m:r>
                  <m:t xml:space="preserve">t</m:t>
                </m:r>
              </m:sub>
              <m:sup>
                <m:r>
                  <m:t xml:space="preserve">dir</m:t>
                </m:r>
              </m:sup>
            </m:sSubSup>
          </m:num>
          <m:den>
            <m:nary>
              <m:naryPr>
                <m:chr m:val="∑"/>
                <m:supHide m:val="1"/>
              </m:naryPr>
              <m:sub>
                <m:r>
                  <m:t xml:space="preserve">d</m:t>
                </m:r>
                <m:r>
                  <m:t xml:space="preserve">∈</m:t>
                </m:r>
                <m:sSub>
                  <m:e>
                    <m:r>
                      <m:t xml:space="preserve">B</m:t>
                    </m:r>
                  </m:e>
                  <m:sub>
                    <m:r>
                      <m:t xml:space="preserve">rt</m:t>
                    </m:r>
                  </m:sub>
                </m:sSub>
              </m:sub>
              <m:sup/>
              <m:e>
                <m:sSub>
                  <m:e>
                    <m:r>
                      <m:t xml:space="preserve">N</m:t>
                    </m:r>
                  </m:e>
                  <m:sub>
                    <m:r>
                      <m:t xml:space="preserve">d</m:t>
                    </m:r>
                    <m:r>
                      <m:t xml:space="preserve">,</m:t>
                    </m:r>
                    <m:r>
                      <m:t xml:space="preserve">t</m:t>
                    </m:r>
                  </m:sub>
                </m:sSub>
              </m:e>
            </m:nary>
          </m:den>
        </m:f>
        <m:r>
          <m:t xml:space="preserve">,</m:t>
        </m:r>
        <m:sSub>
          <m:e>
            <m:r>
              <m:t xml:space="preserve">λ</m:t>
            </m:r>
          </m:e>
          <m:sub>
            <m:r>
              <m:t xml:space="preserve">rt</m:t>
            </m:r>
          </m:sub>
        </m:sSub>
        <m:r>
          <m:rPr>
            <m:lit/>
            <m:nor/>
          </m:rPr>
          <m:t xml:space="preserve">=</m:t>
        </m:r>
        <m:f>
          <m:num>
            <m:sSub>
              <m:e>
                <m:r>
                  <m:t xml:space="preserve">B</m:t>
                </m:r>
              </m:e>
              <m:sub>
                <m:r>
                  <m:t xml:space="preserve">rt</m:t>
                </m:r>
              </m:sub>
            </m:sSub>
          </m:num>
          <m:den>
            <m:nary>
              <m:naryPr>
                <m:chr m:val="∑"/>
                <m:supHide m:val="1"/>
              </m:naryPr>
              <m:sub>
                <m:r>
                  <m:t xml:space="preserve">d</m:t>
                </m:r>
                <m:r>
                  <m:t xml:space="preserve">∈</m:t>
                </m:r>
                <m:sSub>
                  <m:e>
                    <m:r>
                      <m:t xml:space="preserve">B</m:t>
                    </m:r>
                  </m:e>
                  <m:sub>
                    <m:r>
                      <m:t xml:space="preserve">rt</m:t>
                    </m:r>
                  </m:sub>
                </m:sSub>
              </m:sub>
              <m:sup/>
              <m:e>
                <m:sSub>
                  <m:e>
                    <m:r>
                      <m:t xml:space="preserve">ω</m:t>
                    </m:r>
                  </m:e>
                  <m:sub>
                    <m:r>
                      <m:t xml:space="preserve">r</m:t>
                    </m:r>
                    <m:r>
                      <m:t xml:space="preserve">,</m:t>
                    </m:r>
                    <m:r>
                      <m:t xml:space="preserve">d</m:t>
                    </m:r>
                    <m:r>
                      <m:t xml:space="preserve">,</m:t>
                    </m:r>
                    <m:r>
                      <m:t xml:space="preserve">t</m:t>
                    </m:r>
                  </m:sub>
                </m:sSub>
              </m:e>
            </m:nary>
            <m:sSubSup>
              <m:e>
                <m:acc>
                  <m:accPr>
                    <m:chr m:val="^"/>
                  </m:accPr>
                  <m:e>
                    <m:r>
                      <m:t xml:space="preserve">θ</m:t>
                    </m:r>
                  </m:e>
                </m:acc>
              </m:e>
              <m:sub>
                <m:r>
                  <m:t xml:space="preserve">d</m:t>
                </m:r>
                <m:r>
                  <m:t xml:space="preserve">,</m:t>
                </m:r>
                <m:r>
                  <m:t xml:space="preserve">t</m:t>
                </m:r>
              </m:sub>
              <m:sup>
                <m:r>
                  <m:t xml:space="preserve">EBLUP</m:t>
                </m:r>
              </m:sup>
            </m:sSubSup>
          </m:den>
        </m:f>
        <m:r>
          <m:t xml:space="preserve">,</m:t>
        </m:r>
        <m:sSubSup>
          <m:e>
            <m:acc>
              <m:accPr>
                <m:chr m:val="^"/>
              </m:accPr>
              <m:e>
                <m:r>
                  <m:t xml:space="preserve">θ</m:t>
                </m:r>
              </m:e>
            </m:acc>
          </m:e>
          <m:sub>
            <m:r>
              <m:t xml:space="preserve">d</m:t>
            </m:r>
            <m:r>
              <m:t xml:space="preserve">,</m:t>
            </m:r>
            <m:r>
              <m:t xml:space="preserve">t</m:t>
            </m:r>
          </m:sub>
          <m:sup>
            <m:r>
              <m:t xml:space="preserve">bench</m:t>
            </m:r>
          </m:sup>
        </m:sSubSup>
        <m:r>
          <m:rPr>
            <m:lit/>
            <m:nor/>
          </m:rPr>
          <m:t xml:space="preserve">=</m:t>
        </m:r>
        <m:sSub>
          <m:e>
            <m:r>
              <m:t xml:space="preserve">λ</m:t>
            </m:r>
          </m:e>
          <m:sub>
            <m:r>
              <m:t xml:space="preserve">rt</m:t>
            </m:r>
          </m:sub>
        </m:sSub>
        <m:sSubSup>
          <m:e>
            <m:acc>
              <m:accPr>
                <m:chr m:val="^"/>
              </m:accPr>
              <m:e>
                <m:r>
                  <m:t xml:space="preserve">θ</m:t>
                </m:r>
              </m:e>
            </m:acc>
          </m:e>
          <m:sub>
            <m:r>
              <m:t xml:space="preserve">d</m:t>
            </m:r>
            <m:r>
              <m:t xml:space="preserve">,</m:t>
            </m:r>
            <m:r>
              <m:t xml:space="preserve">t</m:t>
            </m:r>
          </m:sub>
          <m:sup>
            <m:r>
              <m:t xml:space="preserve">EBLUP</m:t>
            </m:r>
          </m:sup>
        </m:sSubSup>
        <m:r>
          <m:t xml:space="preserve">.</m:t>
        </m:r>
      </m:oMath>
      <w:r>
        <w:rPr/>
        <w:t xml:space="preserve"> </w:t>
      </w:r>
    </w:p>
    <w:p>
      <w:pPr>
        <w:pStyle w:val="FirstParagraph"/>
        <w:rPr/>
      </w:pPr>
      <w:r>
        <w:rPr/>
        <w:t xml:space="preserve">An external regional benchmark can be supplied through </w:t>
      </w:r>
      <w:r>
        <w:rPr>
          <w:rStyle w:val="VerbatimChar"/>
        </w:rPr>
        <w:t>regional_benchmark_mat</w:t>
      </w:r>
      <w:r>
        <w:rPr/>
        <w:t xml:space="preserve"> instead of being computed from the survey.</w:t>
      </w:r>
    </w:p>
    <w:p>
      <w:pPr>
        <w:pStyle w:val="BodyText"/>
        <w:rPr/>
      </w:pPr>
      <w:r>
        <w:rPr/>
        <w:t xml:space="preserve">With </w:t>
      </w:r>
      <w:r>
        <w:rPr>
          <w:rStyle w:val="VerbatimChar"/>
        </w:rPr>
        <w:t>MSE = TRUE</w:t>
      </w:r>
      <w:r>
        <w:rPr/>
        <w:t>, the routine runs the same parametric bootstrap as the unbenchmarked case — identical data-generating process, identical refit — with one extra step inside each replicate: the bootstrap EBLUPs are themselves benchmarked before prediction errors are computed,</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r>
              <m:t xml:space="preserve">,</m:t>
            </m:r>
            <m:r>
              <m:t xml:space="preserve">t</m:t>
            </m:r>
          </m:sub>
          <m:sup>
            <m:r>
              <m:t xml:space="preserve">(</m:t>
            </m:r>
            <m:r>
              <m:t xml:space="preserve">b</m:t>
            </m:r>
            <m:r>
              <m:t xml:space="preserve">)</m:t>
            </m:r>
            <m:r>
              <m:t xml:space="preserve">,</m:t>
            </m:r>
            <m:r>
              <m:t xml:space="preserve">bench</m:t>
            </m:r>
          </m:sup>
        </m:sSubSup>
        <m:r>
          <m:rPr>
            <m:lit/>
            <m:nor/>
          </m:rPr>
          <m:t xml:space="preserve">=</m:t>
        </m:r>
        <m:sSubSup>
          <m:e>
            <m:r>
              <m:t xml:space="preserve">λ</m:t>
            </m:r>
          </m:e>
          <m:sub>
            <m:r>
              <m:t xml:space="preserve">rt</m:t>
            </m:r>
          </m:sub>
          <m:sup>
            <m:r>
              <m:t xml:space="preserve">(</m:t>
            </m:r>
            <m:r>
              <m:t xml:space="preserve">b</m:t>
            </m:r>
            <m:r>
              <m:t xml:space="preserve">)</m:t>
            </m:r>
          </m:sup>
        </m:sSubSup>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r>
          <m:t xml:space="preserve">,</m:t>
        </m:r>
      </m:oMath>
      <w:r>
        <w:rPr/>
        <w:t xml:space="preserve"> </w:t>
      </w:r>
    </w:p>
    <w:p>
      <w:pPr>
        <w:pStyle w:val="FirstParagraph"/>
        <w:rPr/>
      </w:pPr>
      <w:r>
        <w:rPr/>
        <w:t xml:space="preserve">where the regional target behind </w:t>
      </w:r>
      <m:oMath xmlns:m="http://schemas.openxmlformats.org/officeDocument/2006/math">
        <m:sSubSup>
          <m:e>
            <m:r>
              <m:t xml:space="preserve">λ</m:t>
            </m:r>
          </m:e>
          <m:sub>
            <m:r>
              <m:t xml:space="preserve">rt</m:t>
            </m:r>
          </m:sub>
          <m:sup>
            <m:r>
              <m:t xml:space="preserve">(</m:t>
            </m:r>
            <m:r>
              <m:t xml:space="preserve">b</m:t>
            </m:r>
            <m:r>
              <m:t xml:space="preserve">)</m:t>
            </m:r>
          </m:sup>
        </m:sSubSup>
      </m:oMath>
      <w:r>
        <w:rPr/>
        <w:t xml:space="preserve"> is recomputed for every replicate from the bootstrap direct estimates </w:t>
      </w:r>
      <m:oMath xmlns:m="http://schemas.openxmlformats.org/officeDocument/2006/math">
        <m:sSubSup>
          <m:e>
            <m:r>
              <m:t xml:space="preserve">y</m:t>
            </m:r>
          </m:e>
          <m:sub>
            <m:r>
              <m:t xml:space="preserve">d</m:t>
            </m:r>
            <m:r>
              <m:t xml:space="preserve">,</m:t>
            </m:r>
            <m:r>
              <m:t xml:space="preserve">t</m:t>
            </m:r>
          </m:sub>
          <m:sup>
            <m:r>
              <m:t xml:space="preserve">(</m:t>
            </m:r>
            <m:r>
              <m:t xml:space="preserve">b</m:t>
            </m:r>
            <m:r>
              <m:t xml:space="preserve">)</m:t>
            </m:r>
          </m:sup>
        </m:sSubSup>
      </m:oMath>
      <w:r>
        <w:rPr/>
        <w:t xml:space="preserve"> (or held fixed if an external benchmark matrix was supplied, i.e., treated as known, so the sampling error of uploaded targets is not included in the MSE). For mean welfare fitted in logs, the survey’s own log-scale regional figures are used here, and uploaded targets enter only through the final currency-scale adjustment described in Part I, with the same approximation for the MSE. Crucially, errors are still measured against the </w:t>
      </w:r>
      <w:r>
        <w:rPr>
          <w:i/>
        </w:rPr>
        <w:t>unbenchmarked</w:t>
      </w:r>
      <w:r>
        <w:rPr/>
        <w:t xml:space="preserve"> synthetic truth </w:t>
      </w:r>
      <m:oMath xmlns:m="http://schemas.openxmlformats.org/officeDocument/2006/math">
        <m:sSubSup>
          <m:e>
            <m:r>
              <m:t xml:space="preserve">θ</m:t>
            </m:r>
          </m:e>
          <m:sub>
            <m:r>
              <m:t xml:space="preserve">d</m:t>
            </m:r>
            <m:r>
              <m:t xml:space="preserve">,</m:t>
            </m:r>
            <m:r>
              <m:t xml:space="preserve">t</m:t>
            </m:r>
          </m:sub>
          <m:sup>
            <m:r>
              <m:t xml:space="preserve">(</m:t>
            </m:r>
            <m:r>
              <m:t xml:space="preserve">b</m:t>
            </m:r>
            <m:r>
              <m:t xml:space="preserve">)</m:t>
            </m:r>
          </m:sup>
        </m:sSubSup>
      </m:oMath>
      <w:r>
        <w:rPr/>
        <w:t>, following Datta et al. (2011):</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MSE</m:t>
                </m:r>
              </m:e>
            </m:acc>
          </m:e>
          <m:sub>
            <m:r>
              <m:t xml:space="preserve">d</m:t>
            </m:r>
            <m:r>
              <m:t xml:space="preserve">,</m:t>
            </m:r>
            <m:r>
              <m:t xml:space="preserve">t</m:t>
            </m:r>
          </m:sub>
          <m:sup>
            <m:r>
              <m:t xml:space="preserve">bench</m:t>
            </m:r>
          </m:sup>
        </m:sSubSup>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r>
              <m:t xml:space="preserve">(</m:t>
            </m:r>
          </m:e>
        </m:nary>
        <m:sSubSup>
          <m:e>
            <m:acc>
              <m:accPr>
                <m:chr m:val="^"/>
              </m:accPr>
              <m:e>
                <m:r>
                  <m:t xml:space="preserve">θ</m:t>
                </m:r>
              </m:e>
            </m:acc>
          </m:e>
          <m:sub>
            <m:r>
              <m:t xml:space="preserve">d</m:t>
            </m:r>
            <m:r>
              <m:t xml:space="preserve">,</m:t>
            </m:r>
            <m:r>
              <m:t xml:space="preserve">t</m:t>
            </m:r>
          </m:sub>
          <m:sup>
            <m:r>
              <m:t xml:space="preserve">(</m:t>
            </m:r>
            <m:r>
              <m:t xml:space="preserve">b</m:t>
            </m:r>
            <m:r>
              <m:t xml:space="preserve">)</m:t>
            </m:r>
            <m:r>
              <m:t xml:space="preserve">,</m:t>
            </m:r>
            <m:r>
              <m:t xml:space="preserve">bench</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sSup>
          <m:e>
            <m:r>
              <m:t xml:space="preserve">)</m:t>
            </m:r>
          </m:e>
          <m:sup>
            <m:r>
              <m:t xml:space="preserve">2</m:t>
            </m:r>
          </m:sup>
        </m:sSup>
        <m:r>
          <m:t xml:space="preserve">,</m:t>
        </m:r>
        <m:sSubSup>
          <m:e>
            <m:acc>
              <m:accPr>
                <m:chr m:val="^"/>
              </m:accPr>
              <m:e>
                <m:r>
                  <m:t xml:space="preserve">MCPE</m:t>
                </m:r>
              </m:e>
            </m:acc>
          </m:e>
          <m:sub>
            <m:r>
              <m:t xml:space="preserve">d</m:t>
            </m:r>
          </m:sub>
          <m:sup>
            <m:r>
              <m:t xml:space="preserve">bench</m:t>
            </m:r>
          </m:sup>
        </m:sSubSup>
        <m:r>
          <m:t xml:space="preserve">(</m:t>
        </m:r>
        <m:sSub>
          <m:e>
            <m:r>
              <m:t xml:space="preserve">t</m:t>
            </m:r>
          </m:e>
          <m:sub>
            <m:r>
              <m:t xml:space="preserve">1</m:t>
            </m:r>
          </m:sub>
        </m:sSub>
        <m:r>
          <m:t xml:space="preserve">,</m:t>
        </m:r>
        <m:sSub>
          <m:e>
            <m:r>
              <m:t xml:space="preserve">t</m:t>
            </m:r>
          </m:e>
          <m:sub>
            <m:r>
              <m:t xml:space="preserve">2</m:t>
            </m:r>
          </m:sub>
        </m:sSub>
        <m:r>
          <m:t xml:space="preserve">)</m:t>
        </m:r>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sSubSup>
              <m:e>
                <m:r>
                  <m:t xml:space="preserve">δ</m:t>
                </m:r>
              </m:e>
              <m:sub>
                <m:r>
                  <m:t xml:space="preserve">d</m:t>
                </m:r>
                <m:r>
                  <m:t xml:space="preserve">,</m:t>
                </m:r>
                <m:sSub>
                  <m:e>
                    <m:r>
                      <m:t xml:space="preserve">t</m:t>
                    </m:r>
                  </m:e>
                  <m:sub>
                    <m:r>
                      <m:t xml:space="preserve">1</m:t>
                    </m:r>
                  </m:sub>
                </m:sSub>
              </m:sub>
              <m:sup>
                <m:r>
                  <m:t xml:space="preserve">(</m:t>
                </m:r>
                <m:r>
                  <m:t xml:space="preserve">b</m:t>
                </m:r>
                <m:r>
                  <m:t xml:space="preserve">)</m:t>
                </m:r>
                <m:r>
                  <m:t xml:space="preserve">,</m:t>
                </m:r>
                <m:r>
                  <m:t xml:space="preserve">bench</m:t>
                </m:r>
              </m:sup>
            </m:sSubSup>
          </m:e>
        </m:nary>
        <m:sSubSup>
          <m:e>
            <m:r>
              <m:t xml:space="preserve">δ</m:t>
            </m:r>
          </m:e>
          <m:sub>
            <m:r>
              <m:t xml:space="preserve">d</m:t>
            </m:r>
            <m:r>
              <m:t xml:space="preserve">,</m:t>
            </m:r>
            <m:sSub>
              <m:e>
                <m:r>
                  <m:t xml:space="preserve">t</m:t>
                </m:r>
              </m:e>
              <m:sub>
                <m:r>
                  <m:t xml:space="preserve">2</m:t>
                </m:r>
              </m:sub>
            </m:sSub>
          </m:sub>
          <m:sup>
            <m:r>
              <m:t xml:space="preserve">(</m:t>
            </m:r>
            <m:r>
              <m:t xml:space="preserve">b</m:t>
            </m:r>
            <m:r>
              <m:t xml:space="preserve">)</m:t>
            </m:r>
            <m:r>
              <m:t xml:space="preserve">,</m:t>
            </m:r>
            <m:r>
              <m:t xml:space="preserve">bench</m:t>
            </m:r>
          </m:sup>
        </m:sSubSup>
        <m:r>
          <m:t xml:space="preserve">.</m:t>
        </m:r>
      </m:oMath>
      <w:r>
        <w:rPr/>
        <w:t xml:space="preserve"> </w:t>
      </w:r>
    </w:p>
    <w:p>
      <w:pPr>
        <w:pStyle w:val="FirstParagraph"/>
        <w:rPr/>
      </w:pPr>
      <w:r>
        <w:rPr/>
        <w:t>The benchmarked MSE therefore absorbs both the variance of the benchmarking adjustment and any domain-level bias introduced by benchmarking. The bootstrap size is configurable through bench_nB (default B = 200), with seed = 123. When only one time period is supplied, no cross-time term exists and mcpe_bench is NULL.</w:t>
      </w:r>
    </w:p>
    <w:p>
      <w:pPr>
        <w:pStyle w:val="Heading1"/>
        <w:rPr/>
      </w:pPr>
      <w:bookmarkStart w:id="9" w:name="Xde56edb509b39172f5552d8904b0dc9962bbe5e"/>
      <w:r>
        <w:rPr/>
        <w:t>Part III. MSE of Changes in Poverty Rates</w:t>
      </w:r>
      <w:bookmarkEnd w:id="9"/>
    </w:p>
    <w:p>
      <w:pPr>
        <w:pStyle w:val="FirstParagraph"/>
        <w:rPr/>
      </w:pPr>
      <w:r>
        <w:rPr/>
        <w:t xml:space="preserve">A central use of small-area poverty estimates is to test whether poverty has changed between two periods. The error of an estimated change depends not only on the MSE in each period but also on how the errors in the two periods move together; the MCPE captures that covariance. For domain </w:t>
      </w:r>
      <m:oMath xmlns:m="http://schemas.openxmlformats.org/officeDocument/2006/math">
        <m:r>
          <m:t xml:space="preserve">d</m:t>
        </m:r>
      </m:oMath>
      <w:r>
        <w:rPr/>
        <w:t xml:space="preserve"> and periods </w:t>
      </w:r>
      <m:oMath xmlns:m="http://schemas.openxmlformats.org/officeDocument/2006/math">
        <m:sSub>
          <m:e>
            <m:r>
              <m:t xml:space="preserve">t</m:t>
            </m:r>
          </m:e>
          <m:sub>
            <m:r>
              <m:t xml:space="preserve">1</m:t>
            </m:r>
          </m:sub>
        </m:sSub>
        <m:r>
          <m:t xml:space="preserve">,</m:t>
        </m:r>
        <m:sSub>
          <m:e>
            <m:r>
              <m:t xml:space="preserve">t</m:t>
            </m:r>
          </m:e>
          <m:sub>
            <m:r>
              <m:t xml:space="preserve">2</m:t>
            </m:r>
          </m:sub>
        </m:sSub>
      </m:oMath>
      <w:r>
        <w:rPr/>
        <w:t>, the estimated change is</w:t>
      </w:r>
    </w:p>
    <w:p>
      <w:pPr>
        <w:pStyle w:val="BodyText"/>
        <w:spacing w:lineRule="atLeast" w:line="240" w:before="0" w:after="160"/>
        <w:jc w:val="center"/>
        <w:rPr/>
      </w:pPr>
      <w:r>
        <w:rPr/>
        <w:t xml:space="preserve"> </w:t>
      </w:r>
      <m:oMath xmlns:m="http://schemas.openxmlformats.org/officeDocument/2006/math">
        <m:sSub>
          <m:e>
            <m:acc>
              <m:accPr>
                <m:chr m:val="^"/>
              </m:accPr>
              <m:e>
                <m:r>
                  <m:t xml:space="preserve">Δ</m:t>
                </m:r>
              </m:e>
            </m:acc>
          </m:e>
          <m:sub>
            <m:r>
              <m:t xml:space="preserve">d</m:t>
            </m:r>
          </m:sub>
        </m:sSub>
        <m:r>
          <m:rPr>
            <m:lit/>
            <m:nor/>
          </m:rPr>
          <m:t xml:space="preserve">=</m:t>
        </m:r>
        <m:sSub>
          <m:e>
            <m:acc>
              <m:accPr>
                <m:chr m:val="^"/>
              </m:accPr>
              <m:e>
                <m:r>
                  <m:t xml:space="preserve">θ</m:t>
                </m:r>
              </m:e>
            </m:acc>
          </m:e>
          <m:sub>
            <m:r>
              <m:t xml:space="preserve">d</m:t>
            </m:r>
            <m:r>
              <m:t xml:space="preserve">,</m:t>
            </m:r>
            <m:sSub>
              <m:e>
                <m:r>
                  <m:t xml:space="preserve">t</m:t>
                </m:r>
              </m:e>
              <m:sub>
                <m:r>
                  <m:t xml:space="preserve">2</m:t>
                </m:r>
              </m:sub>
            </m:sSub>
          </m:sub>
        </m:sSub>
        <m:r>
          <m:rPr>
            <m:lit/>
            <m:nor/>
          </m:rPr>
          <m:t xml:space="preserve">-</m:t>
        </m:r>
        <m:sSub>
          <m:e>
            <m:acc>
              <m:accPr>
                <m:chr m:val="^"/>
              </m:accPr>
              <m:e>
                <m:r>
                  <m:t xml:space="preserve">θ</m:t>
                </m:r>
              </m:e>
            </m:acc>
          </m:e>
          <m:sub>
            <m:r>
              <m:t xml:space="preserve">d</m:t>
            </m:r>
            <m:r>
              <m:t xml:space="preserve">,</m:t>
            </m:r>
            <m:sSub>
              <m:e>
                <m:r>
                  <m:t xml:space="preserve">t</m:t>
                </m:r>
              </m:e>
              <m:sub>
                <m:r>
                  <m:t xml:space="preserve">1</m:t>
                </m:r>
              </m:sub>
            </m:sSub>
          </m:sub>
        </m:sSub>
        <m:r>
          <m:t xml:space="preserve">,</m:t>
        </m:r>
      </m:oMath>
      <w:r>
        <w:rPr/>
        <w:t xml:space="preserve"> </w:t>
      </w:r>
    </w:p>
    <w:p>
      <w:pPr>
        <w:pStyle w:val="FirstParagraph"/>
        <w:rPr/>
      </w:pPr>
      <w:r>
        <w:rPr/>
        <w:t xml:space="preserve">and its MSE is computed in </w:t>
      </w:r>
      <w:r>
        <w:rPr>
          <w:rStyle w:val="VerbatimChar"/>
        </w:rPr>
        <w:t>compare_mfh()</w:t>
      </w:r>
      <w:r>
        <w:rPr/>
        <w:t xml:space="preserve"> (in </w:t>
      </w:r>
      <w:r>
        <w:rPr>
          <w:rStyle w:val="VerbatimChar"/>
        </w:rPr>
        <w:t>02_mfh.R</w:t>
      </w:r>
      <w:r>
        <w:rPr/>
        <w:t>) as</w:t>
      </w:r>
    </w:p>
    <w:p>
      <w:pPr>
        <w:pStyle w:val="BodyText"/>
        <w:spacing w:lineRule="atLeast" w:line="240" w:before="0" w:after="160"/>
        <w:jc w:val="center"/>
        <w:rPr/>
      </w:pPr>
      <w:r>
        <w:rPr/>
        <w:t xml:space="preserve"> </w:t>
      </w:r>
      <m:oMath xmlns:m="http://schemas.openxmlformats.org/officeDocument/2006/math">
        <m:r>
          <m:t xml:space="preserve">MSE</m:t>
        </m:r>
        <m:r>
          <m:t xml:space="preserve">(</m:t>
        </m:r>
        <m:sSub>
          <m:e>
            <m:acc>
              <m:accPr>
                <m:chr m:val="^"/>
              </m:accPr>
              <m:e>
                <m:r>
                  <m:t xml:space="preserve">Δ</m:t>
                </m:r>
              </m:e>
            </m:acc>
          </m:e>
          <m:sub>
            <m:r>
              <m:t xml:space="preserve">d</m:t>
            </m:r>
          </m:sub>
        </m:sSub>
        <m:r>
          <m:t xml:space="preserve">)</m:t>
        </m:r>
        <m:r>
          <m:rPr>
            <m:lit/>
            <m:nor/>
          </m:rPr>
          <m:t xml:space="preserve">=</m:t>
        </m:r>
        <m:sSub>
          <m:e>
            <m:r>
              <m:t xml:space="preserve">MSE</m:t>
            </m:r>
          </m:e>
          <m:sub>
            <m:r>
              <m:t xml:space="preserve">d</m:t>
            </m:r>
            <m:r>
              <m:t xml:space="preserve">,</m:t>
            </m:r>
            <m:sSub>
              <m:e>
                <m:r>
                  <m:t xml:space="preserve">t</m:t>
                </m:r>
              </m:e>
              <m:sub>
                <m:r>
                  <m:t xml:space="preserve">1</m:t>
                </m:r>
              </m:sub>
            </m:sSub>
          </m:sub>
        </m:sSub>
        <m:r>
          <m:rPr>
            <m:lit/>
            <m:nor/>
          </m:rPr>
          <m:t xml:space="preserve">+</m:t>
        </m:r>
        <m:sSub>
          <m:e>
            <m:r>
              <m:t xml:space="preserve">MSE</m:t>
            </m:r>
          </m:e>
          <m:sub>
            <m:r>
              <m:t xml:space="preserve">d</m:t>
            </m:r>
            <m:r>
              <m:t xml:space="preserve">,</m:t>
            </m:r>
            <m:sSub>
              <m:e>
                <m:r>
                  <m:t xml:space="preserve">t</m:t>
                </m:r>
              </m:e>
              <m:sub>
                <m:r>
                  <m:t xml:space="preserve">2</m:t>
                </m:r>
              </m:sub>
            </m:sSub>
          </m:sub>
        </m:sSub>
        <m:r>
          <m:rPr>
            <m:lit/>
            <m:nor/>
          </m:rPr>
          <m:t xml:space="preserve">-</m:t>
        </m:r>
        <m:r>
          <m:t xml:space="preserve">2</m:t>
        </m:r>
        <m:sSub>
          <m:e>
            <m:r>
              <m:t xml:space="preserve">MCPE</m:t>
            </m:r>
          </m:e>
          <m:sub>
            <m:r>
              <m:t xml:space="preserve">d</m:t>
            </m:r>
          </m:sub>
        </m:sSub>
        <m:r>
          <m:t xml:space="preserve">(</m:t>
        </m:r>
        <m:sSub>
          <m:e>
            <m:r>
              <m:t xml:space="preserve">t</m:t>
            </m:r>
          </m:e>
          <m:sub>
            <m:r>
              <m:t xml:space="preserve">1</m:t>
            </m:r>
          </m:sub>
        </m:sSub>
        <m:r>
          <m:t xml:space="preserve">,</m:t>
        </m:r>
        <m:sSub>
          <m:e>
            <m:r>
              <m:t xml:space="preserve">t</m:t>
            </m:r>
          </m:e>
          <m:sub>
            <m:r>
              <m:t xml:space="preserve">2</m:t>
            </m:r>
          </m:sub>
        </m:sSub>
        <m:r>
          <m:t xml:space="preserve">)</m:t>
        </m:r>
        <m:r>
          <m:t xml:space="preserve">.</m:t>
        </m:r>
      </m:oMath>
      <w:r>
        <w:rPr/>
        <w:t xml:space="preserve"> </w:t>
      </w:r>
    </w:p>
    <w:p>
      <w:pPr>
        <w:pStyle w:val="FirstParagraph"/>
        <w:rPr/>
      </w:pPr>
      <w:r>
        <w:rPr/>
        <w:t>The package reports an unadjusted 95% confidence interval and a raw p_value for each change. The unadjusted significant_unadjusted flag corresponds to the raw test. Across the tested areas, p_value_bh applies the Benjamini–Hochberg adjustment, and p_value_bonferroni the Bonferroni adjustment. The principal significant flag, which colours the change maps and significance plots, is the unadjusted test (it equals significant_unadjusted), so at alpha = 0.05 it matches whether the 95% interval excludes zero. significant_bh and significant_bonferroni are sensitivity flags; use them for any statement about how many domains changed, because an interval that excludes zero does not by itself establish multiplicity-adjusted significance. Because the two periods’ errors are usually positively correlated—the same auxiliary data and random effect feed both—the MCPE term is typically positive and reduces the variance of the change; ignoring it overstates uncertainty.</w:t>
      </w:r>
    </w:p>
    <w:p>
      <w:pPr>
        <w:pStyle w:val="BodyText"/>
        <w:rPr/>
      </w:pPr>
      <w:r>
        <w:rPr/>
        <w:t>The same helper serves both the unbenchmarked change analysis (fed by the MSE/MCPE of Part II’s unbenchmarked bootstrap) and the benchmarked one (fed by mse_bench / mcpe_bench), so the change formula, unadjusted confidence intervals, raw p-values, BH-adjusted p-values, and both significance fields are computed consistently in the two cases.</w:t>
      </w:r>
    </w:p>
    <w:p>
      <w:pPr>
        <w:pStyle w:val="BodyText"/>
        <w:rPr/>
      </w:pPr>
      <w:r>
        <w:rPr>
          <w:b/>
        </w:rPr>
        <w:t>Numerical guard.</w:t>
      </w:r>
      <w:r>
        <w:rPr/>
        <w:t xml:space="preserve"> Bootstrap noise (especially with small </w:t>
      </w:r>
      <m:oMath xmlns:m="http://schemas.openxmlformats.org/officeDocument/2006/math">
        <m:r>
          <m:t xml:space="preserve">B</m:t>
        </m:r>
      </m:oMath>
      <w:r>
        <w:rPr/>
        <w:t xml:space="preserve">) can make </w:t>
      </w:r>
      <m:oMath xmlns:m="http://schemas.openxmlformats.org/officeDocument/2006/math">
        <m:r>
          <m:t xml:space="preserve">2</m:t>
        </m:r>
        <m:r>
          <m:t xml:space="preserve">MCPE</m:t>
        </m:r>
      </m:oMath>
      <w:r>
        <w:rPr/>
        <w:t xml:space="preserve"> large enough to push the covariance-adjusted MSE negative. The covariance-adjusted MSE is used whenever it is positive and finite, however small. Only when it is zero, negative or not finite does the code fall back to</w:t>
      </w:r>
    </w:p>
    <w:p>
      <w:pPr>
        <w:pStyle w:val="BodyText"/>
        <w:spacing w:lineRule="atLeast" w:line="240" w:before="0" w:after="160"/>
        <w:jc w:val="center"/>
        <w:rPr/>
      </w:pPr>
      <w:r>
        <w:rPr/>
        <w:t xml:space="preserve"> </w:t>
      </w:r>
      <m:oMath xmlns:m="http://schemas.openxmlformats.org/officeDocument/2006/math">
        <m:r>
          <m:t xml:space="preserve">MSE</m:t>
        </m:r>
        <m:r>
          <m:t xml:space="preserve">(</m:t>
        </m:r>
        <m:sSub>
          <m:e>
            <m:acc>
              <m:accPr>
                <m:chr m:val="^"/>
              </m:accPr>
              <m:e>
                <m:r>
                  <m:t xml:space="preserve">Δ</m:t>
                </m:r>
              </m:e>
            </m:acc>
          </m:e>
          <m:sub>
            <m:r>
              <m:t xml:space="preserve">d</m:t>
            </m:r>
          </m:sub>
        </m:sSub>
        <m:r>
          <m:t xml:space="preserve">)</m:t>
        </m:r>
        <m:r>
          <m:rPr>
            <m:lit/>
            <m:nor/>
          </m:rPr>
          <m:t xml:space="preserve">=</m:t>
        </m:r>
        <m:sSub>
          <m:e>
            <m:r>
              <m:t xml:space="preserve">MSE</m:t>
            </m:r>
          </m:e>
          <m:sub>
            <m:r>
              <m:t xml:space="preserve">d</m:t>
            </m:r>
            <m:r>
              <m:t xml:space="preserve">,</m:t>
            </m:r>
            <m:sSub>
              <m:e>
                <m:r>
                  <m:t xml:space="preserve">t</m:t>
                </m:r>
              </m:e>
              <m:sub>
                <m:r>
                  <m:t xml:space="preserve">1</m:t>
                </m:r>
              </m:sub>
            </m:sSub>
          </m:sub>
        </m:sSub>
        <m:r>
          <m:rPr>
            <m:lit/>
            <m:nor/>
          </m:rPr>
          <m:t xml:space="preserve">+</m:t>
        </m:r>
        <m:sSub>
          <m:e>
            <m:r>
              <m:t xml:space="preserve">MSE</m:t>
            </m:r>
          </m:e>
          <m:sub>
            <m:r>
              <m:t xml:space="preserve">d</m:t>
            </m:r>
            <m:r>
              <m:t xml:space="preserve">,</m:t>
            </m:r>
            <m:sSub>
              <m:e>
                <m:r>
                  <m:t xml:space="preserve">t</m:t>
                </m:r>
              </m:e>
              <m:sub>
                <m:r>
                  <m:t xml:space="preserve">2</m:t>
                </m:r>
              </m:sub>
            </m:sSub>
          </m:sub>
        </m:sSub>
        <m:r>
          <m:t xml:space="preserve">,</m:t>
        </m:r>
      </m:oMath>
      <w:r>
        <w:rPr/>
        <w:t xml:space="preserve"> </w:t>
      </w:r>
    </w:p>
    <w:p>
      <w:pPr>
        <w:pStyle w:val="FirstParagraph"/>
        <w:rPr/>
      </w:pPr>
      <w:r>
        <w:rPr/>
        <w:t xml:space="preserve">and mark those rows with mse_fallback_used = TRUE and mse_rule = "independence_fallback". The fallback is larger than the non-positive adjusted value, but it is a substitute rather than an estimate of the true variance of the change, so it should not be read as conservative in every case; interpret the intervals and p-values of flagged rows with caution. The guard sits inside </w:t>
      </w:r>
      <w:r>
        <w:rPr>
          <w:rStyle w:val="VerbatimChar"/>
        </w:rPr>
        <w:t>compare_mfh()</w:t>
      </w:r>
      <w:r>
        <w:rPr/>
        <w:t xml:space="preserve"> and in the later currency-scale recomputations in 02_mfh.R, and applies identically to benchmarked and unbenchmarked runs.</w:t>
      </w:r>
    </w:p>
    <w:p>
      <w:pPr>
        <w:pStyle w:val="BodyText"/>
        <w:rPr/>
      </w:pPr>
      <w:r>
        <w:rPr>
          <w:b/>
        </w:rPr>
        <w:t>Log-transformed mean welfare.</w:t>
      </w:r>
      <w:r>
        <w:rPr/>
        <w:t xml:space="preserve"> When the indicator is mean welfare modeled on the log scale, both paths apply the same delta-method back-transform to the currency scale before plotting and export, using currency-scale point estimates </w:t>
      </w:r>
      <m:oMath xmlns:m="http://schemas.openxmlformats.org/officeDocument/2006/math">
        <m:sSub>
          <m:e>
            <m:acc>
              <m:accPr>
                <m:chr m:val="^"/>
              </m:accPr>
              <m:e>
                <m:r>
                  <m:t xml:space="preserve">y</m:t>
                </m:r>
              </m:e>
            </m:acc>
          </m:e>
          <m:sub>
            <m:r>
              <m:t xml:space="preserve">1</m:t>
            </m:r>
          </m:sub>
        </m:sSub>
        <m:r>
          <m:t xml:space="preserve">,</m:t>
        </m:r>
        <m:sSub>
          <m:e>
            <m:acc>
              <m:accPr>
                <m:chr m:val="^"/>
              </m:accPr>
              <m:e>
                <m:r>
                  <m:t xml:space="preserve">y</m:t>
                </m:r>
              </m:e>
            </m:acc>
          </m:e>
          <m:sub>
            <m:r>
              <m:t xml:space="preserve">2</m:t>
            </m:r>
          </m:sub>
        </m:sSub>
      </m:oMath>
      <w:r>
        <w:rPr/>
        <w:t xml:space="preserve"> and log-scale MSE/MCPE:</w:t>
      </w:r>
    </w:p>
    <w:p>
      <w:pPr>
        <w:pStyle w:val="BodyText"/>
        <w:spacing w:lineRule="atLeast" w:line="240" w:before="0" w:after="160"/>
        <w:jc w:val="center"/>
        <w:rPr/>
      </w:pPr>
      <w:r>
        <w:rPr/>
        <w:t xml:space="preserve"> </w:t>
      </w:r>
      <m:oMath xmlns:m="http://schemas.openxmlformats.org/officeDocument/2006/math">
        <m:r>
          <m:t xml:space="preserve">MSE</m:t>
        </m:r>
        <m:r>
          <m:t xml:space="preserve">(</m:t>
        </m:r>
        <m:acc>
          <m:accPr>
            <m:chr m:val="^"/>
          </m:accPr>
          <m:e>
            <m:r>
              <m:t xml:space="preserve">Δ</m:t>
            </m:r>
          </m:e>
        </m:acc>
        <m:r>
          <m:t xml:space="preserve">)</m:t>
        </m:r>
        <m:r>
          <m:t xml:space="preserve">≈</m:t>
        </m:r>
        <m:sSubSup>
          <m:e>
            <m:acc>
              <m:accPr>
                <m:chr m:val="^"/>
              </m:accPr>
              <m:e>
                <m:r>
                  <m:t xml:space="preserve">y</m:t>
                </m:r>
              </m:e>
            </m:acc>
          </m:e>
          <m:sub>
            <m:r>
              <m:t xml:space="preserve">1</m:t>
            </m:r>
          </m:sub>
          <m:sup>
            <m:r>
              <m:t xml:space="preserve">2</m:t>
            </m:r>
          </m:sup>
        </m:sSubSup>
        <m:sSubSup>
          <m:e>
            <m:r>
              <m:t xml:space="preserve">MSE</m:t>
            </m:r>
          </m:e>
          <m:sub>
            <m:r>
              <m:t xml:space="preserve">1</m:t>
            </m:r>
          </m:sub>
          <m:sup>
            <m:r>
              <m:rPr>
                <m:lit/>
                <m:nor/>
              </m:rPr>
              <m:t xml:space="preserve">log</m:t>
            </m:r>
          </m:sup>
        </m:sSubSup>
        <m:r>
          <m:rPr>
            <m:lit/>
            <m:nor/>
          </m:rPr>
          <m:t xml:space="preserve">+</m:t>
        </m:r>
        <m:sSubSup>
          <m:e>
            <m:acc>
              <m:accPr>
                <m:chr m:val="^"/>
              </m:accPr>
              <m:e>
                <m:r>
                  <m:t xml:space="preserve">y</m:t>
                </m:r>
              </m:e>
            </m:acc>
          </m:e>
          <m:sub>
            <m:r>
              <m:t xml:space="preserve">2</m:t>
            </m:r>
          </m:sub>
          <m:sup>
            <m:r>
              <m:t xml:space="preserve">2</m:t>
            </m:r>
          </m:sup>
        </m:sSubSup>
        <m:sSubSup>
          <m:e>
            <m:r>
              <m:t xml:space="preserve">MSE</m:t>
            </m:r>
          </m:e>
          <m:sub>
            <m:r>
              <m:t xml:space="preserve">2</m:t>
            </m:r>
          </m:sub>
          <m:sup>
            <m:r>
              <m:rPr>
                <m:lit/>
                <m:nor/>
              </m:rPr>
              <m:t xml:space="preserve">log</m:t>
            </m:r>
          </m:sup>
        </m:sSubSup>
        <m:r>
          <m:rPr>
            <m:lit/>
            <m:nor/>
          </m:rPr>
          <m:t xml:space="preserve">-</m:t>
        </m:r>
        <m:r>
          <m:t xml:space="preserve">2</m:t>
        </m:r>
        <m:sSub>
          <m:e>
            <m:acc>
              <m:accPr>
                <m:chr m:val="^"/>
              </m:accPr>
              <m:e>
                <m:r>
                  <m:t xml:space="preserve">y</m:t>
                </m:r>
              </m:e>
            </m:acc>
          </m:e>
          <m:sub>
            <m:r>
              <m:t xml:space="preserve">1</m:t>
            </m:r>
          </m:sub>
        </m:sSub>
        <m:sSub>
          <m:e>
            <m:acc>
              <m:accPr>
                <m:chr m:val="^"/>
              </m:accPr>
              <m:e>
                <m:r>
                  <m:t xml:space="preserve">y</m:t>
                </m:r>
              </m:e>
            </m:acc>
          </m:e>
          <m:sub>
            <m:r>
              <m:t xml:space="preserve">2</m:t>
            </m:r>
          </m:sub>
        </m:sSub>
        <m:sSup>
          <m:e>
            <m:r>
              <m:t xml:space="preserve">MCPE</m:t>
            </m:r>
          </m:e>
          <m:sup>
            <m:r>
              <m:rPr>
                <m:lit/>
                <m:nor/>
              </m:rPr>
              <m:t xml:space="preserve">log</m:t>
            </m:r>
          </m:sup>
        </m:sSup>
        <m:r>
          <m:t xml:space="preserve">,</m:t>
        </m:r>
      </m:oMath>
      <w:r>
        <w:rPr/>
        <w:t xml:space="preserve"> </w:t>
      </w:r>
    </w:p>
    <w:p>
      <w:pPr>
        <w:pStyle w:val="FirstParagraph"/>
        <w:rPr/>
      </w:pPr>
      <w:r>
        <w:rPr/>
        <w:t>with the same fallback to the independence version when the result is not positive. Since version 5.2.0-rc.6-wizard.5.11 (w5k), the report presents mean-welfare changes as percentage changes of the mean, 100 × (ŷ₂/ŷ₁ − 1), with the 95% interval and p-value computed from the log of the ratio, whose variance is approximately MSE₁/ŷ₁² + MSE₂/ŷ₂² − 2 MCPE/(ŷ₁ŷ₂) on the currency scale (with the same fallback); the currency differences above are kept in the columns ending in _eur.</w:t>
      </w:r>
    </w:p>
    <w:p>
      <w:pPr>
        <w:pStyle w:val="Heading1"/>
        <w:rPr/>
      </w:pPr>
      <w:bookmarkStart w:id="10" w:name="summary-of-methods"/>
      <w:r>
        <w:rPr/>
        <w:t>Summary of Methods</w:t>
      </w:r>
      <w:bookmarkEnd w:id="10"/>
    </w:p>
    <w:tbl>
      <w:tblPr>
        <w:tblStyle w:val="Table"/>
        <w:tblW w:w="5000" w:type="pct"/>
        <w:jc w:val="start"/>
        <w:tblInd w:w="0" w:type="dxa"/>
        <w:tblLayout w:type="fixed"/>
        <w:tblCellMar>
          <w:top w:w="0" w:type="dxa"/>
          <w:start w:w="108" w:type="dxa"/>
          <w:bottom w:w="0" w:type="dxa"/>
          <w:end w:w="108" w:type="dxa"/>
        </w:tblCellMar>
        <w:tblLook w:val="07e0" w:firstRow="1" w:noVBand="1" w:lastRow="1" w:firstColumn="1" w:lastColumn="1" w:noHBand="1"/>
      </w:tblPr>
      <w:tblGrid>
        <w:gridCol w:w="1867"/>
        <w:gridCol w:w="2862"/>
        <w:gridCol w:w="4631"/>
      </w:tblGrid>
      <w:tr>
        <w:trPr/>
        <w:tc>
          <w:tcPr>
            <w:tcW w:w="1867"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Estimate</w:t>
            </w:r>
          </w:p>
        </w:tc>
        <w:tc>
          <w:tcPr>
            <w:tcW w:w="2862"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Unbenchmarked MSE</w:t>
            </w:r>
          </w:p>
        </w:tc>
        <w:tc>
          <w:tcPr>
            <w:tcW w:w="4631"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Benchmarked MSE</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UFH level (none / log scale)</w:t>
            </w:r>
          </w:p>
        </w:tc>
        <w:tc>
          <w:tcPr>
            <w:tcW w:w="2862" w:type="dxa"/>
            <w:tcBorders/>
          </w:tcPr>
          <w:p>
            <w:pPr>
              <w:pStyle w:val="Compact"/>
              <w:widowControl/>
              <w:spacing w:before="36" w:after="36"/>
              <w:jc w:val="start"/>
              <w:rPr>
                <w:kern w:val="0"/>
                <w:lang w:val="en-US" w:eastAsia="en-US" w:bidi="ar-SA"/>
              </w:rPr>
            </w:pPr>
            <w:r>
              <w:rPr>
                <w:kern w:val="0"/>
                <w:lang w:val="en-US" w:eastAsia="en-US" w:bidi="ar-SA"/>
              </w:rPr>
              <w:t>Analytical Prasad–Rao / Datta–Lahiri</w:t>
            </w:r>
          </w:p>
        </w:tc>
        <w:tc>
          <w:tcPr>
            <w:tcW w:w="4631" w:type="dxa"/>
            <w:tcBorders/>
          </w:tcPr>
          <w:p>
            <w:pPr>
              <w:pStyle w:val="Compact"/>
              <w:widowControl/>
              <w:spacing w:before="36" w:after="36"/>
              <w:jc w:val="start"/>
              <w:rPr>
                <w:kern w:val="0"/>
                <w:lang w:val="en-US" w:eastAsia="en-US" w:bidi="ar-SA"/>
              </w:rPr>
            </w:pPr>
            <w:r>
              <w:rPr>
                <w:kern w:val="0"/>
                <w:lang w:val="en-US" w:eastAsia="en-US" w:bidi="ar-SA"/>
              </w:rPr>
              <w:t xml:space="preserve">Model-based bootstrap (resampled effects and residuals), re-benchmarked each replicate, </w:t>
            </w:r>
            <m:oMath xmlns:m="http://schemas.openxmlformats.org/officeDocument/2006/math">
              <m:r>
                <m:t xml:space="preserve">B</m:t>
              </m:r>
              <m:r>
                <m:rPr>
                  <m:lit/>
                  <m:nor/>
                </m:rPr>
                <m:t xml:space="preserve">=</m:t>
              </m:r>
              <m:r>
                <m:t xml:space="preserve">200</m:t>
              </m:r>
            </m:oMath>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UFH level (arcsin scale)</w:t>
            </w:r>
          </w:p>
        </w:tc>
        <w:tc>
          <w:tcPr>
            <w:tcW w:w="2862" w:type="dxa"/>
            <w:tcBorders/>
          </w:tcPr>
          <w:p>
            <w:pPr>
              <w:pStyle w:val="Compact"/>
              <w:widowControl/>
              <w:spacing w:before="36" w:after="36"/>
              <w:jc w:val="start"/>
              <w:rPr>
                <w:kern w:val="0"/>
                <w:lang w:val="en-US" w:eastAsia="en-US" w:bidi="ar-SA"/>
              </w:rPr>
            </w:pPr>
            <w:r>
              <w:rPr>
                <w:kern w:val="0"/>
                <w:lang w:val="en-US" w:eastAsia="en-US" w:bidi="ar-SA"/>
              </w:rPr>
              <w:t>Parametric bootstrap (</w:t>
            </w:r>
            <w:r>
              <w:rPr>
                <w:rStyle w:val="VerbatimChar"/>
                <w:kern w:val="0"/>
                <w:lang w:val="en-US" w:eastAsia="en-US" w:bidi="ar-SA"/>
              </w:rPr>
              <w:t>emdi</w:t>
            </w:r>
            <w:r>
              <w:rPr>
                <w:kern w:val="0"/>
                <w:lang w:val="en-US" w:eastAsia="en-US" w:bidi="ar-SA"/>
              </w:rPr>
              <w:t>)</w:t>
            </w:r>
          </w:p>
        </w:tc>
        <w:tc>
          <w:tcPr>
            <w:tcW w:w="4631" w:type="dxa"/>
            <w:tcBorders/>
          </w:tcPr>
          <w:p>
            <w:pPr>
              <w:pStyle w:val="Compact"/>
              <w:widowControl/>
              <w:spacing w:before="36" w:after="36"/>
              <w:jc w:val="start"/>
              <w:rPr>
                <w:kern w:val="0"/>
                <w:lang w:val="en-US" w:eastAsia="en-US" w:bidi="ar-SA"/>
              </w:rPr>
            </w:pPr>
            <w:r>
              <w:rPr>
                <w:kern w:val="0"/>
                <w:lang w:val="en-US" w:eastAsia="en-US" w:bidi="ar-SA"/>
              </w:rPr>
              <w:t>Same model-based bootstrap, arcsin back-transform</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MFH level (MFH1/2/3)</w:t>
            </w:r>
          </w:p>
        </w:tc>
        <w:tc>
          <w:tcPr>
            <w:tcW w:w="2862" w:type="dxa"/>
            <w:tcBorders/>
          </w:tcPr>
          <w:p>
            <w:pPr>
              <w:pStyle w:val="Normal"/>
              <w:widowControl/>
              <w:spacing w:before="0" w:after="120"/>
              <w:rPr>
                <w:kern w:val="0"/>
                <w:sz w:val="24"/>
                <w:lang w:val="en-US" w:eastAsia="en-US" w:bidi="ar-SA"/>
              </w:rPr>
            </w:pPr>
            <w:r>
              <w:rPr>
                <w:kern w:val="0"/>
                <w:sz w:val="24"/>
                <w:lang w:val="en-US" w:eastAsia="en-US" w:bidi="ar-SA"/>
              </w:rPr>
              <w:t>Parametric bootstrap (mcpe_nB; interactive default 200, minimum 50)</w:t>
            </w:r>
          </w:p>
        </w:tc>
        <w:tc>
          <w:tcPr>
            <w:tcW w:w="4631" w:type="dxa"/>
            <w:tcBorders/>
          </w:tcPr>
          <w:p>
            <w:pPr>
              <w:pStyle w:val="Normal"/>
              <w:widowControl/>
              <w:spacing w:before="0" w:after="120"/>
              <w:rPr>
                <w:kern w:val="0"/>
                <w:sz w:val="24"/>
                <w:lang w:val="en-US" w:eastAsia="en-US" w:bidi="ar-SA"/>
              </w:rPr>
            </w:pPr>
            <w:r>
              <w:rPr>
                <w:kern w:val="0"/>
                <w:sz w:val="24"/>
                <w:lang w:val="en-US" w:eastAsia="en-US" w:bidi="ar-SA"/>
              </w:rPr>
              <w:t>Parametric bootstrap with re-benchmarking inside each replicate (bench_nB; default 200)</w:t>
            </w:r>
          </w:p>
        </w:tc>
      </w:tr>
      <w:tr>
        <w:trPr/>
        <w:tc>
          <w:tcPr>
            <w:tcW w:w="1867"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MFH change </w:t>
            </w:r>
            <m:oMath xmlns:m="http://schemas.openxmlformats.org/officeDocument/2006/math">
              <m:sSub>
                <m:e>
                  <m:r>
                    <m:t xml:space="preserve">t</m:t>
                  </m:r>
                </m:e>
                <m:sub>
                  <m:r>
                    <m:t xml:space="preserve">1</m:t>
                  </m:r>
                </m:sub>
              </m:sSub>
              <m:r>
                <m:t xml:space="preserve">→</m:t>
              </m:r>
              <m:sSub>
                <m:e>
                  <m:r>
                    <m:t xml:space="preserve">t</m:t>
                  </m:r>
                </m:e>
                <m:sub>
                  <m:r>
                    <m:t xml:space="preserve">2</m:t>
                  </m:r>
                </m:sub>
              </m:sSub>
            </m:oMath>
          </w:p>
        </w:tc>
        <w:tc>
          <w:tcPr>
            <w:tcW w:w="2862"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 </w:t>
            </w:r>
            <m:oMath xmlns:m="http://schemas.openxmlformats.org/officeDocument/2006/math">
              <m:sSub>
                <m:e>
                  <m:r>
                    <m:t xml:space="preserve">MSE</m:t>
                  </m:r>
                </m:e>
                <m:sub>
                  <m:sSub>
                    <m:e>
                      <m:r>
                        <m:t xml:space="preserve">t</m:t>
                      </m:r>
                    </m:e>
                    <m:sub>
                      <m:r>
                        <m:t xml:space="preserve">1</m:t>
                      </m:r>
                    </m:sub>
                  </m:sSub>
                </m:sub>
              </m:sSub>
              <m:r>
                <m:rPr>
                  <m:lit/>
                  <m:nor/>
                </m:rPr>
                <m:t xml:space="preserve">+</m:t>
              </m:r>
              <m:sSub>
                <m:e>
                  <m:r>
                    <m:t xml:space="preserve">MSE</m:t>
                  </m:r>
                </m:e>
                <m:sub>
                  <m:sSub>
                    <m:e>
                      <m:r>
                        <m:t xml:space="preserve">t</m:t>
                      </m:r>
                    </m:e>
                    <m:sub>
                      <m:r>
                        <m:t xml:space="preserve">2</m:t>
                      </m:r>
                    </m:sub>
                  </m:sSub>
                </m:sub>
              </m:sSub>
              <m:r>
                <m:rPr>
                  <m:lit/>
                  <m:nor/>
                </m:rPr>
                <m:t xml:space="preserve">-</m:t>
              </m:r>
              <m:r>
                <m:t xml:space="preserve">2</m:t>
              </m:r>
              <m:r>
                <m:t xml:space="preserve">MCPE</m:t>
              </m:r>
            </m:oMath>
            <w:r>
              <w:rPr>
                <w:kern w:val="0"/>
                <w:lang w:val="en-US" w:eastAsia="en-US" w:bidi="ar-SA"/>
              </w:rPr>
              <w:t xml:space="preserve"> via </w:t>
            </w:r>
            <w:r>
              <w:rPr>
                <w:rStyle w:val="VerbatimChar"/>
                <w:kern w:val="0"/>
                <w:lang w:val="en-US" w:eastAsia="en-US" w:bidi="ar-SA"/>
              </w:rPr>
              <w:t>compare_mfh()</w:t>
            </w:r>
          </w:p>
        </w:tc>
        <w:tc>
          <w:tcPr>
            <w:tcW w:w="4631"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Same formula, same guard, fed by benchmarked MSE/MCPE</w:t>
            </w:r>
          </w:p>
        </w:tc>
      </w:tr>
    </w:tbl>
    <w:p>
      <w:pPr>
        <w:pStyle w:val="BodyText"/>
        <w:rPr/>
      </w:pPr>
      <w:r>
        <w:rPr/>
        <w:t xml:space="preserve">In all bootstrap cases, the “truth” in the error formula is the unbenchmarked synthetic value </w:t>
      </w:r>
      <m:oMath xmlns:m="http://schemas.openxmlformats.org/officeDocument/2006/math">
        <m:sSup>
          <m:e>
            <m:r>
              <m:t xml:space="preserve">θ</m:t>
            </m:r>
          </m:e>
          <m:sup>
            <m:r>
              <m:t xml:space="preserve">(</m:t>
            </m:r>
            <m:r>
              <m:t xml:space="preserve">b</m:t>
            </m:r>
            <m:r>
              <m:t xml:space="preserve">)</m:t>
            </m:r>
          </m:sup>
        </m:sSup>
      </m:oMath>
      <w:r>
        <w:rPr/>
        <w:t>, the divisor is the number of successful replicates, and any benchmarking step is repeated inside each replicate, except the final currency-scale adjustment for mean welfare fitted in logs, whose MSE keeps the coefficient of variation of the log-scale bootstrap (an approximation). Matching benchmark targets exactly does not validate the benchmarked MSE, and uploaded targets are treated as fixed.</w:t>
      </w:r>
    </w:p>
    <w:p>
      <w:pPr>
        <w:pStyle w:val="Heading1"/>
        <w:rPr/>
      </w:pPr>
      <w:bookmarkStart w:id="11" w:name="practical-notes-and-observations"/>
      <w:r>
        <w:rPr/>
        <w:t>Practical Notes and Observations</w:t>
      </w:r>
      <w:bookmarkEnd w:id="11"/>
    </w:p>
    <w:p>
      <w:pPr>
        <w:pStyle w:val="FirstParagraph"/>
        <w:rPr/>
      </w:pPr>
      <w:r>
        <w:rPr/>
        <w:t xml:space="preserve">Benchmarking redistributes information; it does not create it. Its value rests on the benchmark target being more reliable than the individual model estimates, which holds when the regional direct aggregate pools enough sampled units to be precise. Where a region–period cell contains only a few sampled domains, the direct benchmark is itself noisy and the ratio adjustment transmits that noise to every domain in the cell; a coarser benchmark geography or an external official total is then preferable. Because the adjustment factors </w:t>
      </w:r>
      <m:oMath xmlns:m="http://schemas.openxmlformats.org/officeDocument/2006/math">
        <m:sSub>
          <m:e>
            <m:r>
              <m:t xml:space="preserve">λ</m:t>
            </m:r>
          </m:e>
          <m:sub>
            <m:r>
              <m:t xml:space="preserve">rt</m:t>
            </m:r>
          </m:sub>
        </m:sSub>
      </m:oMath>
      <w:r>
        <w:rPr/>
        <w:t xml:space="preserve"> are computed independently across periods, volatile direct regional aggregates can also inject artificial volatility into the estimated trend even when the model estimates are stable.</w:t>
      </w:r>
    </w:p>
    <w:p>
      <w:pPr>
        <w:pStyle w:val="BodyText"/>
        <w:rPr/>
      </w:pPr>
      <w:r>
        <w:rPr/>
        <w:t xml:space="preserve">The bootstrap MSEs are only as good as the assumption that the fitted model — its coefficients, variances, AR(1) coefficient, and sampling covariances — approximates the data-generating process; the AR(1) specification in particular is an approximation of the true temporal dependence. Convergence failures are counted in </w:t>
      </w:r>
      <w:r>
        <w:rPr>
          <w:rStyle w:val="VerbatimChar"/>
        </w:rPr>
        <w:t>fails</w:t>
      </w:r>
      <w:r>
        <w:rPr/>
        <w:t xml:space="preserve"> and the divisor is adjusted, but a region or period in which refits fail systematically deserves scrutiny rather than a silently smaller effective sample of replicates.</w:t>
      </w:r>
    </w:p>
    <w:p>
      <w:pPr>
        <w:pStyle w:val="BodyText"/>
        <w:rPr/>
      </w:pPr>
      <w:r>
        <w:rPr/>
        <w:t>One implementation asymmetry between the benchmarked and unbenchmarked MFH paths remains worth flagging for future revisions:</w:t>
      </w:r>
    </w:p>
    <w:p>
      <w:pPr>
        <w:pStyle w:val="Normal"/>
        <w:numPr>
          <w:ilvl w:val="0"/>
          <w:numId w:val="9"/>
        </w:numPr>
        <w:rPr/>
      </w:pPr>
      <w:r>
        <w:rPr>
          <w:b/>
        </w:rPr>
        <w:t>Replicates are not paired.</w:t>
      </w:r>
      <w:r>
        <w:rPr/>
        <w:t xml:space="preserve"> Both routines set </w:t>
      </w:r>
      <w:r>
        <w:rPr>
          <w:rStyle w:val="VerbatimChar"/>
        </w:rPr>
        <w:t>seed = 123</w:t>
      </w:r>
      <w:r>
        <w:rPr/>
        <w:t xml:space="preserve">, but because the code paths differ, the random draws are not common across the two bootstraps; differences between benchmarked and unbenchmarked MSEs therefore include independent simulation noise on top of the true benchmarking effect. Pairing the replicates (same </w:t>
      </w:r>
      <m:oMath xmlns:m="http://schemas.openxmlformats.org/officeDocument/2006/math">
        <m:sSup>
          <m:e>
            <m:r>
              <m:t xml:space="preserve">u</m:t>
            </m:r>
          </m:e>
          <m:sup>
            <m:r>
              <m:t xml:space="preserve">(</m:t>
            </m:r>
            <m:r>
              <m:t xml:space="preserve">b</m:t>
            </m:r>
            <m:r>
              <m:t xml:space="preserve">)</m:t>
            </m:r>
          </m:sup>
        </m:sSup>
      </m:oMath>
      <w:r>
        <w:rPr/>
        <w:t xml:space="preserve">, </w:t>
      </w:r>
      <m:oMath xmlns:m="http://schemas.openxmlformats.org/officeDocument/2006/math">
        <m:sSup>
          <m:e>
            <m:r>
              <m:t xml:space="preserve">e</m:t>
            </m:r>
          </m:e>
          <m:sup>
            <m:r>
              <m:t xml:space="preserve">(</m:t>
            </m:r>
            <m:r>
              <m:t xml:space="preserve">b</m:t>
            </m:r>
            <m:r>
              <m:t xml:space="preserve">)</m:t>
            </m:r>
          </m:sup>
        </m:sSup>
      </m:oMath>
      <w:r>
        <w:rPr/>
        <w:t xml:space="preserve"> draws) would isolate the benchmarking effect exactly.</w:t>
      </w:r>
    </w:p>
    <w:p>
      <w:pPr>
        <w:pStyle w:val="FirstParagraph"/>
        <w:rPr/>
      </w:pPr>
      <w:r>
        <w:rPr/>
        <w:t>Comparable-over-time small-area estimation is an active area of methodological work (Molina and Romero, 2025).</w:t>
      </w:r>
    </w:p>
    <w:p>
      <w:pPr>
        <w:pStyle w:val="Heading1"/>
        <w:rPr/>
      </w:pPr>
      <w:bookmarkStart w:id="12" w:name="references"/>
      <w:r>
        <w:rPr/>
        <w:t>References</w:t>
      </w:r>
      <w:bookmarkEnd w:id="12"/>
    </w:p>
    <w:p>
      <w:pPr>
        <w:pStyle w:val="FirstParagraph"/>
        <w:rPr/>
      </w:pPr>
      <w:r>
        <w:rPr/>
        <w:t xml:space="preserve">Bell, W. R., Datta, G. S., and Ghosh, M. (2013). Benchmarking small area estimators. </w:t>
      </w:r>
      <w:r>
        <w:rPr>
          <w:i/>
        </w:rPr>
        <w:t>Biometrika</w:t>
      </w:r>
      <w:r>
        <w:rPr/>
        <w:t>, 100(1), 189–202.</w:t>
      </w:r>
    </w:p>
    <w:p>
      <w:pPr>
        <w:pStyle w:val="BodyText"/>
        <w:rPr/>
      </w:pPr>
      <w:r>
        <w:rPr/>
        <w:t xml:space="preserve">Benavent, R. and Morales, D. (2016). Multivariate Fay–Herriot models for small area estimation. </w:t>
      </w:r>
      <w:r>
        <w:rPr>
          <w:i/>
        </w:rPr>
        <w:t>Computational Statistics &amp; Data Analysis</w:t>
      </w:r>
      <w:r>
        <w:rPr/>
        <w:t>, 94, 372–390.</w:t>
      </w:r>
    </w:p>
    <w:p>
      <w:pPr>
        <w:pStyle w:val="BodyText"/>
        <w:rPr/>
      </w:pPr>
      <w:r>
        <w:rPr/>
        <w:t xml:space="preserve">Datta, G. S., Ghosh, M., Steorts, R., and Maples, J. (2011). Bayesian benchmarking with applications to small area estimation. </w:t>
      </w:r>
      <w:r>
        <w:rPr>
          <w:i/>
        </w:rPr>
        <w:t>Test</w:t>
      </w:r>
      <w:r>
        <w:rPr/>
        <w:t>, 20(3), 574–588.</w:t>
      </w:r>
    </w:p>
    <w:p>
      <w:pPr>
        <w:pStyle w:val="BodyText"/>
        <w:rPr/>
      </w:pPr>
      <w:r>
        <w:rPr/>
        <w:t xml:space="preserve">Datta, G. S. and Lahiri, P. (2000). A unified measure of uncertainty of estimated best linear unbiased predictors in small area estimation problems. </w:t>
      </w:r>
      <w:r>
        <w:rPr>
          <w:i/>
        </w:rPr>
        <w:t>Statistica Sinica</w:t>
      </w:r>
      <w:r>
        <w:rPr/>
        <w:t>, 10(2), 613–627.</w:t>
      </w:r>
    </w:p>
    <w:p>
      <w:pPr>
        <w:pStyle w:val="BodyText"/>
        <w:rPr/>
      </w:pPr>
      <w:r>
        <w:rPr/>
        <w:t xml:space="preserve">Duan, N. (1983). Smearing estimate: a nonparametric retransformation method. </w:t>
      </w:r>
      <w:r>
        <w:rPr>
          <w:i/>
        </w:rPr>
        <w:t>Journal of the American Statistical Association</w:t>
      </w:r>
      <w:r>
        <w:rPr/>
        <w:t>, 78(383), 605–610.</w:t>
      </w:r>
    </w:p>
    <w:p>
      <w:pPr>
        <w:pStyle w:val="BodyText"/>
        <w:rPr/>
      </w:pPr>
      <w:r>
        <w:rPr/>
        <w:t xml:space="preserve">Fay, R. E. and Herriot, R. A. (1979). Estimates of income for small places: an application of James–Stein procedures to census data. </w:t>
      </w:r>
      <w:r>
        <w:rPr>
          <w:i/>
        </w:rPr>
        <w:t>Journal of the American Statistical Association</w:t>
      </w:r>
      <w:r>
        <w:rPr/>
        <w:t>, 74(366), 269–277.</w:t>
      </w:r>
    </w:p>
    <w:p>
      <w:pPr>
        <w:pStyle w:val="BodyText"/>
        <w:rPr/>
      </w:pPr>
      <w:r>
        <w:rPr/>
        <w:t xml:space="preserve">Harmening, S., Kreutzmann, A.-K., Schmidt, S., Salvati, N., and Schmid, T. (2023). A Framework for Producing Small Area Estimates Based on Area-Level Models in R. </w:t>
      </w:r>
      <w:r>
        <w:rPr>
          <w:i/>
        </w:rPr>
        <w:t>The R Journal</w:t>
      </w:r>
      <w:r>
        <w:rPr/>
        <w:t>, 15(1), 316–341.</w:t>
      </w:r>
    </w:p>
    <w:p>
      <w:pPr>
        <w:pStyle w:val="BodyText"/>
        <w:rPr/>
      </w:pPr>
      <w:r>
        <w:rPr/>
        <w:t xml:space="preserve">Kreutzmann, A.-K., Pannier, S., Rojas-Perilla, N., Schmid, T., Templ, M., and Tzavidis, N. (2019). The R package emdi for estimating and mapping regionally disaggregated indicators. </w:t>
      </w:r>
      <w:r>
        <w:rPr>
          <w:i/>
        </w:rPr>
        <w:t>Journal of Statistical Software</w:t>
      </w:r>
      <w:r>
        <w:rPr/>
        <w:t>, 91(7), 1–33.</w:t>
      </w:r>
    </w:p>
    <w:p>
      <w:pPr>
        <w:pStyle w:val="BodyText"/>
        <w:rPr/>
      </w:pPr>
      <w:r>
        <w:rPr/>
        <w:t>Molina, I. and Romero, E. (2025). Comparable Small Area Estimates over Time. Working document.</w:t>
      </w:r>
    </w:p>
    <w:p>
      <w:pPr>
        <w:pStyle w:val="BodyText"/>
        <w:rPr/>
      </w:pPr>
      <w:r>
        <w:rPr/>
        <w:t xml:space="preserve">Permatasari, N. and Ubaidillah, A. (2021). msae: an R package of multivariate Fay–Herriot models for small area estimation. </w:t>
      </w:r>
      <w:r>
        <w:rPr>
          <w:i/>
        </w:rPr>
        <w:t>The R Journal</w:t>
      </w:r>
      <w:r>
        <w:rPr/>
        <w:t>, 13(2), 111–122.</w:t>
      </w:r>
    </w:p>
    <w:p>
      <w:pPr>
        <w:pStyle w:val="BodyText"/>
        <w:rPr/>
      </w:pPr>
      <w:r>
        <w:rPr/>
        <w:t xml:space="preserve">Prasad, N. G. N. and Rao, J. N. K. (1990). The estimation of the mean squared error of small-area estimators. </w:t>
      </w:r>
      <w:r>
        <w:rPr>
          <w:i/>
        </w:rPr>
        <w:t>Journal of the American Statistical Association</w:t>
      </w:r>
      <w:r>
        <w:rPr/>
        <w:t>, 85(409), 163–171.</w:t>
      </w:r>
    </w:p>
    <w:p>
      <w:pPr>
        <w:pStyle w:val="BodyText"/>
        <w:spacing w:before="180" w:after="180"/>
        <w:rPr/>
      </w:pPr>
      <w:r>
        <w:rPr/>
        <w:t xml:space="preserve">Rao, J. N. K. and Molina, I. (2015). </w:t>
      </w:r>
      <w:r>
        <w:rPr>
          <w:i/>
        </w:rPr>
        <w:t>Small Area Estimation</w:t>
      </w:r>
      <w:r>
        <w:rPr/>
        <w:t>, 2nd edition. Wiley, Hoboken.</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2">
    <w:lvl w:ilvl="0">
      <w:start w:val="2"/>
      <w:numFmt w:val="decimal"/>
      <w:lvlText w:val="%1."/>
      <w:lvlJc w:val="start"/>
      <w:pPr>
        <w:tabs>
          <w:tab w:val="num" w:pos="0"/>
        </w:tabs>
        <w:ind w:start="480" w:hanging="480"/>
      </w:pPr>
      <w:rPr/>
    </w:lvl>
    <w:lvl w:ilvl="1">
      <w:start w:val="2"/>
      <w:numFmt w:val="decimal"/>
      <w:lvlText w:val="%2."/>
      <w:lvlJc w:val="start"/>
      <w:pPr>
        <w:tabs>
          <w:tab w:val="num" w:pos="720"/>
        </w:tabs>
        <w:ind w:start="1200" w:hanging="480"/>
      </w:pPr>
      <w:rPr/>
    </w:lvl>
    <w:lvl w:ilvl="2">
      <w:start w:val="2"/>
      <w:numFmt w:val="decimal"/>
      <w:lvlText w:val="%3."/>
      <w:lvlJc w:val="start"/>
      <w:pPr>
        <w:tabs>
          <w:tab w:val="num" w:pos="1440"/>
        </w:tabs>
        <w:ind w:start="1920" w:hanging="480"/>
      </w:pPr>
      <w:rPr/>
    </w:lvl>
    <w:lvl w:ilvl="3">
      <w:start w:val="2"/>
      <w:numFmt w:val="decimal"/>
      <w:lvlText w:val="%4."/>
      <w:lvlJc w:val="start"/>
      <w:pPr>
        <w:tabs>
          <w:tab w:val="num" w:pos="2160"/>
        </w:tabs>
        <w:ind w:start="2640" w:hanging="480"/>
      </w:pPr>
      <w:rPr/>
    </w:lvl>
    <w:lvl w:ilvl="4">
      <w:start w:val="2"/>
      <w:numFmt w:val="decimal"/>
      <w:lvlText w:val="%5."/>
      <w:lvlJc w:val="start"/>
      <w:pPr>
        <w:tabs>
          <w:tab w:val="num" w:pos="2880"/>
        </w:tabs>
        <w:ind w:start="3360" w:hanging="480"/>
      </w:pPr>
      <w:rPr/>
    </w:lvl>
    <w:lvl w:ilvl="5">
      <w:start w:val="2"/>
      <w:numFmt w:val="decimal"/>
      <w:lvlText w:val="%6."/>
      <w:lvlJc w:val="start"/>
      <w:pPr>
        <w:tabs>
          <w:tab w:val="num" w:pos="3600"/>
        </w:tabs>
        <w:ind w:start="4080" w:hanging="480"/>
      </w:pPr>
      <w:rPr/>
    </w:lvl>
    <w:lvl w:ilvl="6">
      <w:start w:val="2"/>
      <w:numFmt w:val="decimal"/>
      <w:lvlText w:val="%7."/>
      <w:lvlJc w:val="start"/>
      <w:pPr>
        <w:tabs>
          <w:tab w:val="num" w:pos="4320"/>
        </w:tabs>
        <w:ind w:start="4800" w:hanging="480"/>
      </w:pPr>
      <w:rPr/>
    </w:lvl>
    <w:lvl w:ilvl="7">
      <w:start w:val="2"/>
      <w:numFmt w:val="decimal"/>
      <w:lvlText w:val="%8."/>
      <w:lvlJc w:val="start"/>
      <w:pPr>
        <w:tabs>
          <w:tab w:val="num" w:pos="5040"/>
        </w:tabs>
        <w:ind w:start="5520" w:hanging="480"/>
      </w:pPr>
      <w:rPr/>
    </w:lvl>
    <w:lvl w:ilvl="8">
      <w:start w:val="2"/>
      <w:numFmt w:val="decimal"/>
      <w:lvlText w:val="%9."/>
      <w:lvlJc w:val="start"/>
      <w:pPr>
        <w:tabs>
          <w:tab w:val="num" w:pos="5760"/>
        </w:tabs>
        <w:ind w:start="6240" w:hanging="480"/>
      </w:pPr>
      <w:rPr/>
    </w:lvl>
  </w:abstractNum>
  <w:abstractNum w:abstractNumId="3">
    <w:lvl w:ilvl="0">
      <w:start w:val="4"/>
      <w:numFmt w:val="decimal"/>
      <w:lvlText w:val="%1."/>
      <w:lvlJc w:val="start"/>
      <w:pPr>
        <w:tabs>
          <w:tab w:val="num" w:pos="0"/>
        </w:tabs>
        <w:ind w:start="480" w:hanging="480"/>
      </w:pPr>
      <w:rPr/>
    </w:lvl>
    <w:lvl w:ilvl="1">
      <w:start w:val="4"/>
      <w:numFmt w:val="decimal"/>
      <w:lvlText w:val="%2."/>
      <w:lvlJc w:val="start"/>
      <w:pPr>
        <w:tabs>
          <w:tab w:val="num" w:pos="720"/>
        </w:tabs>
        <w:ind w:start="1200" w:hanging="480"/>
      </w:pPr>
      <w:rPr/>
    </w:lvl>
    <w:lvl w:ilvl="2">
      <w:start w:val="4"/>
      <w:numFmt w:val="decimal"/>
      <w:lvlText w:val="%3."/>
      <w:lvlJc w:val="start"/>
      <w:pPr>
        <w:tabs>
          <w:tab w:val="num" w:pos="1440"/>
        </w:tabs>
        <w:ind w:start="1920" w:hanging="480"/>
      </w:pPr>
      <w:rPr/>
    </w:lvl>
    <w:lvl w:ilvl="3">
      <w:start w:val="4"/>
      <w:numFmt w:val="decimal"/>
      <w:lvlText w:val="%4."/>
      <w:lvlJc w:val="start"/>
      <w:pPr>
        <w:tabs>
          <w:tab w:val="num" w:pos="2160"/>
        </w:tabs>
        <w:ind w:start="2640" w:hanging="480"/>
      </w:pPr>
      <w:rPr/>
    </w:lvl>
    <w:lvl w:ilvl="4">
      <w:start w:val="4"/>
      <w:numFmt w:val="decimal"/>
      <w:lvlText w:val="%5."/>
      <w:lvlJc w:val="start"/>
      <w:pPr>
        <w:tabs>
          <w:tab w:val="num" w:pos="2880"/>
        </w:tabs>
        <w:ind w:start="3360" w:hanging="480"/>
      </w:pPr>
      <w:rPr/>
    </w:lvl>
    <w:lvl w:ilvl="5">
      <w:start w:val="4"/>
      <w:numFmt w:val="decimal"/>
      <w:lvlText w:val="%6."/>
      <w:lvlJc w:val="start"/>
      <w:pPr>
        <w:tabs>
          <w:tab w:val="num" w:pos="3600"/>
        </w:tabs>
        <w:ind w:start="4080" w:hanging="480"/>
      </w:pPr>
      <w:rPr/>
    </w:lvl>
    <w:lvl w:ilvl="6">
      <w:start w:val="4"/>
      <w:numFmt w:val="decimal"/>
      <w:lvlText w:val="%7."/>
      <w:lvlJc w:val="start"/>
      <w:pPr>
        <w:tabs>
          <w:tab w:val="num" w:pos="4320"/>
        </w:tabs>
        <w:ind w:start="4800" w:hanging="480"/>
      </w:pPr>
      <w:rPr/>
    </w:lvl>
    <w:lvl w:ilvl="7">
      <w:start w:val="4"/>
      <w:numFmt w:val="decimal"/>
      <w:lvlText w:val="%8."/>
      <w:lvlJc w:val="start"/>
      <w:pPr>
        <w:tabs>
          <w:tab w:val="num" w:pos="5040"/>
        </w:tabs>
        <w:ind w:start="5520" w:hanging="480"/>
      </w:pPr>
      <w:rPr/>
    </w:lvl>
    <w:lvl w:ilvl="8">
      <w:start w:val="4"/>
      <w:numFmt w:val="decimal"/>
      <w:lvlText w:val="%9."/>
      <w:lvlJc w:val="start"/>
      <w:pPr>
        <w:tabs>
          <w:tab w:val="num" w:pos="5760"/>
        </w:tabs>
        <w:ind w:start="6240" w:hanging="480"/>
      </w:pPr>
      <w:rPr/>
    </w:lvl>
  </w:abstractNum>
  <w:abstractNum w:abstractNumId="4">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2"/>
    </w:lvlOverride>
  </w:num>
  <w:num w:numId="8">
    <w:abstractNumId w:val="3"/>
    <w:lvlOverride w:ilvl="0">
      <w:startOverride w:val="4"/>
    </w:lvlOverride>
  </w:num>
  <w:num w:numId="9">
    <w:abstractNumId w:val="1"/>
    <w:lvlOverride w:ilvl="0">
      <w:startOverride w:val="1"/>
    </w:lvlOverride>
  </w:num>
</w:numbering>
</file>

<file path=word/settings.xml><?xml version="1.0" encoding="utf-8"?>
<w:settings xmlns:w="http://schemas.openxmlformats.org/wordprocessingml/2006/main">
  <w:zoom w:percent="98"/>
  <w:embedSystem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8" w:before="0" w:after="120"/>
      <w:jc w:val="both"/>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240"/>
      <w:jc w:val="center"/>
      <w:outlineLvl w:val="0"/>
    </w:pPr>
    <w:rPr>
      <w:b/>
      <w:bCs/>
      <w:sz w:val="24"/>
      <w:szCs w:val="24"/>
    </w:rPr>
  </w:style>
  <w:style w:type="paragraph" w:styleId="Heading2">
    <w:name w:val="heading 2"/>
    <w:basedOn w:val="Normal"/>
    <w:next w:val="BodyText"/>
    <w:uiPriority w:val="9"/>
    <w:unhideWhenUsed/>
    <w:qFormat/>
    <w:pPr>
      <w:keepNext w:val="true"/>
      <w:keepLines/>
      <w:spacing w:before="280" w:after="120"/>
      <w:jc w:val="start"/>
      <w:outlineLvl w:val="1"/>
    </w:pPr>
    <w:rPr>
      <w:b/>
      <w:bCs/>
      <w:i/>
      <w:iCs/>
    </w:rPr>
  </w:style>
  <w:style w:type="paragraph" w:styleId="Heading3">
    <w:name w:val="heading 3"/>
    <w:basedOn w:val="Normal"/>
    <w:next w:val="BodyText"/>
    <w:uiPriority w:val="9"/>
    <w:unhideWhenUsed/>
    <w:qFormat/>
    <w:pPr>
      <w:keepNext w:val="true"/>
      <w:keepLines/>
      <w:spacing w:before="200" w:after="80"/>
      <w:jc w:val="start"/>
      <w:outlineLvl w:val="2"/>
    </w:pPr>
    <w:rPr>
      <w:i/>
      <w:iCs/>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4F81BD"/>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qFormat/>
    <w:pPr>
      <w:spacing w:before="180" w:after="180"/>
    </w:pPr>
    <w:rPr/>
  </w:style>
  <w:style w:type="paragraph" w:styleId="List">
    <w:name w:val="List"/>
    <w:basedOn w:val="BodyText"/>
    <w:pPr/>
    <w:rPr>
      <w:rFonts w:cs="Lucida Sans"/>
    </w:rPr>
  </w:style>
  <w:style w:type="paragraph" w:styleId="Caption">
    <w:name w:val="caption"/>
    <w:basedOn w:val="Normal"/>
    <w:link w:val="CaptionChar"/>
    <w:qFormat/>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b/>
      <w:bCs/>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LibreOffice/26.2.3.2$Windows_X86_64 LibreOffice_project/70e089b17412e4cb7773e41413306b17a2328c34</Application>
  <AppVersion>15.0000</AppVersion>
  <Pages>7</Pages>
  <Words>2409</Words>
  <Characters>14797</Characters>
  <CharactersWithSpaces>17081</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2026-06-10T14:39:00Z</dcterms:created>
  <dc:creator>EU SAE application package contributors</dc:creator>
  <dc:description>Revised for the 5.2.0-rc.4 review candidate on 2026-08-21.</dc:description>
  <cp:keywords>EU SAE MSE MCPE bootstrap 5.2.0-rc.4</cp:keywords>
  <dc:language>en-US</dc:language>
  <cp:lastModifiedBy>EU SAE application package contributors</cp:lastModifiedBy>
  <dcterms:modified xsi:type="dcterms:W3CDTF">2026-08-22T00:26:27Z</dcterms:modified>
  <cp:revision>5</cp:revision>
  <dc:subject>Technical note revised for EU SAE application package 5.2.0-rc.4</dc:subject>
  <dc:title>Technical Note on MSE Estimation - Levels and Changes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14bce5f9-cb33-49ef-ab3f-7981f58992de</vt:lpwstr>
  </property>
  <property fmtid="{D5CDD505-2E9C-101B-9397-08002B2CF9AE}" pid="3" name="date">
    <vt:lpwstr>June 10, 2026</vt:lpwstr>
  </property>
  <property fmtid="{D5CDD505-2E9C-101B-9397-08002B2CF9AE}" pid="4" name="subtitle">
    <vt:lpwstr>Levels and Changes, with and without Benchmarking</vt:lpwstr>
  </property>
</Properties>
</file>