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E635F" w14:textId="77777777" w:rsidR="008E4EBD" w:rsidRDefault="00483AC6">
      <w:pPr>
        <w:spacing w:after="200"/>
        <w:jc w:val="center"/>
      </w:pPr>
      <w:r>
        <w:rPr>
          <w:b/>
          <w:sz w:val="28"/>
        </w:rPr>
        <w:t>What Does Fay–Herriot Predict? BLUPs, Covariance Misspecification, and Missing Direct Estimates</w:t>
      </w:r>
    </w:p>
    <w:p w14:paraId="247E6360" w14:textId="77777777" w:rsidR="008E4EBD" w:rsidRDefault="00483AC6">
      <w:pPr>
        <w:spacing w:after="360"/>
        <w:jc w:val="center"/>
      </w:pPr>
      <w:r>
        <w:t>By Nobuo Yoshida (World Bank)</w:t>
      </w:r>
    </w:p>
    <w:p w14:paraId="3C5B1D44" w14:textId="77777777" w:rsidR="0022340A" w:rsidRPr="0022340A" w:rsidRDefault="0022340A" w:rsidP="0022340A">
      <w:pPr>
        <w:pStyle w:val="FirstParagraph"/>
      </w:pPr>
      <w:r w:rsidRPr="0022340A">
        <w:rPr>
          <w:b/>
          <w:bCs/>
        </w:rPr>
        <w:t xml:space="preserve">Abstract. </w:t>
      </w:r>
      <w:r w:rsidRPr="0022340A">
        <w:t xml:space="preserve">This paper examines two issues in Fay–Herriot small area estimation: the impact of </w:t>
      </w:r>
      <w:proofErr w:type="spellStart"/>
      <w:r w:rsidRPr="0022340A">
        <w:t>misspecifying</w:t>
      </w:r>
      <w:proofErr w:type="spellEnd"/>
      <w:r w:rsidRPr="0022340A">
        <w:t xml:space="preserve"> the covariance matrices of the area random effects and sampling errors, and the consequences of missing direct estimates for some areas or area-years. Because the Fay–Herriot predictor depends directly on the assumed covariance structure, misspecification can prevent the predictor from converging to the true BLUP. The paper formalizes this argument for univariate and multivariate Fay–Herriot models and highlights two key limitations of the univariate Fay–Herriot approach: if sampling errors are autocorrelated, UFH generally does not converge to the true BLUP; and if an area-year has no direct estimate, UFH collapses to a synthetic prediction. The paper then shows when multivariate Fay–Herriot models can produce BLUP-type predictions for area-years without direct estimates, and when the resulting estimates are only synthetic. Monte Carlo evidence shows that ignoring relevant covariance, </w:t>
      </w:r>
      <w:proofErr w:type="gramStart"/>
      <w:r w:rsidRPr="0022340A">
        <w:t>especially</w:t>
      </w:r>
      <w:proofErr w:type="gramEnd"/>
      <w:r w:rsidRPr="0022340A">
        <w:t xml:space="preserve"> design-induced autocorrelation in sampling errors, can substantially increase MSE and move area-level point estimates away from the oracle BLUP, even when average prediction bias is small. In some scenarios, a </w:t>
      </w:r>
      <w:proofErr w:type="spellStart"/>
      <w:r w:rsidRPr="0022340A">
        <w:t>misspecified</w:t>
      </w:r>
      <w:proofErr w:type="spellEnd"/>
      <w:r w:rsidRPr="0022340A">
        <w:t xml:space="preserve"> multivariate Fay–Herriot estimator is less accurate than a univariate estimator. The results provide practical guidance for poverty mapping with repeated surveys and incomplete direct-estimate coverage.</w:t>
      </w:r>
    </w:p>
    <w:p>
      <w:pPr>
        <w:pStyle w:val="Normal"/>
      </w:pPr>
      <w:r>
        <w:t xml:space="preserve">Implementation scope for wizard.5.14 (w5n), October 2026. This paper develops working-covariance theory and reports its own Monte Carlo experiment. Its historical simulation numbers are not validation results for the current Dashboard bootstrap. The theoretical missing-area predictor below describes what a suitable implementation could calculate; it does not imply that every Dashboard path supports incomplete area-years. In particular, native emdi bc_sm does not return corrected log predictions for unsampled areas. The implementation checks and simulation evidence are documented in docs/guidance/METHODOLOGY_ALIGNMENT.md and docs/validation/MCPE_VALIDATION_STATUS.md. Numerical agreement and Monte Carlo precision do not certify interval coverage for all survey designs. Review model assumptions, boundary sensitivity and any undercoverage before dissemination. Use the latest validation status for current experiment counts and results.</w:t>
      </w:r>
    </w:p>
    <w:p w14:paraId="247E6361" w14:textId="09E54A2C" w:rsidR="008E4EBD" w:rsidRDefault="008E4EBD">
      <w:pPr>
        <w:pStyle w:val="FirstParagraph"/>
      </w:pPr>
    </w:p>
    <w:p w14:paraId="247E6362" w14:textId="77777777" w:rsidR="008E4EBD" w:rsidRDefault="00483AC6">
      <w:pPr>
        <w:pStyle w:val="BodyText"/>
      </w:pPr>
      <w:r>
        <w:rPr>
          <w:b/>
        </w:rPr>
        <w:t>Keywords:</w:t>
      </w:r>
      <w:r>
        <w:t xml:space="preserve"> Small area estimation; Fay–Herriot model; BLUP; EBLUP; covariance misspecification; sampling-error autocorrelation; multivariate Fay–Herriot; missing direct estimates.</w:t>
      </w:r>
    </w:p>
    <w:p w14:paraId="247E6363" w14:textId="77777777" w:rsidR="008E4EBD" w:rsidRDefault="00483AC6">
      <w:pPr>
        <w:pStyle w:val="BodyText"/>
      </w:pPr>
      <w:r>
        <w:rPr>
          <w:b/>
        </w:rPr>
        <w:t>JEL classification:</w:t>
      </w:r>
      <w:r>
        <w:t xml:space="preserve"> C13; C31; C53; I32.</w:t>
      </w:r>
    </w:p>
    <w:p w14:paraId="247E6364" w14:textId="77777777" w:rsidR="008E4EBD" w:rsidRDefault="00483AC6">
      <w:pPr>
        <w:pStyle w:val="Heading1"/>
      </w:pPr>
      <w:bookmarkStart w:id="0" w:name="introduction"/>
      <w:r>
        <w:t>1. Introduction</w:t>
      </w:r>
      <w:bookmarkEnd w:id="0"/>
    </w:p>
    <w:p w14:paraId="247E6365" w14:textId="77777777" w:rsidR="008E4EBD" w:rsidRDefault="00483AC6">
      <w:pPr>
        <w:pStyle w:val="FirstParagraph"/>
      </w:pPr>
      <w:r>
        <w:t xml:space="preserve">Small area estimation (SAE) methods are now a standard component of official poverty measurement. When direct survey estimates are available for some domains but are too imprecise to publish, area-level models in the tradition of Fay and Herriot (1979) combine direct estimates with auxiliary information to produce estimates with improved precision. The literature on these methods is extensive: Rao and Molina (2015) provide a comprehensive treatment, and Pfeffermann (2013) and Jiang and Lahiri (2006) survey </w:t>
      </w:r>
      <w:r>
        <w:t>the theory of mixed-model prediction on which the methods rest.</w:t>
      </w:r>
    </w:p>
    <w:p w14:paraId="247E6366" w14:textId="77777777" w:rsidR="008E4EBD" w:rsidRDefault="00483AC6">
      <w:pPr>
        <w:pStyle w:val="BodyText"/>
      </w:pPr>
      <w:r>
        <w:t xml:space="preserve">Despite the maturity of this literature, a basic conceptual point is frequently blurred in applied work: the Fay–Herriot approach is a </w:t>
      </w:r>
      <w:r>
        <w:rPr>
          <w:i/>
        </w:rPr>
        <w:t>prediction</w:t>
      </w:r>
      <w:r>
        <w:t xml:space="preserve"> method for realized area-specific quantities, not merely a </w:t>
      </w:r>
      <w:r>
        <w:rPr>
          <w:i/>
        </w:rPr>
        <w:t>regression</w:t>
      </w:r>
      <w:r>
        <w:t xml:space="preserve"> method for estimating conditional means. The distinction matters because the statistical properties of estimators of fixed regression coefficients and predictors of realized random effects respond very differently to misspecification of the covariance structure. A generalized least squares (GLS) estimator of the regression coefficients can remain consistent under a misspecified working covariance matrix, provided the mean model</w:t>
      </w:r>
      <w:r>
        <w:t xml:space="preserve"> is correct; the cost of misspecification is then mainly a loss of efficiency and </w:t>
      </w:r>
      <w:r>
        <w:lastRenderedPageBreak/>
        <w:t xml:space="preserve">invalid conventional standard errors. The best linear unbiased predictor (BLUP) of a realized area effect, by contrast, is </w:t>
      </w:r>
      <w:r>
        <w:rPr>
          <w:i/>
        </w:rPr>
        <w:t>defined</w:t>
      </w:r>
      <w:r>
        <w:t xml:space="preserve"> by the covariance structure: the covariance matrices of the random effects and the sampling errors determine the prediction weights. If the working covariance is wrong, the predictor converges to the BLUP under the working model, which is generally not the BLUP under the true model. Covariance miss</w:t>
      </w:r>
      <w:r>
        <w:t>pecification therefore changes the target of prediction itself.</w:t>
      </w:r>
    </w:p>
    <w:p w14:paraId="247E6367" w14:textId="77777777" w:rsidR="008E4EBD" w:rsidRDefault="00483AC6">
      <w:pPr>
        <w:pStyle w:val="BodyText"/>
      </w:pPr>
      <w:r>
        <w:t>This paper develops the argument in detail and traces its consequences for three questions that arise constantly in the production of small area poverty estimates. First, when is the univariate Fay–Herriot (UFH) estimator adequate, and what exactly does it converge to when the true error structure exhibits autocorrelation over time or spatial correlation across areas? Second, what does the multivariate Fay–Herriot (MFH) model of Benavent and Morales (2016)—and, more generally, the time-series and spatio-tem</w:t>
      </w:r>
      <w:r>
        <w:t xml:space="preserve">poral extensions of Rao and Yu (1994), Pratesi and Salvati (2008), and Marhuenda, Molina, and Morales (2013)—add, and under what conditions does it deliver a predictor that converges to the BLUP implied by the true covariance structure? Third, and most practically, what can and cannot be said about areas or area-years </w:t>
      </w:r>
      <w:r>
        <w:rPr>
          <w:i/>
        </w:rPr>
        <w:t>without</w:t>
      </w:r>
      <w:r>
        <w:t xml:space="preserve"> direct estimates, for which the usual FH shrinkage formula cannot even be evaluated?</w:t>
      </w:r>
    </w:p>
    <w:p w14:paraId="247E6368" w14:textId="77777777" w:rsidR="008E4EBD" w:rsidRDefault="00483AC6">
      <w:pPr>
        <w:pStyle w:val="BodyText"/>
      </w:pPr>
      <w:r>
        <w:t xml:space="preserve">The answers we develop are as follows. The FH target is the realized area parameter </w:t>
      </w: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where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a realized random effect; predicting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requires a covariance-based adjustment that exploits the direct estimate. A purely synthetic prediction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oMath>
      <w:r>
        <w:t xml:space="preserve"> may be a consistent estimator of the conditional mean, but it is not, in general, the BLUP of </w:t>
      </w:r>
      <m:oMath>
        <m:sSub>
          <m:sSubPr>
            <m:ctrlPr>
              <w:rPr>
                <w:rFonts w:ascii="Cambria Math" w:hAnsi="Cambria Math"/>
              </w:rPr>
            </m:ctrlPr>
          </m:sSubPr>
          <m:e>
            <m:r>
              <w:rPr>
                <w:rFonts w:ascii="Cambria Math" w:hAnsi="Cambria Math"/>
              </w:rPr>
              <m:t>θ</m:t>
            </m:r>
          </m:e>
          <m:sub>
            <m:r>
              <w:rPr>
                <w:rFonts w:ascii="Cambria Math" w:hAnsi="Cambria Math"/>
              </w:rPr>
              <m:t>i</m:t>
            </m:r>
          </m:sub>
        </m:sSub>
      </m:oMath>
      <w:r>
        <w:t xml:space="preserve"> and should not be labeled as such. When the true covariance structure links a given area-year to other years or neighboring areas, the UFH predictor uses the wrong prediction weights: it converges to the BLUP under its univariate working model rather than to the true BLUP. The MFH model addresses this by jointly modeling a vector of direct estimates; when its covariance structure is correctly specified and consistently estimated, the MFH empirical BLUP (EBLUP) converges to the BLUP under the multivariate m</w:t>
      </w:r>
      <w:r>
        <w:t>odel. Most importantly for practice, the partitioned form of the multivariate predictor shows precisely when an area-year without a direct estimate can receive a genuine BLUP-type prediction—namely, when it is connected to observed direct estimates through nonzero model covariance—and when the prediction is irreducibly synthetic.</w:t>
      </w:r>
    </w:p>
    <w:p w14:paraId="247E6369" w14:textId="77777777" w:rsidR="008E4EBD" w:rsidRDefault="00483AC6">
      <w:pPr>
        <w:pStyle w:val="BodyText"/>
      </w:pPr>
      <w:r>
        <w:t xml:space="preserve">A further theme, developed at length in the simulation study, is that the issue is not simply UFH versus MFH. The BLUP is defined by the </w:t>
      </w:r>
      <w:r>
        <w:rPr>
          <w:i/>
        </w:rPr>
        <w:t>full</w:t>
      </w:r>
      <w:r>
        <w:t xml:space="preserve"> covariance structure of the data, which has two components: the covariance of the realized area effects, </w:t>
      </w:r>
      <m:oMath>
        <m:r>
          <w:rPr>
            <w:rFonts w:ascii="Cambria Math" w:hAnsi="Cambria Math"/>
          </w:rPr>
          <m:t>G</m:t>
        </m:r>
      </m:oMath>
      <w:r>
        <w:t xml:space="preserve">, and the covariance of the sampling errors,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These two components have very different epistemic status in practice. The covariance of the area effects is a model object: it is unknown and must be specified and estimated. The covariance of the sampling errors, by contrast, is often known or estimable from the survey design—in repeated surveys, rotating panels, or settings where the same households or primary sampling units contribute to direct estimates in multiple years, the off-diagonal elements of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can be computed or estimated directly, just as the diagonal sampling variances are routinely treated as known following Fay and Herriot (1979). UFH is a special working model that sets all cross-time and cross-area covariances—in both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—to zero. MFH improves on UFH only to the extent that it includes the relevant covariance components. If the sampling errors are autocorrelated and this autocorrelation is ignored, an MFH estimator that models </w:t>
      </w:r>
      <m:oMath>
        <m:r>
          <w:rPr>
            <w:rFonts w:ascii="Cambria Math" w:hAnsi="Cambria Math"/>
          </w:rPr>
          <m:t>G</m:t>
        </m:r>
      </m:oMath>
      <w:r>
        <w:t xml:space="preserve"> but assumes a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also fails to converge to the true BLUP: it converges only to the BLUP under its misspecified working covariance, and can be less accurate than UFH itself.</w:t>
      </w:r>
    </w:p>
    <w:p w14:paraId="247E636A" w14:textId="77777777" w:rsidR="008E4EBD" w:rsidRDefault="00483AC6">
      <w:pPr>
        <w:pStyle w:val="BodyText"/>
      </w:pPr>
      <w:r>
        <w:lastRenderedPageBreak/>
        <w:t>These points are implicit in the classical theory of mixed-model prediction going back to Henderson (1975), and several of them are noted in the SAE literature (Rao and Molina, 2015, Ch. 5–8). Our contribution is to assemble them into a single self-contained argument oriented toward applied poverty mapping, to state the non-convergence result for UFH under dependence explicitly, to derive the missing-area-year predictor in a form that maps directly into software, and to quantify the practical stakes in a Mo</w:t>
      </w:r>
      <w:r>
        <w:t>nte Carlo experiment that varies the autocorrelation of the area effects (</w:t>
      </w:r>
      <m:oMath>
        <m:sSub>
          <m:sSubPr>
            <m:ctrlPr>
              <w:rPr>
                <w:rFonts w:ascii="Cambria Math" w:hAnsi="Cambria Math"/>
              </w:rPr>
            </m:ctrlPr>
          </m:sSubPr>
          <m:e>
            <m:r>
              <w:rPr>
                <w:rFonts w:ascii="Cambria Math" w:hAnsi="Cambria Math"/>
              </w:rPr>
              <m:t>ρ</m:t>
            </m:r>
          </m:e>
          <m:sub>
            <m:r>
              <w:rPr>
                <w:rFonts w:ascii="Cambria Math" w:hAnsi="Cambria Math"/>
              </w:rPr>
              <m:t>u</m:t>
            </m:r>
          </m:sub>
        </m:sSub>
      </m:oMath>
      <w:r>
        <w:t>) and of the sampling errors (</w:t>
      </w:r>
      <m:oMath>
        <m:sSub>
          <m:sSubPr>
            <m:ctrlPr>
              <w:rPr>
                <w:rFonts w:ascii="Cambria Math" w:hAnsi="Cambria Math"/>
              </w:rPr>
            </m:ctrlPr>
          </m:sSubPr>
          <m:e>
            <m:r>
              <w:rPr>
                <w:rFonts w:ascii="Cambria Math" w:hAnsi="Cambria Math"/>
              </w:rPr>
              <m:t>ρ</m:t>
            </m:r>
          </m:e>
          <m:sub>
            <m:r>
              <w:rPr>
                <w:rFonts w:ascii="Cambria Math" w:hAnsi="Cambria Math"/>
              </w:rPr>
              <m:t>e</m:t>
            </m:r>
          </m:sub>
        </m:sSub>
      </m:oMath>
      <w:r>
        <w:t>) separately. The simulation results indicate that when the intertemporal correlation of area effects is strong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=0.8</m:t>
        </m:r>
      </m:oMath>
      <w:r>
        <w:t>, independent sampling errors), correctly specified MFH reduces the mean squared error (MSE) of predictions by about 25 percent for observed area-years relative to UFH, and by about 38 percent for missing area-years relative to synthetic prediction—with essentially no penalty when the correlation is in fact zero. They also show that the gains are conditional on getting the sampling-error covariance right: when sampling errors are strongly autocorrelated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and the analyst models the area-effect covariance but assumes a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MFH estimator absorbs the sampling-error correlation into a spurious estimate of </w:t>
      </w:r>
      <m:oMath>
        <m:sSub>
          <m:sSubPr>
            <m:ctrlPr>
              <w:rPr>
                <w:rFonts w:ascii="Cambria Math" w:hAnsi="Cambria Math"/>
              </w:rPr>
            </m:ctrlPr>
          </m:sSubPr>
          <m:e>
            <m:r>
              <w:rPr>
                <w:rFonts w:ascii="Cambria Math" w:hAnsi="Cambria Math"/>
              </w:rPr>
              <m:t>ρ</m:t>
            </m:r>
          </m:e>
          <m:sub>
            <m:r>
              <w:rPr>
                <w:rFonts w:ascii="Cambria Math" w:hAnsi="Cambria Math"/>
              </w:rPr>
              <m:t>u</m:t>
            </m:r>
          </m:sub>
        </m:sSub>
      </m:oMath>
      <w:r>
        <w:t xml:space="preserve">, fails to converge to the true BLUP, and produces MSEs up to 66 percent </w:t>
      </w:r>
      <w:r>
        <w:rPr>
          <w:i/>
        </w:rPr>
        <w:t>higher</w:t>
      </w:r>
      <w:r>
        <w:t xml:space="preserve"> than UFH for observed area-years and 33 percent higher than synthetic prediction for missing ones, while MFH with the correct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tracks the oracle BLUP throughout.</w:t>
      </w:r>
    </w:p>
    <w:p w14:paraId="247E636B" w14:textId="77777777" w:rsidR="008E4EBD" w:rsidRDefault="00483AC6">
      <w:pPr>
        <w:pStyle w:val="BodyText"/>
      </w:pPr>
      <w:r>
        <w:t>The remainder of the paper is organized as follows. Section 2 reviews the relevant literature and clarifies the position of this paper relative to classical mixed-model prediction, area-level SAE, unit-level poverty mapping, and multivariate or spatio-temporal FH models. Section 3 distinguishes estimation of conditional means from prediction of realized area parameters. Section 4 reviews BLUP and EBLUP in the general linear mixed model. Section 5 formalizes the behavior of predictors under covariance misspe</w:t>
      </w:r>
      <w:r>
        <w:t>cification. Sections 6 and 7 treat the univariate FH model and its behavior under temporal and spatial dependence. Section 8 discusses UFH for area-years without direct estimates. Sections 9 and 10 develop the MFH model and the partitioned predictor for missing area-years. Section 11 reports the Monte Carlo study. Section 12 draws implications for uncertainty reporting and the production of estimates, and Section 13 concludes.</w:t>
      </w:r>
    </w:p>
    <w:p w14:paraId="247E636C" w14:textId="77777777" w:rsidR="008E4EBD" w:rsidRDefault="00483AC6">
      <w:pPr>
        <w:pStyle w:val="Heading1"/>
      </w:pPr>
      <w:bookmarkStart w:id="1" w:name="literature-review"/>
      <w:r>
        <w:t>2. Literature review</w:t>
      </w:r>
      <w:bookmarkEnd w:id="1"/>
    </w:p>
    <w:p w14:paraId="247E636D" w14:textId="77777777" w:rsidR="008E4EBD" w:rsidRDefault="00483AC6">
      <w:pPr>
        <w:pStyle w:val="FirstParagraph"/>
      </w:pPr>
      <w:r>
        <w:t>This paper sits at the intersection of four strands of literature: classical mixed-model prediction, area-level small area estimation, unit-level poverty mapping, and multivariate or spatio-temporal extensions of the Fay–Herriot model. The common object across these strands is borrowing strength, but the target of borrowing differs. Some methods estimate a conditional mean or a model-implied distribution; others predict a realized random effect or a realized finite-population quantity. The distinction is ce</w:t>
      </w:r>
      <w:r>
        <w:t>ntral for understanding why covariance specification matters for FH and MFH predictors.</w:t>
      </w:r>
    </w:p>
    <w:p w14:paraId="247E636E" w14:textId="77777777" w:rsidR="008E4EBD" w:rsidRDefault="00483AC6">
      <w:pPr>
        <w:pStyle w:val="Heading2"/>
      </w:pPr>
      <w:bookmarkStart w:id="2" w:name="X80f51f819b4525847f707400808cb0b594c5838"/>
      <w:r>
        <w:t>2.1. Mixed-model prediction and the meaning of BLUP</w:t>
      </w:r>
      <w:bookmarkEnd w:id="2"/>
    </w:p>
    <w:p w14:paraId="247E636F" w14:textId="77777777" w:rsidR="008E4EBD" w:rsidRDefault="00483AC6">
      <w:pPr>
        <w:pStyle w:val="FirstParagraph"/>
      </w:pPr>
      <w:r>
        <w:t>The first foundation is the mixed-model prediction literature. Henderson (1975) formalized best linear unbiased prediction for linear mixed models, and Robinson (1991) emphasized why BLUP is a prediction device for realized random effects rather than simply an estimator of fixed regression coefficients. In this framework, the covariance matrix is not a nuisance weighting matrix only; it defines the projection of the unobserved random component on the observed data. Kackar and Harville (1984), Prasad and Rao</w:t>
      </w:r>
      <w:r>
        <w:t xml:space="preserve"> (1990), </w:t>
      </w:r>
      <w:r>
        <w:lastRenderedPageBreak/>
        <w:t>and Datta and Lahiri (2000) then developed key results for empirical BLUPs, including the effect of estimating variance components and the resulting MSE approximations. This literature provides the formal basis for the paper's central claim: covariance misspecification affects prediction weights and therefore changes the BLUP that the empirical predictor approximates.</w:t>
      </w:r>
    </w:p>
    <w:p w14:paraId="247E6370" w14:textId="77777777" w:rsidR="008E4EBD" w:rsidRDefault="00483AC6">
      <w:pPr>
        <w:pStyle w:val="Heading2"/>
      </w:pPr>
      <w:bookmarkStart w:id="3" w:name="area-level-small-area-estimation"/>
      <w:r>
        <w:t>2.2. Area-level small area estimation</w:t>
      </w:r>
      <w:bookmarkEnd w:id="3"/>
    </w:p>
    <w:p w14:paraId="247E6371" w14:textId="77777777" w:rsidR="008E4EBD" w:rsidRDefault="00483AC6">
      <w:pPr>
        <w:pStyle w:val="FirstParagraph"/>
      </w:pPr>
      <w:r>
        <w:t xml:space="preserve">The second strand is area-level SAE. Fay and Herriot (1979) introduced the canonical area-level model for combining noisy direct estimates with auxiliary covariates, thereby adapting James-Stein shrinkage to official statistics. Ghosh and Rao (1994), Jiang and Lahiri (2006), Pfeffermann (2013), and Rao and Molina (2015) review the subsequent development of the theory and practice of SAE. In this literature, the direct estimate is treated as an observation on a latent area parameter plus sampling error; the </w:t>
      </w:r>
      <w:r>
        <w:t>FH predictor then combines the direct estimate and the regression-synthetic estimator through a shrinkage factor determined by the model variance and the sampling variance. Much of applied poverty mapping uses this structure, but the interpretation is sometimes blurred: the FH EBLUP is not simply a smoothed regression fitted value. It is a predictor of a realized area parameter, and the area effect is predicted conditionally on the direct estimate.</w:t>
      </w:r>
    </w:p>
    <w:p w14:paraId="247E6372" w14:textId="77777777" w:rsidR="008E4EBD" w:rsidRDefault="00483AC6">
      <w:pPr>
        <w:pStyle w:val="BodyText"/>
      </w:pPr>
      <w:r>
        <w:t>This distinction also clarifies why a correct mean model is not enough. If the goal were only to estimate E[y_i | x_i], GLS-type fitted values would be natural and covariance misspecification would primarily affect efficiency. The FH goal is instead to predict theta_i = x_i' beta + u_i. The term u_i is a realized area effect, and its conditional prediction is governed by the covariance between the target and the observed direct estimates. This is the point that motivates the formal treatment of predictors u</w:t>
      </w:r>
      <w:r>
        <w:t>nder misspecified working covariance matrices below.</w:t>
      </w:r>
    </w:p>
    <w:p w14:paraId="247E6373" w14:textId="77777777" w:rsidR="008E4EBD" w:rsidRDefault="00483AC6">
      <w:pPr>
        <w:pStyle w:val="Heading2"/>
      </w:pPr>
      <w:bookmarkStart w:id="4" w:name="X3c388bf97bd7ccf0f073d678e2158e950afe6a8"/>
      <w:r>
        <w:t>2.3. Unit-level poverty mapping and empirical best prediction</w:t>
      </w:r>
      <w:bookmarkEnd w:id="4"/>
    </w:p>
    <w:p w14:paraId="247E6374" w14:textId="77777777" w:rsidR="008E4EBD" w:rsidRDefault="00483AC6">
      <w:pPr>
        <w:pStyle w:val="FirstParagraph"/>
      </w:pPr>
      <w:r>
        <w:t>A third strand concerns unit-level poverty mapping. Battese, Harter, and Fuller (1988) introduced a nested error regression model for small area prediction using survey and satellite data. Elbers, Lanjouw, and Lanjouw (2003) developed the influential ELL approach to poverty mapping by estimating a household welfare model in a survey, applying it to census covariates, simulating disturbances, and aggregating simulated welfare to poverty and inequality measures. The ELL approach is extremely important in appl</w:t>
      </w:r>
      <w:r>
        <w:t>ied poverty mapping, but its standard interpretation differs from FH. ELL generally simulates random components from their model distribution and estimates area poverty measures implied by census covariates and the estimated welfare model. It is therefore closer to estimating a model-implied distribution of welfare conditional on covariates than to predicting a realized area effect using a direct estimate for that same area.</w:t>
      </w:r>
    </w:p>
    <w:p w14:paraId="247E6375" w14:textId="77777777" w:rsidR="008E4EBD" w:rsidRDefault="00483AC6">
      <w:pPr>
        <w:pStyle w:val="BodyText"/>
      </w:pPr>
      <w:r>
        <w:t>Molina and Rao (2010) moved the unit-level poverty mapping literature closer to mixed-model prediction by proposing empirical best prediction for nonlinear poverty indicators under a nested error model. Their approach conditions on sample observations from the target area to predict the realized finite-population poverty indicator. In this sense, Molina-Rao is conceptually closer to FH than to purely synthetic imputation: the model assumes that area effects have zero mean ex ante, but the conditional mean o</w:t>
      </w:r>
      <w:r>
        <w:t xml:space="preserve">f the realized area effect is generally nonzero after observing area-specific sample information. This paper focuses on area-level FH and MFH rather than unit-level empirical best prediction, but the same </w:t>
      </w:r>
      <w:r>
        <w:lastRenderedPageBreak/>
        <w:t>conceptual distinction applies: estimating the mean component is not the same as predicting the realized area-specific component.</w:t>
      </w:r>
    </w:p>
    <w:p w14:paraId="247E6376" w14:textId="77777777" w:rsidR="008E4EBD" w:rsidRDefault="00483AC6">
      <w:pPr>
        <w:pStyle w:val="Heading2"/>
      </w:pPr>
      <w:bookmarkStart w:id="5" w:name="X38ae33556ee80c0ce460236fe2ffb0a8bdcf902"/>
      <w:r>
        <w:t>2.4. Temporal, spatial, and multivariate Fay–Herriot models</w:t>
      </w:r>
      <w:bookmarkEnd w:id="5"/>
    </w:p>
    <w:p w14:paraId="247E6377" w14:textId="77777777" w:rsidR="008E4EBD" w:rsidRDefault="00483AC6">
      <w:pPr>
        <w:pStyle w:val="FirstParagraph"/>
      </w:pPr>
      <w:r>
        <w:t xml:space="preserve">The fourth strand extends FH beyond independent area-year models. Rao and Yu (1994) combined time-series and cross-sectional information by allowing autocorrelated random effects and sampling errors, directly addressing the fact that repeated survey estimates for the same area are often correlated. Esteban, Morales, Pérez, and Santamaría (2012) applied area-level time models to poverty proportions. Pratesi and Salvati (2008) and Marhuenda, Molina, and Morales (2013) developed spatial and spatio-temporal FH </w:t>
      </w:r>
      <w:r>
        <w:t>models in which neighboring areas and adjacent periods provide additional sources of borrowing strength. Benavent and Morales (2016) formulated multivariate FH models for multiple related indicators, while González-Manteiga et al. (2008) studied analytic and bootstrap approximations for prediction errors under a multivariate FH model. Ybarra and Lohr (2008) addressed a related complication: auxiliary variables measured with error.</w:t>
      </w:r>
    </w:p>
    <w:p w14:paraId="247E6378" w14:textId="77777777" w:rsidR="008E4EBD" w:rsidRDefault="00483AC6">
      <w:pPr>
        <w:pStyle w:val="BodyText"/>
      </w:pPr>
      <w:r>
        <w:t>These extensions all share the same logic. They enlarge the information set used to predict the target by specifying nonzero covariance between the target area-year and other observed direct estimates. Consequently, the BLUP changes when temporal, spatial, or cross-outcome covariance is introduced. A UFH predictor that ignores these covariance links is not merely less efficient; it answers a different prediction question. The literature contains the ingredients for this conclusion, but applied guidance ofte</w:t>
      </w:r>
      <w:r>
        <w:t>n stops short of stating the consequence explicitly for areas without direct estimates. The contribution of this paper is to make that implication transparent: if an area-year has no direct estimate, UFH collapses to synthetic prediction, while MFH or spatial MFH can still produce a genuine BLUP-type predictor only when the missing target is connected to observed direct estimates through a correctly specified covariance model.</w:t>
      </w:r>
    </w:p>
    <w:p w14:paraId="247E6379" w14:textId="77777777" w:rsidR="008E4EBD" w:rsidRDefault="00483AC6">
      <w:pPr>
        <w:pStyle w:val="Heading1"/>
      </w:pPr>
      <w:bookmarkStart w:id="6" w:name="Xd0ee781d20ffffd88ab4fdd19dd0ffa683a49c8"/>
      <w:r>
        <w:t>3. What is being estimated: conditional mean versus realized area parameter</w:t>
      </w:r>
      <w:bookmarkEnd w:id="6"/>
    </w:p>
    <w:p w14:paraId="247E637A" w14:textId="77777777" w:rsidR="008E4EBD" w:rsidRDefault="00483AC6">
      <w:pPr>
        <w:pStyle w:val="FirstParagraph"/>
      </w:pPr>
      <w:r>
        <w:t>It is useful to begin with the elementary contrast. In an ordinary regression or GLS setting, the target is often the conditional mean,</w:t>
      </w:r>
    </w:p>
    <w:p w14:paraId="247E637B" w14:textId="77777777" w:rsidR="008E4EBD" w:rsidRDefault="00483AC6">
      <w:pPr>
        <w:pStyle w:val="BodyText"/>
        <w:spacing w:before="0" w:after="160" w:line="240" w:lineRule="atLeast"/>
        <w:jc w:val="center"/>
      </w:pPr>
      <m:oMathPara>
        <m:oMathParaPr>
          <m:jc m:val="center"/>
        </m:oMathParaPr>
        <m:oMath>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oMath>
      </m:oMathPara>
    </w:p>
    <w:p w14:paraId="247E637C" w14:textId="77777777" w:rsidR="008E4EBD" w:rsidRDefault="00483AC6">
      <w:pPr>
        <w:pStyle w:val="BodyText"/>
      </w:pPr>
      <w:r>
        <w:t xml:space="preserve">A GLS estimator based on a working covariance matrix </w:t>
      </w:r>
      <m:oMath>
        <m:r>
          <w:rPr>
            <w:rFonts w:ascii="Cambria Math" w:hAnsi="Cambria Math"/>
          </w:rPr>
          <m:t>W</m:t>
        </m:r>
      </m:oMath>
      <w:r>
        <w:t xml:space="preserve"> has the form</w:t>
      </w:r>
    </w:p>
    <w:p w14:paraId="247E637D"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W</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WX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r>
            <w:rPr>
              <w:rFonts w:ascii="Cambria Math" w:hAnsi="Cambria Math"/>
            </w:rPr>
            <m:t>'</m:t>
          </m:r>
          <m:r>
            <w:rPr>
              <w:rFonts w:ascii="Cambria Math" w:hAnsi="Cambria Math"/>
            </w:rPr>
            <m:t>Wy</m:t>
          </m:r>
          <m:r>
            <w:rPr>
              <w:rFonts w:ascii="Cambria Math" w:hAnsi="Cambria Math"/>
            </w:rPr>
            <m:t>.</m:t>
          </m:r>
        </m:oMath>
      </m:oMathPara>
    </w:p>
    <w:p w14:paraId="247E637E" w14:textId="77777777" w:rsidR="008E4EBD" w:rsidRDefault="00483AC6">
      <w:pPr>
        <w:pStyle w:val="BodyText"/>
      </w:pPr>
      <w:r>
        <w:t xml:space="preserve">If the mean model is correctly specified and the usual regularity conditions hold,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W</m:t>
            </m:r>
          </m:sub>
        </m:sSub>
      </m:oMath>
      <w:r>
        <w:t xml:space="preserve"> is consistent for </w:t>
      </w:r>
      <m:oMath>
        <m:r>
          <w:rPr>
            <w:rFonts w:ascii="Cambria Math" w:hAnsi="Cambria Math"/>
          </w:rPr>
          <m:t>β</m:t>
        </m:r>
      </m:oMath>
      <w:r>
        <w:t xml:space="preserve"> even when </w:t>
      </w:r>
      <m:oMath>
        <m:r>
          <w:rPr>
            <w:rFonts w:ascii="Cambria Math" w:hAnsi="Cambria Math"/>
          </w:rPr>
          <m:t>W</m:t>
        </m:r>
      </m:oMath>
      <w:r>
        <w:t xml:space="preserve"> is not the inverse of the true covariance matrix of </w:t>
      </w:r>
      <m:oMath>
        <m:r>
          <w:rPr>
            <w:rFonts w:ascii="Cambria Math" w:hAnsi="Cambria Math"/>
          </w:rPr>
          <m:t>y</m:t>
        </m:r>
      </m:oMath>
      <w:r>
        <w:t xml:space="preserve">. In that case, the fitted value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W</m:t>
            </m:r>
          </m:sub>
        </m:sSub>
      </m:oMath>
      <w:r>
        <w:t xml:space="preserve"> is a consistent estimator of </w:t>
      </w:r>
      <m:oMath>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t>, and the consequence of covariance misspecification is primarily a loss of efficiency, along with incorrect conventional standard errors, which can be addressed with sandwich-type variance estimators. This robustness property underlies much of applied regression practice.</w:t>
      </w:r>
    </w:p>
    <w:p w14:paraId="247E637F" w14:textId="77777777" w:rsidR="008E4EBD" w:rsidRDefault="00483AC6">
      <w:pPr>
        <w:pStyle w:val="BodyText"/>
      </w:pPr>
      <w:r>
        <w:t>The FH target is different. The usual area-level target is the realized area parameter</w:t>
      </w:r>
    </w:p>
    <w:p w14:paraId="247E6380"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m:oMathPara>
    </w:p>
    <w:p w14:paraId="247E6381" w14:textId="77777777" w:rsidR="008E4EBD" w:rsidRDefault="00483AC6">
      <w:pPr>
        <w:pStyle w:val="BodyText"/>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the realized area effect for area </w:t>
      </w:r>
      <m:oMath>
        <m:r>
          <w:rPr>
            <w:rFonts w:ascii="Cambria Math" w:hAnsi="Cambria Math"/>
          </w:rPr>
          <m:t>i</m:t>
        </m:r>
      </m:oMath>
      <w:r>
        <w:t xml:space="preserve">. The model assumes </w:t>
      </w:r>
      <m:oMath>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]=0</m:t>
        </m:r>
      </m:oMath>
      <w:r>
        <w:t xml:space="preserve"> </w:t>
      </w:r>
      <w:r>
        <w:rPr>
          <w:i/>
        </w:rPr>
        <w:t>before</w:t>
      </w:r>
      <w:r>
        <w:t xml:space="preserve"> observing area-specific information, but once a direct estimate for area </w:t>
      </w:r>
      <m:oMath>
        <m:r>
          <w:rPr>
            <w:rFonts w:ascii="Cambria Math" w:hAnsi="Cambria Math"/>
          </w:rPr>
          <m:t>i</m:t>
        </m:r>
      </m:oMath>
      <w:r>
        <w:t xml:space="preserve"> is observed, the conditional expectation of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given that estimate is generally nonzero. The FH problem is therefore not just to estimate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oMath>
      <w:r>
        <w:t xml:space="preserve">; it is to predict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t>, where the second component is a realized draw of a random variable about which the data are informative.</w:t>
      </w:r>
    </w:p>
    <w:p w14:paraId="247E6382" w14:textId="77777777" w:rsidR="008E4EBD" w:rsidRDefault="00483AC6">
      <w:pPr>
        <w:pStyle w:val="BodyText"/>
      </w:pPr>
      <w:r>
        <w:t xml:space="preserve">This distinction between estimating a fixed parameter and predicting a realized random quantity is classical—it is the same distinction that separates the estimation of variance components from the prediction of breeding values in Henderson’s (1975) work, and it is the organizing principle of the mixed-model prediction theory surveyed by Robinson (1991). A synthetic predictor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oMath>
      <w:r>
        <w:t xml:space="preserve"> estimates the mean component only. It does not, by itself, predict the realized area effect. The BLUP adds a covariance-based adjustment that uses the direct estimate to infer the realized </w:t>
      </w:r>
      <m:oMath>
        <m:sSub>
          <m:sSubPr>
            <m:ctrlPr>
              <w:rPr>
                <w:rFonts w:ascii="Cambria Math" w:hAnsi="Cambria Math"/>
              </w:rPr>
            </m:ctrlPr>
          </m:sSubPr>
          <m:e>
            <m:r>
              <w:rPr>
                <w:rFonts w:ascii="Cambria Math" w:hAnsi="Cambria Math"/>
              </w:rPr>
              <m:t>u</m:t>
            </m:r>
          </m:e>
          <m:sub>
            <m:r>
              <w:rPr>
                <w:rFonts w:ascii="Cambria Math" w:hAnsi="Cambria Math"/>
              </w:rPr>
              <m:t>i</m:t>
            </m:r>
          </m:sub>
        </m:sSub>
      </m:oMath>
      <w:r>
        <w:t>. Everything that follows flows from the structure of that adjustment.</w:t>
      </w:r>
    </w:p>
    <w:p w14:paraId="247E6383" w14:textId="77777777" w:rsidR="008E4EBD" w:rsidRDefault="00483AC6">
      <w:pPr>
        <w:pStyle w:val="BodyText"/>
      </w:pPr>
      <w:r>
        <w:t xml:space="preserve">Two remarks sharpen the point. First, the difference between the targets is not small. Under the basic FH model, the variance of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the model variance </w:t>
      </w:r>
      <m:oMath>
        <m:r>
          <w:rPr>
            <w:rFonts w:ascii="Cambria Math" w:hAnsi="Cambria Math"/>
          </w:rPr>
          <m:t>A</m:t>
        </m:r>
      </m:oMath>
      <w:r>
        <w:t xml:space="preserve">, which in applications is frequently of the same order as the sampling variance of the direct estimate, ignoring the realized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means accepting a prediction error of variance </w:t>
      </w:r>
      <m:oMath>
        <m:r>
          <w:rPr>
            <w:rFonts w:ascii="Cambria Math" w:hAnsi="Cambria Math"/>
          </w:rPr>
          <m:t>A</m:t>
        </m:r>
      </m:oMath>
      <w:r>
        <w:t xml:space="preserve"> even with infinite data on </w:t>
      </w:r>
      <m:oMath>
        <m:r>
          <w:rPr>
            <w:rFonts w:ascii="Cambria Math" w:hAnsi="Cambria Math"/>
          </w:rPr>
          <m:t>β</m:t>
        </m:r>
      </m:oMath>
      <w:r>
        <w:t xml:space="preserve">. Second, the difference is not curable by a better estimation of </w:t>
      </w:r>
      <m:oMath>
        <m:r>
          <w:rPr>
            <w:rFonts w:ascii="Cambria Math" w:hAnsi="Cambria Math"/>
          </w:rPr>
          <m:t>β</m:t>
        </m:r>
      </m:oMath>
      <w:r>
        <w:t xml:space="preserve">. As the number of areas grows, </w:t>
      </w:r>
      <m:oMath>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β</m:t>
        </m:r>
      </m:oMath>
      <w:r>
        <w:t xml:space="preserve">, but the synthetic prediction error </w:t>
      </w: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does not shrink: the only way to reduce it is to condition on area-specific information through the covariance structure.</w:t>
      </w:r>
    </w:p>
    <w:p w14:paraId="247E6384" w14:textId="77777777" w:rsidR="008E4EBD" w:rsidRDefault="00483AC6">
      <w:pPr>
        <w:pStyle w:val="Heading1"/>
      </w:pPr>
      <w:bookmarkStart w:id="7" w:name="the-general-mixed-model-blup-and-eblup"/>
      <w:r>
        <w:t>4. The general mixed-model BLUP and EBLUP</w:t>
      </w:r>
      <w:bookmarkEnd w:id="7"/>
    </w:p>
    <w:p w14:paraId="247E6385" w14:textId="77777777" w:rsidR="008E4EBD" w:rsidRDefault="00483AC6">
      <w:pPr>
        <w:pStyle w:val="FirstParagraph"/>
      </w:pPr>
      <w:r>
        <w:t xml:space="preserve">The logic is most transparent in the general linear mixed model. Suppose the observed direct-estimate vector </w:t>
      </w:r>
      <m:oMath>
        <m:r>
          <w:rPr>
            <w:rFonts w:ascii="Cambria Math" w:hAnsi="Cambria Math"/>
          </w:rPr>
          <m:t>y</m:t>
        </m:r>
      </m:oMath>
      <w:r>
        <w:t xml:space="preserve"> satisfies</w:t>
      </w:r>
    </w:p>
    <w:p w14:paraId="247E6386" w14:textId="77777777" w:rsidR="008E4EBD" w:rsidRDefault="00483AC6">
      <w:pPr>
        <w:pStyle w:val="BodyText"/>
        <w:spacing w:before="0" w:after="160" w:line="240" w:lineRule="atLeast"/>
        <w:jc w:val="center"/>
      </w:pPr>
      <m:oMathPara>
        <m:oMathParaPr>
          <m:jc m:val="center"/>
        </m:oMathParaPr>
        <m:oMath>
          <m:r>
            <w:rPr>
              <w:rFonts w:ascii="Cambria Math" w:hAnsi="Cambria Math"/>
            </w:rPr>
            <m:t>y</m:t>
          </m:r>
          <m:r>
            <w:rPr>
              <w:rFonts w:ascii="Cambria Math" w:hAnsi="Cambria Math"/>
            </w:rPr>
            <m:t>=</m:t>
          </m:r>
          <m:r>
            <w:rPr>
              <w:rFonts w:ascii="Cambria Math" w:hAnsi="Cambria Math"/>
            </w:rPr>
            <m:t>Xβ</m:t>
          </m:r>
          <m:r>
            <w:rPr>
              <w:rFonts w:ascii="Cambria Math" w:hAnsi="Cambria Math"/>
            </w:rPr>
            <m:t>+</m:t>
          </m:r>
          <m:r>
            <w:rPr>
              <w:rFonts w:ascii="Cambria Math" w:hAnsi="Cambria Math"/>
            </w:rPr>
            <m:t>Zv</m:t>
          </m:r>
          <m:r>
            <w:rPr>
              <w:rFonts w:ascii="Cambria Math" w:hAnsi="Cambria Math"/>
            </w:rPr>
            <m:t>+</m:t>
          </m:r>
          <m:r>
            <w:rPr>
              <w:rFonts w:ascii="Cambria Math" w:hAnsi="Cambria Math"/>
            </w:rPr>
            <m:t>e</m:t>
          </m:r>
          <m:r>
            <w:rPr>
              <w:rFonts w:ascii="Cambria Math" w:hAnsi="Cambria Math"/>
            </w:rPr>
            <m:t>,  </m:t>
          </m:r>
          <m:r>
            <w:rPr>
              <w:rFonts w:ascii="Cambria Math" w:hAnsi="Cambria Math"/>
            </w:rPr>
            <m:t>E</m:t>
          </m:r>
          <m:r>
            <w:rPr>
              <w:rFonts w:ascii="Cambria Math" w:hAnsi="Cambria Math"/>
            </w:rPr>
            <m:t>[</m:t>
          </m:r>
          <m:r>
            <w:rPr>
              <w:rFonts w:ascii="Cambria Math" w:hAnsi="Cambria Math"/>
            </w:rPr>
            <m:t>v</m:t>
          </m:r>
          <m:r>
            <w:rPr>
              <w:rFonts w:ascii="Cambria Math" w:hAnsi="Cambria Math"/>
            </w:rPr>
            <m:t>]=0,  </m:t>
          </m:r>
          <m:r>
            <w:rPr>
              <w:rFonts w:ascii="Cambria Math" w:hAnsi="Cambria Math"/>
            </w:rPr>
            <m:t>E</m:t>
          </m:r>
          <m:r>
            <w:rPr>
              <w:rFonts w:ascii="Cambria Math" w:hAnsi="Cambria Math"/>
            </w:rPr>
            <m:t>[</m:t>
          </m:r>
          <m:r>
            <w:rPr>
              <w:rFonts w:ascii="Cambria Math" w:hAnsi="Cambria Math"/>
            </w:rPr>
            <m:t>e</m:t>
          </m:r>
          <m:r>
            <w:rPr>
              <w:rFonts w:ascii="Cambria Math" w:hAnsi="Cambria Math"/>
            </w:rPr>
            <m:t>]=0,</m:t>
          </m:r>
        </m:oMath>
      </m:oMathPara>
    </w:p>
    <w:p w14:paraId="247E6387" w14:textId="77777777" w:rsidR="008E4EBD" w:rsidRDefault="00483AC6">
      <w:pPr>
        <w:pStyle w:val="BodyText"/>
        <w:spacing w:before="0" w:after="160" w:line="240" w:lineRule="atLeast"/>
        <w:jc w:val="center"/>
      </w:pPr>
      <m:oMathPara>
        <m:oMathParaPr>
          <m:jc m:val="center"/>
        </m:oMathParaPr>
        <m:oMath>
          <m:r>
            <m:rPr>
              <m:nor/>
            </m:rPr>
            <m:t>Var</m:t>
          </m:r>
          <m:r>
            <w:rPr>
              <w:rFonts w:ascii="Cambria Math" w:hAnsi="Cambria Math"/>
            </w:rPr>
            <m:t>(</m:t>
          </m:r>
          <m:r>
            <w:rPr>
              <w:rFonts w:ascii="Cambria Math" w:hAnsi="Cambria Math"/>
            </w:rPr>
            <m:t>v</m:t>
          </m:r>
          <m:r>
            <w:rPr>
              <w:rFonts w:ascii="Cambria Math" w:hAnsi="Cambria Math"/>
            </w:rPr>
            <m:t>)=</m:t>
          </m:r>
          <m:r>
            <w:rPr>
              <w:rFonts w:ascii="Cambria Math" w:hAnsi="Cambria Math"/>
            </w:rPr>
            <m:t>G</m:t>
          </m:r>
          <m:r>
            <w:rPr>
              <w:rFonts w:ascii="Cambria Math" w:hAnsi="Cambria Math"/>
            </w:rPr>
            <m:t>,  </m:t>
          </m:r>
          <m:r>
            <m:rPr>
              <m:nor/>
            </m:rPr>
            <m:t>Var</m:t>
          </m:r>
          <m:r>
            <w:rPr>
              <w:rFonts w:ascii="Cambria Math" w:hAnsi="Cambria Math"/>
            </w:rPr>
            <m:t>(</m:t>
          </m:r>
          <m:r>
            <w:rPr>
              <w:rFonts w:ascii="Cambria Math" w:hAnsi="Cambria Math"/>
            </w:rPr>
            <m:t>e</m:t>
          </m:r>
          <m:r>
            <w:rPr>
              <w:rFonts w:ascii="Cambria Math" w:hAnsi="Cambria Math"/>
            </w:rPr>
            <m:t>)=</m:t>
          </m:r>
          <m:r>
            <w:rPr>
              <w:rFonts w:ascii="Cambria Math" w:hAnsi="Cambria Math"/>
            </w:rPr>
            <m:t>R</m:t>
          </m:r>
          <m:r>
            <w:rPr>
              <w:rFonts w:ascii="Cambria Math" w:hAnsi="Cambria Math"/>
            </w:rPr>
            <m:t>,  </m:t>
          </m:r>
          <m:r>
            <m:rPr>
              <m:nor/>
            </m:rPr>
            <m:t>Var</m:t>
          </m:r>
          <m:r>
            <w:rPr>
              <w:rFonts w:ascii="Cambria Math" w:hAnsi="Cambria Math"/>
            </w:rPr>
            <m:t>(</m:t>
          </m:r>
          <m:r>
            <w:rPr>
              <w:rFonts w:ascii="Cambria Math" w:hAnsi="Cambria Math"/>
            </w:rPr>
            <m:t>y</m:t>
          </m:r>
          <m:r>
            <w:rPr>
              <w:rFonts w:ascii="Cambria Math" w:hAnsi="Cambria Math"/>
            </w:rPr>
            <m:t>)=</m:t>
          </m:r>
          <m:r>
            <w:rPr>
              <w:rFonts w:ascii="Cambria Math" w:hAnsi="Cambria Math"/>
            </w:rPr>
            <m:t>V</m:t>
          </m:r>
          <m:r>
            <w:rPr>
              <w:rFonts w:ascii="Cambria Math" w:hAnsi="Cambria Math"/>
            </w:rPr>
            <m:t>=</m:t>
          </m:r>
          <m:r>
            <w:rPr>
              <w:rFonts w:ascii="Cambria Math" w:hAnsi="Cambria Math"/>
            </w:rPr>
            <m:t>ZGZ</m:t>
          </m:r>
          <m:r>
            <w:rPr>
              <w:rFonts w:ascii="Cambria Math" w:hAnsi="Cambria Math"/>
            </w:rPr>
            <m:t>'+</m:t>
          </m:r>
          <m:r>
            <w:rPr>
              <w:rFonts w:ascii="Cambria Math" w:hAnsi="Cambria Math"/>
            </w:rPr>
            <m:t>R</m:t>
          </m:r>
          <m:r>
            <w:rPr>
              <w:rFonts w:ascii="Cambria Math" w:hAnsi="Cambria Math"/>
            </w:rPr>
            <m:t>,</m:t>
          </m:r>
        </m:oMath>
      </m:oMathPara>
    </w:p>
    <w:p w14:paraId="247E6388" w14:textId="77777777" w:rsidR="008E4EBD" w:rsidRDefault="00483AC6">
      <w:pPr>
        <w:pStyle w:val="BodyText"/>
      </w:pPr>
      <w:r>
        <w:t xml:space="preserve">with </w:t>
      </w:r>
      <m:oMath>
        <m:r>
          <w:rPr>
            <w:rFonts w:ascii="Cambria Math" w:hAnsi="Cambria Math"/>
          </w:rPr>
          <m:t>v</m:t>
        </m:r>
      </m:oMath>
      <w:r>
        <w:t xml:space="preserve"> and </w:t>
      </w:r>
      <m:oMath>
        <m:r>
          <w:rPr>
            <w:rFonts w:ascii="Cambria Math" w:hAnsi="Cambria Math"/>
          </w:rPr>
          <m:t>e</m:t>
        </m:r>
      </m:oMath>
      <w:r>
        <w:t xml:space="preserve"> uncorrelated. Suppose the target is a linear combination of the fixed and random components,</w:t>
      </w:r>
    </w:p>
    <w:p w14:paraId="247E6389" w14:textId="77777777" w:rsidR="008E4EBD" w:rsidRDefault="00483AC6">
      <w:pPr>
        <w:pStyle w:val="BodyText"/>
        <w:spacing w:before="0" w:after="160" w:line="240" w:lineRule="atLeast"/>
        <w:jc w:val="center"/>
      </w:pPr>
      <m:oMathPara>
        <m:oMathParaPr>
          <m:jc m:val="center"/>
        </m:oMathParaPr>
        <m:oMath>
          <m:r>
            <w:rPr>
              <w:rFonts w:ascii="Cambria Math" w:hAnsi="Cambria Math"/>
            </w:rPr>
            <m:t>θ</m:t>
          </m:r>
          <m:r>
            <w:rPr>
              <w:rFonts w:ascii="Cambria Math" w:hAnsi="Cambria Math"/>
            </w:rPr>
            <m:t>=</m:t>
          </m:r>
          <m:r>
            <w:rPr>
              <w:rFonts w:ascii="Cambria Math" w:hAnsi="Cambria Math"/>
            </w:rPr>
            <m:t>Lβ</m:t>
          </m:r>
          <m:r>
            <w:rPr>
              <w:rFonts w:ascii="Cambria Math" w:hAnsi="Cambria Math"/>
            </w:rPr>
            <m:t>+</m:t>
          </m:r>
          <m:r>
            <w:rPr>
              <w:rFonts w:ascii="Cambria Math" w:hAnsi="Cambria Math"/>
            </w:rPr>
            <m:t>Mv</m:t>
          </m:r>
          <m:r>
            <w:rPr>
              <w:rFonts w:ascii="Cambria Math" w:hAnsi="Cambria Math"/>
            </w:rPr>
            <m:t>.</m:t>
          </m:r>
        </m:oMath>
      </m:oMathPara>
    </w:p>
    <w:p w14:paraId="247E638A" w14:textId="77777777" w:rsidR="008E4EBD" w:rsidRDefault="00483AC6">
      <w:pPr>
        <w:pStyle w:val="BodyText"/>
      </w:pPr>
      <w:r>
        <w:t xml:space="preserve">If </w:t>
      </w:r>
      <m:oMath>
        <m:r>
          <w:rPr>
            <w:rFonts w:ascii="Cambria Math" w:hAnsi="Cambria Math"/>
          </w:rPr>
          <m:t>G</m:t>
        </m:r>
      </m:oMath>
      <w:r>
        <w:t xml:space="preserve"> and </w:t>
      </w:r>
      <m:oMath>
        <m:r>
          <w:rPr>
            <w:rFonts w:ascii="Cambria Math" w:hAnsi="Cambria Math"/>
          </w:rPr>
          <m:t>R</m:t>
        </m:r>
      </m:oMath>
      <w:r>
        <w:t xml:space="preserve"> are known, the GLS estimator of </w:t>
      </w:r>
      <m:oMath>
        <m:r>
          <w:rPr>
            <w:rFonts w:ascii="Cambria Math" w:hAnsi="Cambria Math"/>
          </w:rPr>
          <m:t>β</m:t>
        </m:r>
      </m:oMath>
      <w:r>
        <w:t xml:space="preserve"> is</w:t>
      </w:r>
    </w:p>
    <w:p w14:paraId="247E638B" w14:textId="77777777" w:rsidR="008E4EBD" w:rsidRDefault="00483AC6">
      <w:pPr>
        <w:pStyle w:val="BodyText"/>
        <w:spacing w:before="0" w:after="160" w:line="240" w:lineRule="atLeast"/>
        <w:jc w:val="center"/>
      </w:pPr>
      <m:oMathPara>
        <m:oMathParaPr>
          <m:jc m:val="center"/>
        </m:oMathParaPr>
        <m:oMath>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y</m:t>
          </m:r>
          <m:r>
            <w:rPr>
              <w:rFonts w:ascii="Cambria Math" w:hAnsi="Cambria Math"/>
            </w:rPr>
            <m:t>,</m:t>
          </m:r>
        </m:oMath>
      </m:oMathPara>
    </w:p>
    <w:p w14:paraId="247E638C" w14:textId="77777777" w:rsidR="008E4EBD" w:rsidRDefault="00483AC6">
      <w:pPr>
        <w:pStyle w:val="BodyText"/>
      </w:pPr>
      <w:r>
        <w:t xml:space="preserve">and the BLUP of </w:t>
      </w:r>
      <m:oMath>
        <m:r>
          <w:rPr>
            <w:rFonts w:ascii="Cambria Math" w:hAnsi="Cambria Math"/>
          </w:rPr>
          <m:t>θ</m:t>
        </m:r>
      </m:oMath>
      <w:r>
        <w:t xml:space="preserve"> (Henderson, 1975) is</w:t>
      </w:r>
    </w:p>
    <w:p w14:paraId="247E638D" w14:textId="77777777" w:rsidR="008E4EBD" w:rsidRDefault="00483AC6">
      <w:pPr>
        <w:pStyle w:val="BodyText"/>
        <w:spacing w:before="0" w:after="160" w:line="240" w:lineRule="atLeast"/>
        <w:jc w:val="center"/>
      </w:pPr>
      <m:oMathPara>
        <m:oMathParaPr>
          <m:jc m:val="center"/>
        </m:oMathParaPr>
        <m:oMath>
          <m:acc>
            <m:accPr>
              <m:chr m:val="̃"/>
              <m:ctrlPr>
                <w:rPr>
                  <w:rFonts w:ascii="Cambria Math" w:hAnsi="Cambria Math"/>
                </w:rPr>
              </m:ctrlPr>
            </m:accPr>
            <m:e>
              <m:r>
                <w:rPr>
                  <w:rFonts w:ascii="Cambria Math" w:hAnsi="Cambria Math"/>
                </w:rPr>
                <m:t>θ</m:t>
              </m:r>
            </m:e>
          </m:acc>
          <m:r>
            <w:rPr>
              <w:rFonts w:ascii="Cambria Math" w:hAnsi="Cambria Math"/>
            </w:rPr>
            <m:t>=</m:t>
          </m:r>
          <m:r>
            <w:rPr>
              <w:rFonts w:ascii="Cambria Math" w:hAnsi="Cambria Math"/>
            </w:rPr>
            <m:t>L</m:t>
          </m:r>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MGZ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r>
            <w:rPr>
              <w:rFonts w:ascii="Cambria Math" w:hAnsi="Cambria Math"/>
            </w:rPr>
            <m:t>y</m:t>
          </m:r>
          <m:r>
            <w:rPr>
              <w:rFonts w:ascii="Cambria Math" w:hAnsi="Cambria Math"/>
            </w:rPr>
            <m:t>-</m:t>
          </m:r>
          <m:r>
            <w:rPr>
              <w:rFonts w:ascii="Cambria Math" w:hAnsi="Cambria Math"/>
            </w:rPr>
            <m:t>X</m:t>
          </m:r>
          <m:acc>
            <m:accPr>
              <m:ctrlPr>
                <w:rPr>
                  <w:rFonts w:ascii="Cambria Math" w:hAnsi="Cambria Math"/>
                </w:rPr>
              </m:ctrlPr>
            </m:accPr>
            <m:e>
              <m:r>
                <w:rPr>
                  <w:rFonts w:ascii="Cambria Math" w:hAnsi="Cambria Math"/>
                </w:rPr>
                <m:t>β</m:t>
              </m:r>
            </m:e>
          </m:acc>
          <m:r>
            <w:rPr>
              <w:rFonts w:ascii="Cambria Math" w:hAnsi="Cambria Math"/>
            </w:rPr>
            <m:t>).</m:t>
          </m:r>
        </m:oMath>
      </m:oMathPara>
    </w:p>
    <w:p w14:paraId="247E638E" w14:textId="77777777" w:rsidR="008E4EBD" w:rsidRDefault="00483AC6">
      <w:pPr>
        <w:pStyle w:val="BodyText"/>
      </w:pPr>
      <w:r>
        <w:t xml:space="preserve">The first term, </w:t>
      </w:r>
      <m:oMath>
        <m:r>
          <w:rPr>
            <w:rFonts w:ascii="Cambria Math" w:hAnsi="Cambria Math"/>
          </w:rPr>
          <m:t>L</m:t>
        </m:r>
        <m:acc>
          <m:accPr>
            <m:ctrlPr>
              <w:rPr>
                <w:rFonts w:ascii="Cambria Math" w:hAnsi="Cambria Math"/>
              </w:rPr>
            </m:ctrlPr>
          </m:accPr>
          <m:e>
            <m:r>
              <w:rPr>
                <w:rFonts w:ascii="Cambria Math" w:hAnsi="Cambria Math"/>
              </w:rPr>
              <m:t>β</m:t>
            </m:r>
          </m:e>
        </m:acc>
      </m:oMath>
      <w:r>
        <w:t xml:space="preserve">, is the regression-synthetic component. The second term, </w:t>
      </w:r>
      <m:oMath>
        <m:r>
          <w:rPr>
            <w:rFonts w:ascii="Cambria Math" w:hAnsi="Cambria Math"/>
          </w:rPr>
          <m:t>MGZ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r>
          <w:rPr>
            <w:rFonts w:ascii="Cambria Math" w:hAnsi="Cambria Math"/>
          </w:rPr>
          <m:t>y</m:t>
        </m:r>
        <m:r>
          <w:rPr>
            <w:rFonts w:ascii="Cambria Math" w:hAnsi="Cambria Math"/>
          </w:rPr>
          <m:t>-</m:t>
        </m:r>
        <m:r>
          <w:rPr>
            <w:rFonts w:ascii="Cambria Math" w:hAnsi="Cambria Math"/>
          </w:rPr>
          <m:t>X</m:t>
        </m:r>
        <m:acc>
          <m:accPr>
            <m:ctrlPr>
              <w:rPr>
                <w:rFonts w:ascii="Cambria Math" w:hAnsi="Cambria Math"/>
              </w:rPr>
            </m:ctrlPr>
          </m:accPr>
          <m:e>
            <m:r>
              <w:rPr>
                <w:rFonts w:ascii="Cambria Math" w:hAnsi="Cambria Math"/>
              </w:rPr>
              <m:t>β</m:t>
            </m:r>
          </m:e>
        </m:acc>
        <m:r>
          <w:rPr>
            <w:rFonts w:ascii="Cambria Math" w:hAnsi="Cambria Math"/>
          </w:rPr>
          <m:t>)</m:t>
        </m:r>
      </m:oMath>
      <w:r>
        <w:t xml:space="preserve">, is the predicted random-effect component: it regresses the unobserved </w:t>
      </w:r>
      <m:oMath>
        <m:r>
          <m:rPr>
            <m:nor/>
          </m:rPr>
          <m:t>Mv</m:t>
        </m:r>
      </m:oMath>
      <w:r>
        <w:t xml:space="preserve"> on the observed GLS residual vector, with regression coefficient </w:t>
      </w:r>
      <m:oMath>
        <m:r>
          <m:rPr>
            <m:nor/>
          </m:rPr>
          <m:t>Cov</m:t>
        </m:r>
        <m:r>
          <w:rPr>
            <w:rFonts w:ascii="Cambria Math" w:hAnsi="Cambria Math"/>
          </w:rPr>
          <m:t>(</m:t>
        </m:r>
        <m:r>
          <w:rPr>
            <w:rFonts w:ascii="Cambria Math" w:hAnsi="Cambria Math"/>
          </w:rPr>
          <m:t>Mv</m:t>
        </m:r>
        <m:r>
          <w:rPr>
            <w:rFonts w:ascii="Cambria Math" w:hAnsi="Cambria Math"/>
          </w:rPr>
          <m:t>,</m:t>
        </m:r>
        <m:r>
          <w:rPr>
            <w:rFonts w:ascii="Cambria Math" w:hAnsi="Cambria Math"/>
          </w:rPr>
          <m:t>y</m:t>
        </m:r>
        <m:r>
          <w:rPr>
            <w:rFonts w:ascii="Cambria Math" w:hAnsi="Cambria Math"/>
          </w:rPr>
          <m:t>) </m:t>
        </m:r>
        <m:r>
          <m:rPr>
            <m:nor/>
          </m:rPr>
          <m:t>Var</m:t>
        </m:r>
        <m:r>
          <w:rPr>
            <w:rFonts w:ascii="Cambria Math" w:hAnsi="Cambria Math"/>
          </w:rPr>
          <m:t>(</m:t>
        </m:r>
        <m:r>
          <w:rPr>
            <w:rFonts w:ascii="Cambria Math" w:hAnsi="Cambria Math"/>
          </w:rPr>
          <m:t>y</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m:t>
        </m:r>
        <m:r>
          <w:rPr>
            <w:rFonts w:ascii="Cambria Math" w:hAnsi="Cambria Math"/>
          </w:rPr>
          <m:t>MGZ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oMath>
      <w:r>
        <w:t xml:space="preserve">. This second term is what makes the FH </w:t>
      </w:r>
      <w:r>
        <w:lastRenderedPageBreak/>
        <w:t xml:space="preserve">predictor different from a GLS fitted value, and it is determined entirely by the covariance matrices </w:t>
      </w:r>
      <m:oMath>
        <m:r>
          <w:rPr>
            <w:rFonts w:ascii="Cambria Math" w:hAnsi="Cambria Math"/>
          </w:rPr>
          <m:t>G</m:t>
        </m:r>
      </m:oMath>
      <w:r>
        <w:t xml:space="preserve"> and </w:t>
      </w:r>
      <m:oMath>
        <m:r>
          <w:rPr>
            <w:rFonts w:ascii="Cambria Math" w:hAnsi="Cambria Math"/>
          </w:rPr>
          <m:t>R</m:t>
        </m:r>
      </m:oMath>
      <w:r>
        <w:t>.</w:t>
      </w:r>
    </w:p>
    <w:p w14:paraId="247E638F" w14:textId="77777777" w:rsidR="008E4EBD" w:rsidRDefault="00483AC6">
      <w:pPr>
        <w:pStyle w:val="BodyText"/>
      </w:pPr>
      <w:r>
        <w:t xml:space="preserve">Three properties of </w:t>
      </w:r>
      <m:oMath>
        <m:acc>
          <m:accPr>
            <m:chr m:val="̃"/>
            <m:ctrlPr>
              <w:rPr>
                <w:rFonts w:ascii="Cambria Math" w:hAnsi="Cambria Math"/>
              </w:rPr>
            </m:ctrlPr>
          </m:accPr>
          <m:e>
            <m:r>
              <w:rPr>
                <w:rFonts w:ascii="Cambria Math" w:hAnsi="Cambria Math"/>
              </w:rPr>
              <m:t>θ</m:t>
            </m:r>
          </m:e>
        </m:acc>
      </m:oMath>
      <w:r>
        <w:t xml:space="preserve"> are worth recording. First, it is unbiased in the prediction sense, </w:t>
      </w:r>
      <m:oMath>
        <m:r>
          <w:rPr>
            <w:rFonts w:ascii="Cambria Math" w:hAnsi="Cambria Math"/>
          </w:rPr>
          <m:t>E</m:t>
        </m:r>
        <m:r>
          <w:rPr>
            <w:rFonts w:ascii="Cambria Math" w:hAnsi="Cambria Math"/>
          </w:rPr>
          <m:t>[</m:t>
        </m:r>
        <m:acc>
          <m:accPr>
            <m:chr m:val="̃"/>
            <m:ctrlPr>
              <w:rPr>
                <w:rFonts w:ascii="Cambria Math" w:hAnsi="Cambria Math"/>
              </w:rPr>
            </m:ctrlPr>
          </m:accPr>
          <m:e>
            <m:r>
              <w:rPr>
                <w:rFonts w:ascii="Cambria Math" w:hAnsi="Cambria Math"/>
              </w:rPr>
              <m:t>θ</m:t>
            </m:r>
          </m:e>
        </m:acc>
        <m:r>
          <w:rPr>
            <w:rFonts w:ascii="Cambria Math" w:hAnsi="Cambria Math"/>
          </w:rPr>
          <m:t>-</m:t>
        </m:r>
        <m:r>
          <w:rPr>
            <w:rFonts w:ascii="Cambria Math" w:hAnsi="Cambria Math"/>
          </w:rPr>
          <m:t>θ</m:t>
        </m:r>
        <m:r>
          <w:rPr>
            <w:rFonts w:ascii="Cambria Math" w:hAnsi="Cambria Math"/>
          </w:rPr>
          <m:t>]=0</m:t>
        </m:r>
      </m:oMath>
      <w:r>
        <w:t xml:space="preserve">, where the expectation is over both </w:t>
      </w:r>
      <m:oMath>
        <m:r>
          <w:rPr>
            <w:rFonts w:ascii="Cambria Math" w:hAnsi="Cambria Math"/>
          </w:rPr>
          <m:t>v</m:t>
        </m:r>
      </m:oMath>
      <w:r>
        <w:t xml:space="preserve"> and </w:t>
      </w:r>
      <m:oMath>
        <m:r>
          <w:rPr>
            <w:rFonts w:ascii="Cambria Math" w:hAnsi="Cambria Math"/>
          </w:rPr>
          <m:t>e</m:t>
        </m:r>
      </m:oMath>
      <w:r>
        <w:t xml:space="preserve">. Second, among linear unbiased predictors, it minimizes the MSE matrix; under joint normality, it coincides with the conditional expectation </w:t>
      </w:r>
      <m:oMath>
        <m:r>
          <w:rPr>
            <w:rFonts w:ascii="Cambria Math" w:hAnsi="Cambria Math"/>
          </w:rPr>
          <m:t>E</m:t>
        </m:r>
        <m:r>
          <w:rPr>
            <w:rFonts w:ascii="Cambria Math" w:hAnsi="Cambria Math"/>
          </w:rPr>
          <m:t>[</m:t>
        </m:r>
        <m:r>
          <w:rPr>
            <w:rFonts w:ascii="Cambria Math" w:hAnsi="Cambria Math"/>
          </w:rPr>
          <m:t>θ</m:t>
        </m:r>
        <m:r>
          <w:rPr>
            <w:rFonts w:ascii="Cambria Math" w:hAnsi="Cambria Math"/>
          </w:rPr>
          <m:t>∣</m:t>
        </m:r>
        <m:r>
          <w:rPr>
            <w:rFonts w:ascii="Cambria Math" w:hAnsi="Cambria Math"/>
          </w:rPr>
          <m:t>y</m:t>
        </m:r>
        <m:r>
          <w:rPr>
            <w:rFonts w:ascii="Cambria Math" w:hAnsi="Cambria Math"/>
          </w:rPr>
          <m:t>]</m:t>
        </m:r>
      </m:oMath>
      <w:r>
        <w:t xml:space="preserve"> up to the substitution of </w:t>
      </w:r>
      <m:oMath>
        <m:acc>
          <m:accPr>
            <m:ctrlPr>
              <w:rPr>
                <w:rFonts w:ascii="Cambria Math" w:hAnsi="Cambria Math"/>
              </w:rPr>
            </m:ctrlPr>
          </m:accPr>
          <m:e>
            <m:r>
              <w:rPr>
                <w:rFonts w:ascii="Cambria Math" w:hAnsi="Cambria Math"/>
              </w:rPr>
              <m:t>β</m:t>
            </m:r>
          </m:e>
        </m:acc>
      </m:oMath>
      <w:r>
        <w:t xml:space="preserve"> for </w:t>
      </w:r>
      <m:oMath>
        <m:r>
          <w:rPr>
            <w:rFonts w:ascii="Cambria Math" w:hAnsi="Cambria Math"/>
          </w:rPr>
          <m:t>β</m:t>
        </m:r>
      </m:oMath>
      <w:r>
        <w:t xml:space="preserve">. Third—and centrally for this paper—the weights </w:t>
      </w:r>
      <m:oMath>
        <m:r>
          <w:rPr>
            <w:rFonts w:ascii="Cambria Math" w:hAnsi="Cambria Math"/>
          </w:rPr>
          <m:t>MGZ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oMath>
      <w:r>
        <w:t xml:space="preserve"> are functions of </w:t>
      </w:r>
      <m:oMath>
        <m:r>
          <w:rPr>
            <w:rFonts w:ascii="Cambria Math" w:hAnsi="Cambria Math"/>
          </w:rPr>
          <m:t>(</m:t>
        </m:r>
        <m:r>
          <w:rPr>
            <w:rFonts w:ascii="Cambria Math" w:hAnsi="Cambria Math"/>
          </w:rPr>
          <m:t>G</m:t>
        </m:r>
        <m:r>
          <w:rPr>
            <w:rFonts w:ascii="Cambria Math" w:hAnsi="Cambria Math"/>
          </w:rPr>
          <m:t>,</m:t>
        </m:r>
        <m:r>
          <w:rPr>
            <w:rFonts w:ascii="Cambria Math" w:hAnsi="Cambria Math"/>
          </w:rPr>
          <m:t>R</m:t>
        </m:r>
        <m:r>
          <w:rPr>
            <w:rFonts w:ascii="Cambria Math" w:hAnsi="Cambria Math"/>
          </w:rPr>
          <m:t>)</m:t>
        </m:r>
      </m:oMath>
      <w:r>
        <w:t xml:space="preserve"> alone; the BLUP is a </w:t>
      </w:r>
      <w:r>
        <w:rPr>
          <w:i/>
        </w:rPr>
        <w:t>covariance-defined</w:t>
      </w:r>
      <w:r>
        <w:t xml:space="preserve"> object.</w:t>
      </w:r>
    </w:p>
    <w:p w14:paraId="247E6390" w14:textId="77777777" w:rsidR="008E4EBD" w:rsidRDefault="00483AC6">
      <w:pPr>
        <w:pStyle w:val="BodyText"/>
      </w:pPr>
      <w:r>
        <w:t xml:space="preserve">In practice </w:t>
      </w:r>
      <m:oMath>
        <m:r>
          <w:rPr>
            <w:rFonts w:ascii="Cambria Math" w:hAnsi="Cambria Math"/>
          </w:rPr>
          <m:t>G</m:t>
        </m:r>
      </m:oMath>
      <w:r>
        <w:t xml:space="preserve"> and </w:t>
      </w:r>
      <m:oMath>
        <m:r>
          <w:rPr>
            <w:rFonts w:ascii="Cambria Math" w:hAnsi="Cambria Math"/>
          </w:rPr>
          <m:t>R</m:t>
        </m:r>
      </m:oMath>
      <w:r>
        <w:t xml:space="preserve"> contain unknown variance and covariance parameters. If these are replaced by consistent estimates (maximum likelihood, restricted maximum likelihood, or method-of-moments), the resulting predictor is the empirical BLUP, or EBLUP:</w:t>
      </w:r>
    </w:p>
    <w:p w14:paraId="247E6391" w14:textId="77777777" w:rsidR="008E4EBD" w:rsidRDefault="00483AC6">
      <w:pPr>
        <w:pStyle w:val="BodyText"/>
        <w:spacing w:before="0" w:after="160" w:line="240" w:lineRule="atLeas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θ</m:t>
                  </m:r>
                </m:e>
              </m:acc>
            </m:e>
            <m:sup>
              <m:r>
                <m:rPr>
                  <m:nor/>
                </m:rPr>
                <m:t>EBLUP</m:t>
              </m:r>
            </m:sup>
          </m:sSup>
          <m:r>
            <w:rPr>
              <w:rFonts w:ascii="Cambria Math" w:hAnsi="Cambria Math"/>
            </w:rPr>
            <m:t>=</m:t>
          </m:r>
          <m:r>
            <w:rPr>
              <w:rFonts w:ascii="Cambria Math" w:hAnsi="Cambria Math"/>
            </w:rPr>
            <m:t>L</m:t>
          </m:r>
          <m:acc>
            <m:accPr>
              <m:ctrlPr>
                <w:rPr>
                  <w:rFonts w:ascii="Cambria Math" w:hAnsi="Cambria Math"/>
                </w:rPr>
              </m:ctrlPr>
            </m:accPr>
            <m:e>
              <m:r>
                <w:rPr>
                  <w:rFonts w:ascii="Cambria Math" w:hAnsi="Cambria Math"/>
                </w:rPr>
                <m:t>β</m:t>
              </m:r>
            </m:e>
          </m:acc>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r>
            <w:rPr>
              <w:rFonts w:ascii="Cambria Math" w:hAnsi="Cambria Math"/>
            </w:rPr>
            <m:t>M</m:t>
          </m:r>
          <m:acc>
            <m:accPr>
              <m:ctrlPr>
                <w:rPr>
                  <w:rFonts w:ascii="Cambria Math" w:hAnsi="Cambria Math"/>
                </w:rPr>
              </m:ctrlPr>
            </m:accPr>
            <m:e>
              <m:r>
                <w:rPr>
                  <w:rFonts w:ascii="Cambria Math" w:hAnsi="Cambria Math"/>
                </w:rPr>
                <m:t>G</m:t>
              </m:r>
            </m:e>
          </m:acc>
          <m:r>
            <w:rPr>
              <w:rFonts w:ascii="Cambria Math" w:hAnsi="Cambria Math"/>
            </w:rPr>
            <m:t>Z</m:t>
          </m:r>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V</m:t>
                  </m:r>
                </m:e>
              </m:acc>
            </m:e>
            <m:sup>
              <m:r>
                <w:rPr>
                  <w:rFonts w:ascii="Cambria Math" w:hAnsi="Cambria Math"/>
                </w:rPr>
                <m:t>-1</m:t>
              </m:r>
            </m:sup>
          </m:sSup>
          <m:d>
            <m:dPr>
              <m:begChr m:val="["/>
              <m:endChr m:val="]"/>
              <m:ctrlPr>
                <w:rPr>
                  <w:rFonts w:ascii="Cambria Math" w:hAnsi="Cambria Math"/>
                </w:rPr>
              </m:ctrlPr>
            </m:dPr>
            <m:e>
              <m:r>
                <w:rPr>
                  <w:rFonts w:ascii="Cambria Math" w:hAnsi="Cambria Math"/>
                </w:rPr>
                <m:t> </m:t>
              </m:r>
              <m:r>
                <w:rPr>
                  <w:rFonts w:ascii="Cambria Math" w:hAnsi="Cambria Math"/>
                </w:rPr>
                <m:t>y</m:t>
              </m:r>
              <m:r>
                <w:rPr>
                  <w:rFonts w:ascii="Cambria Math" w:hAnsi="Cambria Math"/>
                </w:rPr>
                <m:t>-</m:t>
              </m:r>
              <m:r>
                <w:rPr>
                  <w:rFonts w:ascii="Cambria Math" w:hAnsi="Cambria Math"/>
                </w:rPr>
                <m:t>X</m:t>
              </m:r>
              <m:acc>
                <m:accPr>
                  <m:ctrlPr>
                    <w:rPr>
                      <w:rFonts w:ascii="Cambria Math" w:hAnsi="Cambria Math"/>
                    </w:rPr>
                  </m:ctrlPr>
                </m:accPr>
                <m:e>
                  <m:r>
                    <w:rPr>
                      <w:rFonts w:ascii="Cambria Math" w:hAnsi="Cambria Math"/>
                    </w:rPr>
                    <m:t>β</m:t>
                  </m:r>
                </m:e>
              </m:acc>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 </m:t>
              </m:r>
            </m:e>
          </m:d>
          <m:r>
            <w:rPr>
              <w:rFonts w:ascii="Cambria Math" w:hAnsi="Cambria Math"/>
            </w:rPr>
            <m:t>.</m:t>
          </m:r>
        </m:oMath>
      </m:oMathPara>
    </w:p>
    <w:p w14:paraId="247E6392" w14:textId="77777777" w:rsidR="008E4EBD" w:rsidRDefault="00483AC6">
      <w:pPr>
        <w:pStyle w:val="BodyText"/>
      </w:pPr>
      <w:r>
        <w:t>Kackar and Harville (1984) show that under symmetric distributions of the random components and even, translation-invariant variance-component estimators, the EBLUP remains unbiased; Prasad and Rao (1990) and Datta and Lahiri (2000) develop second-order approximations to its MSE that account for the additional variability from estimating the variance components. We return to MSE estimation in Section 12.</w:t>
      </w:r>
    </w:p>
    <w:p w14:paraId="247E6393" w14:textId="77777777" w:rsidR="008E4EBD" w:rsidRDefault="00483AC6">
      <w:pPr>
        <w:pStyle w:val="Heading1"/>
      </w:pPr>
      <w:bookmarkStart w:id="8" w:name="X2217130b2d6cb0984f81c6361ba811de19b6519"/>
      <w:r>
        <w:t>5. Covariance misspecification and the working-model BLUP</w:t>
      </w:r>
      <w:bookmarkEnd w:id="8"/>
    </w:p>
    <w:p w14:paraId="247E6394" w14:textId="77777777" w:rsidR="008E4EBD" w:rsidRDefault="00483AC6">
      <w:pPr>
        <w:pStyle w:val="FirstParagraph"/>
      </w:pPr>
      <w:r>
        <w:t xml:space="preserve">Suppose now that the analyst works with covariance matrices </w:t>
      </w:r>
      <m:oMath>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oMath>
      <w:r>
        <w:t xml:space="preserve"> —and hence </w:t>
      </w:r>
      <m:oMath>
        <m:sSup>
          <m:sSupPr>
            <m:ctrlPr>
              <w:rPr>
                <w:rFonts w:ascii="Cambria Math" w:hAnsi="Cambria Math"/>
              </w:rPr>
            </m:ctrlPr>
          </m:sSupPr>
          <m:e>
            <m:r>
              <w:rPr>
                <w:rFonts w:ascii="Cambria Math" w:hAnsi="Cambria Math"/>
              </w:rPr>
              <m:t>V</m:t>
            </m:r>
          </m:e>
          <m:sup>
            <m:r>
              <w:rPr>
                <w:rFonts w:ascii="Cambria Math" w:hAnsi="Cambria Math"/>
              </w:rPr>
              <m:t>*</m:t>
            </m:r>
          </m:sup>
        </m:sSup>
        <m: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t>
            </m:r>
          </m:sup>
        </m:sSup>
      </m:oMath>
      <w:r>
        <w:t xml:space="preserve"> —that differ from the true </w:t>
      </w:r>
      <m:oMath>
        <m:r>
          <w:rPr>
            <w:rFonts w:ascii="Cambria Math" w:hAnsi="Cambria Math"/>
          </w:rPr>
          <m:t>(</m:t>
        </m:r>
        <m:r>
          <w:rPr>
            <w:rFonts w:ascii="Cambria Math" w:hAnsi="Cambria Math"/>
          </w:rPr>
          <m:t>G</m:t>
        </m:r>
        <m:r>
          <w:rPr>
            <w:rFonts w:ascii="Cambria Math" w:hAnsi="Cambria Math"/>
          </w:rPr>
          <m:t>,</m:t>
        </m:r>
        <m:r>
          <w:rPr>
            <w:rFonts w:ascii="Cambria Math" w:hAnsi="Cambria Math"/>
          </w:rPr>
          <m:t>R</m:t>
        </m:r>
        <m:r>
          <w:rPr>
            <w:rFonts w:ascii="Cambria Math" w:hAnsi="Cambria Math"/>
          </w:rPr>
          <m:t>)</m:t>
        </m:r>
      </m:oMath>
      <w:r>
        <w:t>. The resulting predictor,</w:t>
      </w:r>
    </w:p>
    <w:p w14:paraId="247E6395" w14:textId="77777777" w:rsidR="008E4EBD" w:rsidRDefault="00483AC6">
      <w:pPr>
        <w:pStyle w:val="BodyText"/>
        <w:spacing w:before="0" w:after="160" w:line="240" w:lineRule="atLeast"/>
        <w:jc w:val="center"/>
      </w:pPr>
      <m:oMathPara>
        <m:oMathParaPr>
          <m:jc m:val="center"/>
        </m:oMathParaPr>
        <m:oMath>
          <m:sSup>
            <m:sSupPr>
              <m:ctrlPr>
                <w:rPr>
                  <w:rFonts w:ascii="Cambria Math" w:hAnsi="Cambria Math"/>
                </w:rPr>
              </m:ctrlPr>
            </m:sSupPr>
            <m:e>
              <m:acc>
                <m:accPr>
                  <m:chr m:val="̃"/>
                  <m:ctrlPr>
                    <w:rPr>
                      <w:rFonts w:ascii="Cambria Math" w:hAnsi="Cambria Math"/>
                    </w:rPr>
                  </m:ctrlPr>
                </m:accPr>
                <m:e>
                  <m:r>
                    <w:rPr>
                      <w:rFonts w:ascii="Cambria Math" w:hAnsi="Cambria Math"/>
                    </w:rPr>
                    <m:t>θ</m:t>
                  </m:r>
                </m:e>
              </m:acc>
            </m:e>
            <m:sup>
              <m:r>
                <w:rPr>
                  <w:rFonts w:ascii="Cambria Math" w:hAnsi="Cambria Math"/>
                </w:rPr>
                <m:t>*</m:t>
              </m:r>
            </m:sup>
          </m:sSup>
          <m:r>
            <w:rPr>
              <w:rFonts w:ascii="Cambria Math" w:hAnsi="Cambria Math"/>
            </w:rPr>
            <m:t>=</m:t>
          </m:r>
          <m:r>
            <w:rPr>
              <w:rFonts w:ascii="Cambria Math" w:hAnsi="Cambria Math"/>
            </w:rPr>
            <m:t>L</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sSup>
                <m:sSupPr>
                  <m:ctrlPr>
                    <w:rPr>
                      <w:rFonts w:ascii="Cambria Math" w:hAnsi="Cambria Math"/>
                    </w:rPr>
                  </m:ctrlPr>
                </m:sSupPr>
                <m:e>
                  <m:r>
                    <w:rPr>
                      <w:rFonts w:ascii="Cambria Math" w:hAnsi="Cambria Math"/>
                    </w:rPr>
                    <m:t>V</m:t>
                  </m:r>
                </m:e>
                <m:sup>
                  <m:r>
                    <w:rPr>
                      <w:rFonts w:ascii="Cambria Math" w:hAnsi="Cambria Math"/>
                    </w:rPr>
                    <m:t>*</m:t>
                  </m:r>
                </m:sup>
              </m:sSup>
            </m:sub>
          </m:sSub>
          <m:r>
            <w:rPr>
              <w:rFonts w:ascii="Cambria Math" w:hAnsi="Cambria Math"/>
            </w:rPr>
            <m:t>+</m:t>
          </m:r>
          <m:r>
            <w:rPr>
              <w:rFonts w:ascii="Cambria Math" w:hAnsi="Cambria Math"/>
            </w:rPr>
            <m:t>M</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r>
            <w:rPr>
              <w:rFonts w:ascii="Cambria Math" w:hAnsi="Cambria Math"/>
            </w:rPr>
            <m:t>y</m:t>
          </m:r>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sSup>
                <m:sSupPr>
                  <m:ctrlPr>
                    <w:rPr>
                      <w:rFonts w:ascii="Cambria Math" w:hAnsi="Cambria Math"/>
                    </w:rPr>
                  </m:ctrlPr>
                </m:sSupPr>
                <m:e>
                  <m:r>
                    <w:rPr>
                      <w:rFonts w:ascii="Cambria Math" w:hAnsi="Cambria Math"/>
                    </w:rPr>
                    <m:t>V</m:t>
                  </m:r>
                </m:e>
                <m:sup>
                  <m:r>
                    <w:rPr>
                      <w:rFonts w:ascii="Cambria Math" w:hAnsi="Cambria Math"/>
                    </w:rPr>
                    <m:t>*</m:t>
                  </m:r>
                </m:sup>
              </m:sSup>
            </m:sub>
          </m:sSub>
          <m:r>
            <w:rPr>
              <w:rFonts w:ascii="Cambria Math" w:hAnsi="Cambria Math"/>
            </w:rPr>
            <m:t>),</m:t>
          </m:r>
        </m:oMath>
      </m:oMathPara>
    </w:p>
    <w:p w14:paraId="247E6396" w14:textId="77777777" w:rsidR="008E4EBD" w:rsidRDefault="00483AC6">
      <w:pPr>
        <w:pStyle w:val="BodyText"/>
      </w:pPr>
      <w:r>
        <w:t xml:space="preserve">is simply the BLUP under the working model, evaluated at data generated by the true model. Its properties under the true model are easily characterized. Because </w:t>
      </w:r>
      <m:oMath>
        <m:r>
          <w:rPr>
            <w:rFonts w:ascii="Cambria Math" w:hAnsi="Cambria Math"/>
          </w:rPr>
          <m:t>E</m:t>
        </m:r>
        <m:r>
          <w:rPr>
            <w:rFonts w:ascii="Cambria Math" w:hAnsi="Cambria Math"/>
          </w:rPr>
          <m:t>[</m:t>
        </m:r>
        <m:r>
          <w:rPr>
            <w:rFonts w:ascii="Cambria Math" w:hAnsi="Cambria Math"/>
          </w:rPr>
          <m:t>y</m:t>
        </m:r>
        <m:r>
          <w:rPr>
            <w:rFonts w:ascii="Cambria Math" w:hAnsi="Cambria Math"/>
          </w:rPr>
          <m:t>-</m:t>
        </m:r>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sSup>
              <m:sSupPr>
                <m:ctrlPr>
                  <w:rPr>
                    <w:rFonts w:ascii="Cambria Math" w:hAnsi="Cambria Math"/>
                  </w:rPr>
                </m:ctrlPr>
              </m:sSupPr>
              <m:e>
                <m:r>
                  <w:rPr>
                    <w:rFonts w:ascii="Cambria Math" w:hAnsi="Cambria Math"/>
                  </w:rPr>
                  <m:t>V</m:t>
                </m:r>
              </m:e>
              <m:sup>
                <m:r>
                  <w:rPr>
                    <w:rFonts w:ascii="Cambria Math" w:hAnsi="Cambria Math"/>
                  </w:rPr>
                  <m:t>*</m:t>
                </m:r>
              </m:sup>
            </m:sSup>
          </m:sub>
        </m:sSub>
        <m:r>
          <w:rPr>
            <w:rFonts w:ascii="Cambria Math" w:hAnsi="Cambria Math"/>
          </w:rPr>
          <m:t>]=0</m:t>
        </m:r>
      </m:oMath>
      <w:r>
        <w:t xml:space="preserve"> whenever the mean model is correct, this working-model predictor remains unbiased in the prediction sense. But its prediction weights, </w:t>
      </w:r>
      <m:oMath>
        <m:r>
          <w:rPr>
            <w:rFonts w:ascii="Cambria Math" w:hAnsi="Cambria Math"/>
          </w:rPr>
          <m:t>M</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oMath>
      <w:r>
        <w:t xml:space="preserve">, differ from the optimal weights </w:t>
      </w:r>
      <m:oMath>
        <m:r>
          <w:rPr>
            <w:rFonts w:ascii="Cambria Math" w:hAnsi="Cambria Math"/>
          </w:rPr>
          <m:t>MGZ</m:t>
        </m:r>
        <m:r>
          <w:rPr>
            <w:rFonts w:ascii="Cambria Math" w:hAnsi="Cambria Math"/>
          </w:rPr>
          <m:t>'</m:t>
        </m:r>
        <m:sSup>
          <m:sSupPr>
            <m:ctrlPr>
              <w:rPr>
                <w:rFonts w:ascii="Cambria Math" w:hAnsi="Cambria Math"/>
              </w:rPr>
            </m:ctrlPr>
          </m:sSupPr>
          <m:e>
            <m:r>
              <w:rPr>
                <w:rFonts w:ascii="Cambria Math" w:hAnsi="Cambria Math"/>
              </w:rPr>
              <m:t>V</m:t>
            </m:r>
          </m:e>
          <m:sup>
            <m:r>
              <w:rPr>
                <w:rFonts w:ascii="Cambria Math" w:hAnsi="Cambria Math"/>
              </w:rPr>
              <m:t>-1</m:t>
            </m:r>
          </m:sup>
        </m:sSup>
      </m:oMath>
      <w:r>
        <w:t xml:space="preserve">, so it is no longer </w:t>
      </w:r>
      <w:r>
        <w:rPr>
          <w:i/>
        </w:rPr>
        <w:t>best</w:t>
      </w:r>
      <w:r>
        <w:t>: its MSE exceeds that of the true BLUP, and the excess does not vanish as the number of areas grows, because the weights converge to the wrong limits.</w:t>
      </w:r>
    </w:p>
    <w:p w14:paraId="247E6397" w14:textId="77777777" w:rsidR="008E4EBD" w:rsidRDefault="00483AC6">
      <w:pPr>
        <w:pStyle w:val="BodyText"/>
      </w:pPr>
      <w:r>
        <w:t xml:space="preserve">It is worth being precise about what fails and what does not. Consistency of </w:t>
      </w:r>
      <m:oMath>
        <m:sSub>
          <m:sSubPr>
            <m:ctrlPr>
              <w:rPr>
                <w:rFonts w:ascii="Cambria Math" w:hAnsi="Cambria Math"/>
              </w:rPr>
            </m:ctrlPr>
          </m:sSubPr>
          <m:e>
            <m:acc>
              <m:accPr>
                <m:ctrlPr>
                  <w:rPr>
                    <w:rFonts w:ascii="Cambria Math" w:hAnsi="Cambria Math"/>
                  </w:rPr>
                </m:ctrlPr>
              </m:accPr>
              <m:e>
                <m:r>
                  <w:rPr>
                    <w:rFonts w:ascii="Cambria Math" w:hAnsi="Cambria Math"/>
                  </w:rPr>
                  <m:t>β</m:t>
                </m:r>
              </m:e>
            </m:acc>
          </m:e>
          <m:sub>
            <m:sSup>
              <m:sSupPr>
                <m:ctrlPr>
                  <w:rPr>
                    <w:rFonts w:ascii="Cambria Math" w:hAnsi="Cambria Math"/>
                  </w:rPr>
                </m:ctrlPr>
              </m:sSupPr>
              <m:e>
                <m:r>
                  <w:rPr>
                    <w:rFonts w:ascii="Cambria Math" w:hAnsi="Cambria Math"/>
                  </w:rPr>
                  <m:t>V</m:t>
                </m:r>
              </m:e>
              <m:sup>
                <m:r>
                  <w:rPr>
                    <w:rFonts w:ascii="Cambria Math" w:hAnsi="Cambria Math"/>
                  </w:rPr>
                  <m:t>*</m:t>
                </m:r>
              </m:sup>
            </m:sSup>
          </m:sub>
        </m:sSub>
      </m:oMath>
      <w:r>
        <w:t xml:space="preserve"> for </w:t>
      </w:r>
      <m:oMath>
        <m:r>
          <w:rPr>
            <w:rFonts w:ascii="Cambria Math" w:hAnsi="Cambria Math"/>
          </w:rPr>
          <m:t>β</m:t>
        </m:r>
      </m:oMath>
      <w:r>
        <w:t xml:space="preserve"> is preserved (under standard conditions), and prediction unbiasedness is preserved. What fails is convergence to the true BLUP: when the variance parameters of the working model are estimated consistently for the working model, the EBLUP converges to </w:t>
      </w:r>
      <m:oMath>
        <m:sSup>
          <m:sSupPr>
            <m:ctrlPr>
              <w:rPr>
                <w:rFonts w:ascii="Cambria Math" w:hAnsi="Cambria Math"/>
              </w:rPr>
            </m:ctrlPr>
          </m:sSupPr>
          <m:e>
            <m:acc>
              <m:accPr>
                <m:chr m:val="̃"/>
                <m:ctrlPr>
                  <w:rPr>
                    <w:rFonts w:ascii="Cambria Math" w:hAnsi="Cambria Math"/>
                  </w:rPr>
                </m:ctrlPr>
              </m:accPr>
              <m:e>
                <m:r>
                  <w:rPr>
                    <w:rFonts w:ascii="Cambria Math" w:hAnsi="Cambria Math"/>
                  </w:rPr>
                  <m:t>θ</m:t>
                </m:r>
              </m:e>
            </m:acc>
          </m:e>
          <m:sup>
            <m:r>
              <w:rPr>
                <w:rFonts w:ascii="Cambria Math" w:hAnsi="Cambria Math"/>
              </w:rPr>
              <m:t>*</m:t>
            </m:r>
          </m:sup>
        </m:sSup>
      </m:oMath>
      <w:r>
        <w:t xml:space="preserve">, the BLUP under the working model, not to the true BLUP </w:t>
      </w:r>
      <m:oMath>
        <m:acc>
          <m:accPr>
            <m:chr m:val="̃"/>
            <m:ctrlPr>
              <w:rPr>
                <w:rFonts w:ascii="Cambria Math" w:hAnsi="Cambria Math"/>
              </w:rPr>
            </m:ctrlPr>
          </m:accPr>
          <m:e>
            <m:r>
              <w:rPr>
                <w:rFonts w:ascii="Cambria Math" w:hAnsi="Cambria Math"/>
              </w:rPr>
              <m:t>θ</m:t>
            </m:r>
          </m:e>
        </m:acc>
      </m:oMath>
      <w:r>
        <w:t>. The estimator targets the wrong prediction rule. Statements in applied work to the effect that covariance misspecification “breaks unbiasedness” are therefore imprecise; the accurate statement is that it changes the predictor’s probability limit away from the optimal predictor. The practical magnitude of the resulting MSE inflation depends on how far the working weights are from the optimal ones, which is an empirical question that the Monte Carlo study of Section 11 addresses.</w:t>
      </w:r>
    </w:p>
    <w:p w14:paraId="247E6398" w14:textId="45FEF4B3" w:rsidR="008E4EBD" w:rsidRDefault="00483AC6">
      <w:pPr>
        <w:pStyle w:val="BodyText"/>
      </w:pPr>
      <w:r>
        <w:lastRenderedPageBreak/>
        <w:t xml:space="preserve">Note, finally, that the misspecification may originate in either covariance component. The working pair </w:t>
      </w:r>
      <m:oMath>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oMath>
      <w:r>
        <w:t xml:space="preserve"> can be wrong because the model for the random effects is wrong (</w:t>
      </w:r>
      <m:oMath>
        <m:sSup>
          <m:sSupPr>
            <m:ctrlPr>
              <w:rPr>
                <w:rFonts w:ascii="Cambria Math" w:hAnsi="Cambria Math"/>
              </w:rPr>
            </m:ctrlPr>
          </m:sSupPr>
          <m:e>
            <m:r>
              <w:rPr>
                <w:rFonts w:ascii="Cambria Math" w:hAnsi="Cambria Math"/>
              </w:rPr>
              <m:t>G</m:t>
            </m:r>
          </m:e>
          <m:sup>
            <m:r>
              <w:rPr>
                <w:rFonts w:ascii="Cambria Math" w:hAnsi="Cambria Math"/>
              </w:rPr>
              <m:t>*</m:t>
            </m:r>
          </m:sup>
        </m:sSup>
        <m:r>
          <w:rPr>
            <w:rFonts w:ascii="Cambria Math" w:hAnsi="Cambria Math"/>
          </w:rPr>
          <m:t>≠</m:t>
        </m:r>
        <m:r>
          <w:rPr>
            <w:rFonts w:ascii="Cambria Math" w:hAnsi="Cambria Math"/>
          </w:rPr>
          <m:t>G</m:t>
        </m:r>
      </m:oMath>
      <w:r>
        <w:t>), because the assumed sampling-error covariance is wrong (</w:t>
      </w:r>
      <m:oMath>
        <m:sSup>
          <m:sSupPr>
            <m:ctrlPr>
              <w:rPr>
                <w:rFonts w:ascii="Cambria Math" w:hAnsi="Cambria Math"/>
              </w:rPr>
            </m:ctrlPr>
          </m:sSupPr>
          <m:e>
            <m:r>
              <w:rPr>
                <w:rFonts w:ascii="Cambria Math" w:hAnsi="Cambria Math"/>
              </w:rPr>
              <m:t>R</m:t>
            </m:r>
          </m:e>
          <m:sup>
            <m:r>
              <w:rPr>
                <w:rFonts w:ascii="Cambria Math" w:hAnsi="Cambria Math"/>
              </w:rPr>
              <m:t>*</m:t>
            </m:r>
          </m:sup>
        </m:sSup>
        <m:r>
          <w:rPr>
            <w:rFonts w:ascii="Cambria Math" w:hAnsi="Cambria Math"/>
          </w:rPr>
          <m:t>≠</m:t>
        </m:r>
        <m:r>
          <w:rPr>
            <w:rFonts w:ascii="Cambria Math" w:hAnsi="Cambria Math"/>
          </w:rPr>
          <m:t>R</m:t>
        </m:r>
      </m:oMath>
      <w:r>
        <w:t xml:space="preserve">), or both. In the FH context, </w:t>
      </w:r>
      <m:oMath>
        <m:r>
          <w:rPr>
            <w:rFonts w:ascii="Cambria Math" w:hAnsi="Cambria Math"/>
          </w:rPr>
          <m:t>R</m:t>
        </m:r>
      </m:oMath>
      <w:r>
        <w:t xml:space="preserve"> is the covariance matrix of the sampling errors. Applied practice routinely treats its diagonal—the sampling variances—as known from the survey, but then sets all off-diagonal terms to zero by default. When direct estimates for the same area in different years share </w:t>
      </w:r>
      <w:r w:rsidR="00C54403">
        <w:t xml:space="preserve">a </w:t>
      </w:r>
      <w:r>
        <w:t xml:space="preserve">sample (rotating panels, overlapping samples of primary sampling units), that default is itself a covariance misspecification, and it prevents convergence to the true BLUP in exactly the sense just described, even if </w:t>
      </w:r>
      <m:oMath>
        <m:r>
          <w:rPr>
            <w:rFonts w:ascii="Cambria Math" w:hAnsi="Cambria Math"/>
          </w:rPr>
          <m:t>G</m:t>
        </m:r>
      </m:oMath>
      <w:r>
        <w:t xml:space="preserve"> is modeled flexibly and estimated well. Section 11 quantifies this case.</w:t>
      </w:r>
    </w:p>
    <w:p w14:paraId="247E6399" w14:textId="77777777" w:rsidR="008E4EBD" w:rsidRDefault="00483AC6">
      <w:pPr>
        <w:pStyle w:val="BodyText"/>
      </w:pPr>
      <w:r>
        <w:t xml:space="preserve">The same logic explains why the issue is far more serious for prediction than for mean estimation. In the conditional-mean problem, the covariance matrix enters only as a weighting device, and any fixed positive definite weighting yields a consistent estimator of </w:t>
      </w:r>
      <m:oMath>
        <m:r>
          <w:rPr>
            <w:rFonts w:ascii="Cambria Math" w:hAnsi="Cambria Math"/>
          </w:rPr>
          <m:t>β</m:t>
        </m:r>
      </m:oMath>
      <w:r>
        <w:t xml:space="preserve">. In the prediction problem, the covariance matrix enters the </w:t>
      </w:r>
      <w:r>
        <w:rPr>
          <w:i/>
        </w:rPr>
        <w:t>definition</w:t>
      </w:r>
      <w:r>
        <w:t xml:space="preserve"> of the target rule: the BLUP is a projection of the realized random effect on the data, and the projection coefficients are covariances. There is no analog of the sandwich correction that restores optimality after the fact.</w:t>
      </w:r>
    </w:p>
    <w:p w14:paraId="247E639A" w14:textId="77777777" w:rsidR="008E4EBD" w:rsidRDefault="00483AC6">
      <w:pPr>
        <w:pStyle w:val="Heading1"/>
      </w:pPr>
      <w:bookmarkStart w:id="9" w:name="the-univariate-fayherriot-model"/>
      <w:r>
        <w:t>6. The univariate Fay–Herriot model</w:t>
      </w:r>
      <w:bookmarkEnd w:id="9"/>
    </w:p>
    <w:p w14:paraId="247E639B" w14:textId="77777777" w:rsidR="008E4EBD" w:rsidRDefault="00483AC6">
      <w:pPr>
        <w:pStyle w:val="FirstParagraph"/>
      </w:pPr>
      <w:r>
        <w:t>For a single time period, the univariate Fay–Herriot model is</w:t>
      </w:r>
    </w:p>
    <w:p w14:paraId="247E639C"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m:t>
          </m:r>
          <m:r>
            <w:rPr>
              <w:rFonts w:ascii="Cambria Math" w:hAnsi="Cambria Math"/>
            </w:rPr>
            <m:t>i</m:t>
          </m:r>
          <m:r>
            <w:rPr>
              <w:rFonts w:ascii="Cambria Math" w:hAnsi="Cambria Math"/>
            </w:rPr>
            <m:t>=1,…,</m:t>
          </m:r>
          <m:r>
            <w:rPr>
              <w:rFonts w:ascii="Cambria Math" w:hAnsi="Cambria Math"/>
            </w:rPr>
            <m:t>m</m:t>
          </m:r>
          <m:r>
            <w:rPr>
              <w:rFonts w:ascii="Cambria Math" w:hAnsi="Cambria Math"/>
            </w:rPr>
            <m:t>,</m:t>
          </m:r>
        </m:oMath>
      </m:oMathPara>
    </w:p>
    <w:p w14:paraId="247E639D"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∼(0,</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nor/>
            </m:rPr>
            <m:t>Cov</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)=0,</m:t>
          </m:r>
        </m:oMath>
      </m:oMathPara>
    </w:p>
    <w:p w14:paraId="247E639E" w14:textId="77777777" w:rsidR="008E4EBD" w:rsidRDefault="00483AC6">
      <w:pPr>
        <w:pStyle w:val="BodyText"/>
      </w:pPr>
      <w:r>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direct estimate for area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its sampling variance (treated as known, following Fay and Herriot, 1979), and </w:t>
      </w: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the area parameter. This is the special case of the general model of Section 4 with </w:t>
      </w:r>
      <m:oMath>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m:t>
            </m:r>
          </m:sub>
        </m:sSub>
      </m:oMath>
      <w:r>
        <w:t xml:space="preserve">, </w:t>
      </w:r>
      <m:oMath>
        <m:r>
          <w:rPr>
            <w:rFonts w:ascii="Cambria Math" w:hAnsi="Cambria Math"/>
          </w:rPr>
          <m:t>G</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I</m:t>
            </m:r>
          </m:e>
          <m:sub>
            <m:r>
              <w:rPr>
                <w:rFonts w:ascii="Cambria Math" w:hAnsi="Cambria Math"/>
              </w:rPr>
              <m:t>m</m:t>
            </m:r>
          </m:sub>
        </m:sSub>
      </m:oMath>
      <w:r>
        <w:t xml:space="preserve">, and </w:t>
      </w:r>
      <m:oMath>
        <m:r>
          <w:rPr>
            <w:rFonts w:ascii="Cambria Math" w:hAnsi="Cambria Math"/>
          </w:rPr>
          <m:t>R</m:t>
        </m:r>
        <m:r>
          <w:rPr>
            <w:rFonts w:ascii="Cambria Math" w:hAnsi="Cambria Math"/>
          </w:rPr>
          <m:t>=</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m:t>
            </m:r>
          </m:sub>
        </m:sSub>
        <m:r>
          <w:rPr>
            <w:rFonts w:ascii="Cambria Math" w:hAnsi="Cambria Math"/>
          </w:rPr>
          <m:t>)</m:t>
        </m:r>
      </m:oMath>
      <w:r>
        <w:t xml:space="preserve">. With </w:t>
      </w:r>
      <m:oMath>
        <m:r>
          <w:rPr>
            <w:rFonts w:ascii="Cambria Math" w:hAnsi="Cambria Math"/>
          </w:rPr>
          <m:t>A</m:t>
        </m:r>
      </m:oMath>
      <w:r>
        <w:t xml:space="preserve"> known, the BLUP specializes to the familiar shrinkage form</w:t>
      </w:r>
    </w:p>
    <w:p w14:paraId="247E639F"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47E63A0" w14:textId="77777777" w:rsidR="008E4EBD" w:rsidRDefault="00483AC6">
      <w:pPr>
        <w:pStyle w:val="BodyText"/>
      </w:pPr>
      <w:r>
        <w:t>or equivalently</w:t>
      </w:r>
    </w:p>
    <w:p w14:paraId="247E63A1"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A</m:t>
              </m:r>
            </m:num>
            <m:den>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den>
          </m:f>
          <m:r>
            <w:rPr>
              <w:rFonts w:ascii="Cambria Math" w:hAnsi="Cambria Math"/>
            </w:rPr>
            <m:t>.</m:t>
          </m:r>
        </m:oMath>
      </m:oMathPara>
    </w:p>
    <w:p w14:paraId="247E63A2" w14:textId="77777777" w:rsidR="008E4EBD" w:rsidRDefault="00483AC6">
      <w:pPr>
        <w:pStyle w:val="BodyText"/>
      </w:pPr>
      <w:r>
        <w:t xml:space="preserve">The EBLUP replaces </w:t>
      </w:r>
      <m:oMath>
        <m:r>
          <w:rPr>
            <w:rFonts w:ascii="Cambria Math" w:hAnsi="Cambria Math"/>
          </w:rPr>
          <m:t>A</m:t>
        </m:r>
      </m:oMath>
      <w:r>
        <w:t xml:space="preserve"> by an estimate </w:t>
      </w:r>
      <m:oMath>
        <m:acc>
          <m:accPr>
            <m:ctrlPr>
              <w:rPr>
                <w:rFonts w:ascii="Cambria Math" w:hAnsi="Cambria Math"/>
              </w:rPr>
            </m:ctrlPr>
          </m:accPr>
          <m:e>
            <m:r>
              <w:rPr>
                <w:rFonts w:ascii="Cambria Math" w:hAnsi="Cambria Math"/>
              </w:rPr>
              <m:t>A</m:t>
            </m:r>
          </m:e>
        </m:acc>
      </m:oMath>
      <w:r>
        <w:t xml:space="preserve"> (moment, ML, or REML) and </w:t>
      </w:r>
      <m:oMath>
        <m:r>
          <w:rPr>
            <w:rFonts w:ascii="Cambria Math" w:hAnsi="Cambria Math"/>
          </w:rPr>
          <m:t>β</m:t>
        </m:r>
      </m:oMath>
      <w:r>
        <w:t xml:space="preserve"> by the corresponding GLS estimate:</w:t>
      </w:r>
    </w:p>
    <w:p w14:paraId="247E63A3"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t>
              </m:r>
            </m:sub>
            <m:sup>
              <m:r>
                <m:rPr>
                  <m:nor/>
                </m:rPr>
                <m:t>UFH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i</m:t>
              </m:r>
            </m:sub>
          </m:sSub>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 </m:t>
              </m:r>
            </m:e>
          </m:d>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i</m:t>
              </m:r>
            </m:sub>
          </m:sSub>
          <m:r>
            <w:rPr>
              <w:rFonts w:ascii="Cambria Math" w:hAnsi="Cambria Math"/>
            </w:rPr>
            <m:t>=</m:t>
          </m:r>
          <m:f>
            <m:fPr>
              <m:ctrlPr>
                <w:rPr>
                  <w:rFonts w:ascii="Cambria Math" w:hAnsi="Cambria Math"/>
                </w:rPr>
              </m:ctrlPr>
            </m:fPr>
            <m:num>
              <m:acc>
                <m:accPr>
                  <m:ctrlPr>
                    <w:rPr>
                      <w:rFonts w:ascii="Cambria Math" w:hAnsi="Cambria Math"/>
                    </w:rPr>
                  </m:ctrlPr>
                </m:accPr>
                <m:e>
                  <m:r>
                    <w:rPr>
                      <w:rFonts w:ascii="Cambria Math" w:hAnsi="Cambria Math"/>
                    </w:rPr>
                    <m:t>A</m:t>
                  </m:r>
                </m:e>
              </m:acc>
            </m:num>
            <m:den>
              <m:acc>
                <m:accPr>
                  <m:ctrlPr>
                    <w:rPr>
                      <w:rFonts w:ascii="Cambria Math" w:hAnsi="Cambria Math"/>
                    </w:rPr>
                  </m:ctrlPr>
                </m:accPr>
                <m:e>
                  <m:r>
                    <w:rPr>
                      <w:rFonts w:ascii="Cambria Math" w:hAnsi="Cambria Math"/>
                    </w:rPr>
                    <m:t>A</m:t>
                  </m:r>
                </m:e>
              </m:acc>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den>
          </m:f>
          <m:r>
            <w:rPr>
              <w:rFonts w:ascii="Cambria Math" w:hAnsi="Cambria Math"/>
            </w:rPr>
            <m:t>.</m:t>
          </m:r>
        </m:oMath>
      </m:oMathPara>
    </w:p>
    <w:p w14:paraId="247E63A4" w14:textId="77777777" w:rsidR="008E4EBD" w:rsidRDefault="00483AC6">
      <w:pPr>
        <w:pStyle w:val="BodyText"/>
      </w:pPr>
      <w:r>
        <w:t xml:space="preserve">The shrinkage factor </w:t>
      </w:r>
      <m:oMath>
        <m:sSub>
          <m:sSubPr>
            <m:ctrlPr>
              <w:rPr>
                <w:rFonts w:ascii="Cambria Math" w:hAnsi="Cambria Math"/>
              </w:rPr>
            </m:ctrlPr>
          </m:sSubPr>
          <m:e>
            <m:r>
              <w:rPr>
                <w:rFonts w:ascii="Cambria Math" w:hAnsi="Cambria Math"/>
              </w:rPr>
              <m:t>γ</m:t>
            </m:r>
          </m:e>
          <m:sub>
            <m:r>
              <w:rPr>
                <w:rFonts w:ascii="Cambria Math" w:hAnsi="Cambria Math"/>
              </w:rPr>
              <m:t>i</m:t>
            </m:r>
          </m:sub>
        </m:sSub>
      </m:oMath>
      <w:r>
        <w:t xml:space="preserve"> is the heart of the method, and it is a pure covariance object: it depends only on the model variance </w:t>
      </w:r>
      <m:oMath>
        <m:r>
          <w:rPr>
            <w:rFonts w:ascii="Cambria Math" w:hAnsi="Cambria Math"/>
          </w:rPr>
          <m:t>A</m:t>
        </m:r>
      </m:oMath>
      <w:r>
        <w:t xml:space="preserve"> and the sampling variance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Areas with precise direct estimates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small) receive predictions close to the direct estimate; areas with imprecise direct estimates are shrunk toward the regression-synthetic value. The leading term of the prediction MSE is </w:t>
      </w:r>
      <m:oMath>
        <m:sSub>
          <m:sSubPr>
            <m:ctrlPr>
              <w:rPr>
                <w:rFonts w:ascii="Cambria Math" w:hAnsi="Cambria Math"/>
              </w:rPr>
            </m:ctrlPr>
          </m:sSubPr>
          <m:e>
            <m:r>
              <w:rPr>
                <w:rFonts w:ascii="Cambria Math" w:hAnsi="Cambria Math"/>
              </w:rPr>
              <m:t>g</m:t>
            </m:r>
          </m:e>
          <m:sub>
            <m:r>
              <w:rPr>
                <w:rFonts w:ascii="Cambria Math" w:hAnsi="Cambria Math"/>
              </w:rPr>
              <m:t>1</m:t>
            </m:r>
            <m:r>
              <w:rPr>
                <w:rFonts w:ascii="Cambria Math" w:hAnsi="Cambria Math"/>
              </w:rPr>
              <m:t>i</m:t>
            </m:r>
          </m:sub>
        </m:sSub>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t>
      </w:r>
      <w:r>
        <w:lastRenderedPageBreak/>
        <w:t xml:space="preserve">which is bounded above by both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the second-order terms </w:t>
      </w:r>
      <m:oMath>
        <m:sSub>
          <m:sSubPr>
            <m:ctrlPr>
              <w:rPr>
                <w:rFonts w:ascii="Cambria Math" w:hAnsi="Cambria Math"/>
              </w:rPr>
            </m:ctrlPr>
          </m:sSubPr>
          <m:e>
            <m:r>
              <w:rPr>
                <w:rFonts w:ascii="Cambria Math" w:hAnsi="Cambria Math"/>
              </w:rPr>
              <m:t>g</m:t>
            </m:r>
          </m:e>
          <m:sub>
            <m:r>
              <w:rPr>
                <w:rFonts w:ascii="Cambria Math" w:hAnsi="Cambria Math"/>
              </w:rPr>
              <m:t>2</m:t>
            </m:r>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3</m:t>
            </m:r>
            <m:r>
              <w:rPr>
                <w:rFonts w:ascii="Cambria Math" w:hAnsi="Cambria Math"/>
              </w:rPr>
              <m:t>i</m:t>
            </m:r>
          </m:sub>
        </m:sSub>
      </m:oMath>
      <w:r>
        <w:t xml:space="preserve"> of Prasad and Rao (1990) account for the estimation of </w:t>
      </w:r>
      <m:oMath>
        <m:r>
          <w:rPr>
            <w:rFonts w:ascii="Cambria Math" w:hAnsi="Cambria Math"/>
          </w:rPr>
          <m:t>β</m:t>
        </m:r>
      </m:oMath>
      <w:r>
        <w:t xml:space="preserve"> and </w:t>
      </w:r>
      <m:oMath>
        <m:r>
          <w:rPr>
            <w:rFonts w:ascii="Cambria Math" w:hAnsi="Cambria Math"/>
          </w:rPr>
          <m:t>A</m:t>
        </m:r>
      </m:oMath>
      <w:r>
        <w:t xml:space="preserve"> respectively.</w:t>
      </w:r>
    </w:p>
    <w:p w14:paraId="247E63A5" w14:textId="77777777" w:rsidR="008E4EBD" w:rsidRDefault="00483AC6">
      <w:pPr>
        <w:pStyle w:val="BodyText"/>
      </w:pPr>
      <w:r>
        <w:t xml:space="preserve">When the UFH assumptions are correct and </w:t>
      </w:r>
      <m:oMath>
        <m:acc>
          <m:accPr>
            <m:ctrlPr>
              <w:rPr>
                <w:rFonts w:ascii="Cambria Math" w:hAnsi="Cambria Math"/>
              </w:rPr>
            </m:ctrlPr>
          </m:accPr>
          <m:e>
            <m:r>
              <w:rPr>
                <w:rFonts w:ascii="Cambria Math" w:hAnsi="Cambria Math"/>
              </w:rPr>
              <m:t>A</m:t>
            </m:r>
          </m:e>
        </m:acc>
      </m:oMath>
      <w:r>
        <w:t xml:space="preserve"> is consistent,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t>
            </m:r>
          </m:sub>
          <m:sup>
            <m:r>
              <m:rPr>
                <m:nor/>
              </m:rPr>
              <m:t>UFH</m:t>
            </m:r>
          </m:sup>
        </m:sSubSup>
      </m:oMath>
      <w:r>
        <w:t xml:space="preserve"> converges to the UFH BLUP. But this statement is model-specific: it means convergence to the BLUP under the univariate model that assumes no relevant intertemporal or spatial covariance beyond the scalar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structure. Whether that BLUP is the </w:t>
      </w:r>
      <w:r>
        <w:rPr>
          <w:i/>
        </w:rPr>
        <w:t>true</w:t>
      </w:r>
      <w:r>
        <w:t xml:space="preserve"> BLUP depends on whether those assumptions hold, which is the subject of the next section.</w:t>
      </w:r>
    </w:p>
    <w:p w14:paraId="247E63A6" w14:textId="77777777" w:rsidR="008E4EBD" w:rsidRDefault="00483AC6">
      <w:pPr>
        <w:pStyle w:val="Heading1"/>
      </w:pPr>
      <w:bookmarkStart w:id="10" w:name="Xb512269242b75ddf7366ec01a72d119981d02c2"/>
      <w:r>
        <w:t>7. UFH under autocorrelation or spatial correlation</w:t>
      </w:r>
      <w:bookmarkEnd w:id="10"/>
    </w:p>
    <w:p w14:paraId="247E63A7" w14:textId="77777777" w:rsidR="008E4EBD" w:rsidRDefault="00483AC6">
      <w:pPr>
        <w:pStyle w:val="FirstParagraph"/>
      </w:pPr>
      <w:r>
        <w:t xml:space="preserve">The UFH shrinkage factor </w:t>
      </w:r>
      <m:oMath>
        <m:sSub>
          <m:sSubPr>
            <m:ctrlPr>
              <w:rPr>
                <w:rFonts w:ascii="Cambria Math" w:hAnsi="Cambria Math"/>
              </w:rPr>
            </m:ctrlPr>
          </m:sSubPr>
          <m:e>
            <m:r>
              <w:rPr>
                <w:rFonts w:ascii="Cambria Math" w:hAnsi="Cambria Math"/>
              </w:rPr>
              <m:t>γ</m:t>
            </m:r>
          </m:e>
          <m:sub>
            <m:r>
              <w:rPr>
                <w:rFonts w:ascii="Cambria Math" w:hAnsi="Cambria Math"/>
              </w:rPr>
              <m:t>i</m:t>
            </m:r>
          </m:sub>
        </m:sSub>
      </m:oMath>
      <w:r>
        <w:t xml:space="preserve"> uses only the variance of the area effect and the sampling variance of the </w:t>
      </w:r>
      <w:r>
        <w:rPr>
          <w:i/>
        </w:rPr>
        <w:t>same</w:t>
      </w:r>
      <w:r>
        <w:t xml:space="preserve"> area-year direct estimate. It ignores information from other years and from neighboring areas. If the true covariance structure links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to other observed direct estimates, the true BLUP is not the UFH formula.</w:t>
      </w:r>
    </w:p>
    <w:p w14:paraId="247E63A8" w14:textId="77777777" w:rsidR="008E4EBD" w:rsidRDefault="00483AC6">
      <w:pPr>
        <w:pStyle w:val="BodyText"/>
      </w:pPr>
      <w:r>
        <w:t xml:space="preserve">To see this concretely, suppose the target is </w:t>
      </w:r>
      <m:oMath>
        <m:sSub>
          <m:sSubPr>
            <m:ctrlPr>
              <w:rPr>
                <w:rFonts w:ascii="Cambria Math" w:hAnsi="Cambria Math"/>
              </w:rPr>
            </m:ctrlPr>
          </m:sSubPr>
          <m:e>
            <m:r>
              <w:rPr>
                <w:rFonts w:ascii="Cambria Math" w:hAnsi="Cambria Math"/>
              </w:rPr>
              <m:t>θ</m:t>
            </m:r>
          </m:e>
          <m:sub>
            <m:r>
              <m:rPr>
                <m:nor/>
              </m:rPr>
              <m:t>it</m:t>
            </m:r>
          </m:sub>
        </m:sSub>
      </m:oMath>
      <w:r>
        <w:t xml:space="preserve">, the parameter for area </w:t>
      </w:r>
      <m:oMath>
        <m:r>
          <w:rPr>
            <w:rFonts w:ascii="Cambria Math" w:hAnsi="Cambria Math"/>
          </w:rPr>
          <m:t>i</m:t>
        </m:r>
      </m:oMath>
      <w:r>
        <w:t xml:space="preserve"> in year </w:t>
      </w:r>
      <m:oMath>
        <m:r>
          <w:rPr>
            <w:rFonts w:ascii="Cambria Math" w:hAnsi="Cambria Math"/>
          </w:rPr>
          <m:t>t</m:t>
        </m:r>
      </m:oMath>
      <w:r>
        <w:t xml:space="preserve">, and the available observed direct estimates form a vector </w:t>
      </w:r>
      <m:oMath>
        <m:sSub>
          <m:sSubPr>
            <m:ctrlPr>
              <w:rPr>
                <w:rFonts w:ascii="Cambria Math" w:hAnsi="Cambria Math"/>
              </w:rPr>
            </m:ctrlPr>
          </m:sSubPr>
          <m:e>
            <m:r>
              <w:rPr>
                <w:rFonts w:ascii="Cambria Math" w:hAnsi="Cambria Math"/>
              </w:rPr>
              <m:t>y</m:t>
            </m:r>
          </m:e>
          <m:sub>
            <m:r>
              <m:rPr>
                <m:nor/>
              </m:rPr>
              <m:t>obs</m:t>
            </m:r>
          </m:sub>
        </m:sSub>
      </m:oMath>
      <w:r>
        <w:t xml:space="preserve"> containing estimates for other years and areas as well. The true BLUP has the generic conditional-prediction form</w:t>
      </w:r>
    </w:p>
    <w:p w14:paraId="247E63A9"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m:rPr>
                  <m:nor/>
                </m:rPr>
                <m:t>it</m:t>
              </m:r>
            </m:sub>
            <m:sup>
              <m:r>
                <m:rPr>
                  <m:nor/>
                </m:rPr>
                <m:t>true</m:t>
              </m:r>
            </m:sup>
          </m:sSubSup>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sSub>
            <m:sSubPr>
              <m:ctrlPr>
                <w:rPr>
                  <w:rFonts w:ascii="Cambria Math" w:hAnsi="Cambria Math"/>
                </w:rPr>
              </m:ctrlPr>
            </m:sSubPr>
            <m:e>
              <m:r>
                <w:rPr>
                  <w:rFonts w:ascii="Cambria Math" w:hAnsi="Cambria Math"/>
                </w:rPr>
                <m:t>y</m:t>
              </m:r>
            </m:e>
            <m:sub>
              <m:r>
                <m:rPr>
                  <m:nor/>
                </m:rPr>
                <m:t>obs</m:t>
              </m:r>
            </m:sub>
          </m:sSub>
          <m:r>
            <w:rPr>
              <w:rFonts w:ascii="Cambria Math" w:hAnsi="Cambria Math"/>
            </w:rPr>
            <m:t>) </m:t>
          </m:r>
          <m:r>
            <m:rPr>
              <m:nor/>
            </m:rPr>
            <m:t>Var</m:t>
          </m:r>
          <m:r>
            <w:rPr>
              <w:rFonts w:ascii="Cambria Math" w:hAnsi="Cambria Math"/>
            </w:rPr>
            <m:t>(</m:t>
          </m:r>
          <m:sSub>
            <m:sSubPr>
              <m:ctrlPr>
                <w:rPr>
                  <w:rFonts w:ascii="Cambria Math" w:hAnsi="Cambria Math"/>
                </w:rPr>
              </m:ctrlPr>
            </m:sSubPr>
            <m:e>
              <m:r>
                <w:rPr>
                  <w:rFonts w:ascii="Cambria Math" w:hAnsi="Cambria Math"/>
                </w:rPr>
                <m:t>y</m:t>
              </m:r>
            </m:e>
            <m:sub>
              <m:r>
                <m:rPr>
                  <m:nor/>
                </m:rPr>
                <m:t>obs</m:t>
              </m:r>
            </m:sub>
          </m:sSub>
          <m:sSup>
            <m:sSupPr>
              <m:ctrlPr>
                <w:rPr>
                  <w:rFonts w:ascii="Cambria Math" w:hAnsi="Cambria Math"/>
                </w:rPr>
              </m:ctrlPr>
            </m:sSupPr>
            <m:e>
              <m:r>
                <w:rPr>
                  <w:rFonts w:ascii="Cambria Math" w:hAnsi="Cambria Math"/>
                </w:rPr>
                <m:t>)</m:t>
              </m:r>
            </m:e>
            <m:sup>
              <m:r>
                <w:rPr>
                  <w:rFonts w:ascii="Cambria Math" w:hAnsi="Cambria Math"/>
                </w:rPr>
                <m:t>-1</m:t>
              </m:r>
            </m:sup>
          </m:sSup>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m:rPr>
                      <m:nor/>
                    </m:rPr>
                    <m:t>obs</m:t>
                  </m:r>
                </m:sub>
              </m:sSub>
              <m:r>
                <w:rPr>
                  <w:rFonts w:ascii="Cambria Math" w:hAnsi="Cambria Math"/>
                </w:rPr>
                <m:t>-</m:t>
              </m:r>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y</m:t>
                  </m:r>
                </m:e>
                <m:sub>
                  <m:r>
                    <m:rPr>
                      <m:nor/>
                    </m:rPr>
                    <m:t>obs</m:t>
                  </m:r>
                </m:sub>
              </m:sSub>
              <m:r>
                <w:rPr>
                  <w:rFonts w:ascii="Cambria Math" w:hAnsi="Cambria Math"/>
                </w:rPr>
                <m:t>) </m:t>
              </m:r>
            </m:e>
          </m:d>
          <m:r>
            <w:rPr>
              <w:rFonts w:ascii="Cambria Math" w:hAnsi="Cambria Math"/>
            </w:rPr>
            <m:t>.</m:t>
          </m:r>
        </m:oMath>
      </m:oMathPara>
    </w:p>
    <w:p w14:paraId="247E63AA" w14:textId="77777777" w:rsidR="008E4EBD" w:rsidRDefault="00483AC6">
      <w:pPr>
        <w:pStyle w:val="BodyText"/>
      </w:pPr>
      <w:r>
        <w:t xml:space="preserve">UFH instead uses only the same area-year direct estimate </w:t>
      </w:r>
      <m:oMath>
        <m:sSub>
          <m:sSubPr>
            <m:ctrlPr>
              <w:rPr>
                <w:rFonts w:ascii="Cambria Math" w:hAnsi="Cambria Math"/>
              </w:rPr>
            </m:ctrlPr>
          </m:sSubPr>
          <m:e>
            <m:r>
              <w:rPr>
                <w:rFonts w:ascii="Cambria Math" w:hAnsi="Cambria Math"/>
              </w:rPr>
              <m:t>y</m:t>
            </m:r>
          </m:e>
          <m:sub>
            <m:r>
              <m:rPr>
                <m:nor/>
              </m:rPr>
              <m:t>it</m:t>
            </m:r>
          </m:sub>
        </m:sSub>
      </m:oMath>
      <w:r>
        <w:t>:</w:t>
      </w:r>
    </w:p>
    <w:p w14:paraId="247E63AB"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m:rPr>
                  <m:nor/>
                </m:rPr>
                <m:t>it</m:t>
              </m:r>
            </m:sub>
            <m:sup>
              <m:r>
                <m:rPr>
                  <m:nor/>
                </m:rPr>
                <m:t>UFH</m:t>
              </m:r>
            </m:sup>
          </m:sSubSup>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sSub>
            <m:sSubPr>
              <m:ctrlPr>
                <w:rPr>
                  <w:rFonts w:ascii="Cambria Math" w:hAnsi="Cambria Math"/>
                </w:rPr>
              </m:ctrlPr>
            </m:sSubPr>
            <m:e>
              <m:r>
                <w:rPr>
                  <w:rFonts w:ascii="Cambria Math" w:hAnsi="Cambria Math"/>
                </w:rPr>
                <m:t>y</m:t>
              </m:r>
            </m:e>
            <m:sub>
              <m:r>
                <m:rPr>
                  <m:nor/>
                </m:rPr>
                <m:t>it</m:t>
              </m:r>
            </m:sub>
          </m:sSub>
          <m:r>
            <w:rPr>
              <w:rFonts w:ascii="Cambria Math" w:hAnsi="Cambria Math"/>
            </w:rPr>
            <m:t>) </m:t>
          </m:r>
          <m:r>
            <m:rPr>
              <m:nor/>
            </m:rPr>
            <m:t>Var</m:t>
          </m:r>
          <m:r>
            <w:rPr>
              <w:rFonts w:ascii="Cambria Math" w:hAnsi="Cambria Math"/>
            </w:rPr>
            <m:t>(</m:t>
          </m:r>
          <m:sSub>
            <m:sSubPr>
              <m:ctrlPr>
                <w:rPr>
                  <w:rFonts w:ascii="Cambria Math" w:hAnsi="Cambria Math"/>
                </w:rPr>
              </m:ctrlPr>
            </m:sSubPr>
            <m:e>
              <m:r>
                <w:rPr>
                  <w:rFonts w:ascii="Cambria Math" w:hAnsi="Cambria Math"/>
                </w:rPr>
                <m:t>y</m:t>
              </m:r>
            </m:e>
            <m:sub>
              <m:r>
                <m:rPr>
                  <m:nor/>
                </m:rPr>
                <m:t>it</m:t>
              </m:r>
            </m:sub>
          </m:sSub>
          <m:sSup>
            <m:sSupPr>
              <m:ctrlPr>
                <w:rPr>
                  <w:rFonts w:ascii="Cambria Math" w:hAnsi="Cambria Math"/>
                </w:rPr>
              </m:ctrlPr>
            </m:sSupPr>
            <m:e>
              <m:r>
                <w:rPr>
                  <w:rFonts w:ascii="Cambria Math" w:hAnsi="Cambria Math"/>
                </w:rPr>
                <m:t>)</m:t>
              </m:r>
            </m:e>
            <m:sup>
              <m:r>
                <w:rPr>
                  <w:rFonts w:ascii="Cambria Math" w:hAnsi="Cambria Math"/>
                </w:rPr>
                <m:t>-1</m:t>
              </m:r>
            </m:sup>
          </m:sSup>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m:rPr>
                      <m:nor/>
                    </m:rPr>
                    <m:t>it</m:t>
                  </m:r>
                </m:sub>
              </m:sSub>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 </m:t>
              </m:r>
            </m:e>
          </m:d>
          <m:r>
            <w:rPr>
              <w:rFonts w:ascii="Cambria Math" w:hAnsi="Cambria Math"/>
            </w:rPr>
            <m:t>.</m:t>
          </m:r>
        </m:oMath>
      </m:oMathPara>
    </w:p>
    <w:p w14:paraId="247E63AC" w14:textId="7C5CF3DB" w:rsidR="008E4EBD" w:rsidRDefault="00483AC6">
      <w:pPr>
        <w:pStyle w:val="BodyText"/>
      </w:pPr>
      <w:r>
        <w:t xml:space="preserve">These two predictors coincide only under restrictive conditions—for example, when </w:t>
      </w:r>
      <m:oMath>
        <m:sSub>
          <m:sSubPr>
            <m:ctrlPr>
              <w:rPr>
                <w:rFonts w:ascii="Cambria Math" w:hAnsi="Cambria Math"/>
              </w:rPr>
            </m:ctrlPr>
          </m:sSubPr>
          <m:e>
            <m:r>
              <w:rPr>
                <w:rFonts w:ascii="Cambria Math" w:hAnsi="Cambria Math"/>
              </w:rPr>
              <m:t>θ</m:t>
            </m:r>
          </m:e>
          <m:sub>
            <m:r>
              <m:rPr>
                <m:nor/>
              </m:rPr>
              <m:t>it</m:t>
            </m:r>
          </m:sub>
        </m:sSub>
      </m:oMath>
      <w:r>
        <w:t xml:space="preserve"> is conditionally uncorrelated with all other observed direct estimates given </w:t>
      </w:r>
      <m:oMath>
        <m:sSub>
          <m:sSubPr>
            <m:ctrlPr>
              <w:rPr>
                <w:rFonts w:ascii="Cambria Math" w:hAnsi="Cambria Math"/>
              </w:rPr>
            </m:ctrlPr>
          </m:sSubPr>
          <m:e>
            <m:r>
              <w:rPr>
                <w:rFonts w:ascii="Cambria Math" w:hAnsi="Cambria Math"/>
              </w:rPr>
              <m:t>y</m:t>
            </m:r>
          </m:e>
          <m:sub>
            <m:r>
              <m:rPr>
                <m:nor/>
              </m:rPr>
              <m:t>it</m:t>
            </m:r>
          </m:sub>
        </m:sSub>
      </m:oMath>
      <w:r>
        <w:t xml:space="preserve">, or when the omitted covariance terms are exactly zero. If sampling errors are autocorrelated over time (as </w:t>
      </w:r>
      <w:r w:rsidR="0035735F">
        <w:t>in rotating panel designs), or if area effects are serially correlated (because the unobserved determinants of poverty evolve slowly) or spatially correlated (Pratesi and Salvati, 2008), the</w:t>
      </w:r>
      <w:r>
        <w:t xml:space="preserve"> omitted covariance terms are generally nonzero. Therefore</w:t>
      </w:r>
      <w:r w:rsidR="0035735F">
        <w:t>,</w:t>
      </w:r>
      <w:r>
        <w:t xml:space="preserve"> UFH converges </w:t>
      </w:r>
      <w:proofErr w:type="gramStart"/>
      <w:r>
        <w:t>to</w:t>
      </w:r>
      <w:proofErr w:type="gramEnd"/>
      <w:r>
        <w:t xml:space="preserve"> the BLUP under the UFH working covariance, not </w:t>
      </w:r>
      <w:proofErr w:type="gramStart"/>
      <w:r>
        <w:t>to</w:t>
      </w:r>
      <w:proofErr w:type="gramEnd"/>
      <w:r>
        <w:t xml:space="preserve"> the true BLUP.</w:t>
      </w:r>
    </w:p>
    <w:p w14:paraId="247E63AD" w14:textId="3F8A07D4" w:rsidR="008E4EBD" w:rsidRDefault="00483AC6">
      <w:pPr>
        <w:pStyle w:val="BodyText"/>
      </w:pPr>
      <w:r>
        <w:t xml:space="preserve">The point is not that </w:t>
      </w:r>
      <m:oMath>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oMath>
      <w:r>
        <w:t xml:space="preserve"> becomes inconsistent for the conditional mean—it generally does not. The problem is that the target is </w:t>
      </w:r>
      <m:oMath>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m:rPr>
                <m:nor/>
              </m:rPr>
              <m:t>it</m:t>
            </m:r>
          </m:sub>
        </m:sSub>
      </m:oMath>
      <w:r>
        <w:t xml:space="preserve">, and prediction of </w:t>
      </w:r>
      <m:oMath>
        <m:sSub>
          <m:sSubPr>
            <m:ctrlPr>
              <w:rPr>
                <w:rFonts w:ascii="Cambria Math" w:hAnsi="Cambria Math"/>
              </w:rPr>
            </m:ctrlPr>
          </m:sSubPr>
          <m:e>
            <m:r>
              <w:rPr>
                <w:rFonts w:ascii="Cambria Math" w:hAnsi="Cambria Math"/>
              </w:rPr>
              <m:t>u</m:t>
            </m:r>
          </m:e>
          <m:sub>
            <m:r>
              <m:rPr>
                <m:nor/>
              </m:rPr>
              <m:t>it</m:t>
            </m:r>
          </m:sub>
        </m:sSub>
      </m:oMath>
      <w:r>
        <w:t xml:space="preserve"> depends on the true covariance between the target and </w:t>
      </w:r>
      <w:r>
        <w:rPr>
          <w:i/>
        </w:rPr>
        <w:t>all</w:t>
      </w:r>
      <w:r>
        <w:t xml:space="preserve"> observed direct estimates. UFH uses </w:t>
      </w:r>
      <w:r w:rsidR="0035735F">
        <w:t>incorrect prediction weights when</w:t>
      </w:r>
      <w:r>
        <w:t xml:space="preserve"> the true covariance structure is multivariate. This is precisely the situation analyzed by Rao and Yu (1994) for combined time-series and cross-sectional data, and it motivates the temporal, spatial, and spatio-temporal extensions of the FH model (Marhuenda, Molina, and Morales, 2013; Esteban, Morales, Pérez, and Santamaría, 2012).</w:t>
      </w:r>
    </w:p>
    <w:p w14:paraId="77482D4A" w14:textId="3CACDA81" w:rsidR="009221FB" w:rsidRPr="009221FB" w:rsidRDefault="009221FB" w:rsidP="009221FB">
      <w:pPr>
        <w:pStyle w:val="BodyText"/>
      </w:pPr>
      <w:r w:rsidRPr="009221FB">
        <w:t xml:space="preserve">It is useful to separate the two channels through which intertemporal dependence can arise, because they differ both conceptually and operationally. Temporal correlation in the area effects </w:t>
      </w:r>
      <w:proofErr w:type="gramStart"/>
      <w:r w:rsidRPr="009221FB">
        <w:t>reflects</w:t>
      </w:r>
      <w:proofErr w:type="gramEnd"/>
      <w:r w:rsidRPr="009221FB">
        <w:t xml:space="preserve"> persistence in the unobserved determinants of poverty. It is a feature of the underlying population process</w:t>
      </w:r>
      <w:r>
        <w:t xml:space="preserve"> that is not observed directly</w:t>
      </w:r>
      <w:r w:rsidRPr="009221FB">
        <w:t xml:space="preserve"> and must therefore be specified, modeled, and estimated. Temporal correlation in the sampling errors has a different status. It reflects the survey design: when direct estimates for area </w:t>
      </w:r>
      <m:oMath>
        <m:r>
          <w:rPr>
            <w:rFonts w:ascii="Cambria Math" w:hAnsi="Cambria Math"/>
          </w:rPr>
          <m:t>i</m:t>
        </m:r>
      </m:oMath>
      <w:r>
        <w:t xml:space="preserve"> </w:t>
      </w:r>
      <w:r w:rsidRPr="009221FB">
        <w:t xml:space="preserve">in successive years are based on overlapping samples, rotating panels, or repeated use of the same primary </w:t>
      </w:r>
      <w:r w:rsidRPr="009221FB">
        <w:lastRenderedPageBreak/>
        <w:t xml:space="preserve">sampling units, the sampling errors are correlated by construction. In such cases, the magnitude of the correlation can often be computed or estimated from the survey design, much like the sampling variances </w:t>
      </w:r>
      <m:oMath>
        <m:sSub>
          <m:sSubPr>
            <m:ctrlPr>
              <w:rPr>
                <w:rFonts w:ascii="Cambria Math" w:hAnsi="Cambria Math"/>
              </w:rPr>
            </m:ctrlPr>
          </m:sSubPr>
          <m:e>
            <m:r>
              <w:rPr>
                <w:rFonts w:ascii="Cambria Math" w:hAnsi="Cambria Math"/>
              </w:rPr>
              <m:t>D</m:t>
            </m:r>
          </m:e>
          <m:sub>
            <m:r>
              <w:rPr>
                <w:rFonts w:ascii="Cambria Math" w:hAnsi="Cambria Math"/>
              </w:rPr>
              <m:t>it</m:t>
            </m:r>
          </m:sub>
        </m:sSub>
      </m:oMath>
      <w:r w:rsidRPr="009221FB">
        <w:t>that are routinely supplied to the Fay–Herriot model as known inputs.</w:t>
      </w:r>
    </w:p>
    <w:p w14:paraId="26FE5DA8" w14:textId="7D7203F4" w:rsidR="009221FB" w:rsidRPr="009221FB" w:rsidRDefault="009221FB" w:rsidP="009221FB">
      <w:pPr>
        <w:pStyle w:val="BodyText"/>
      </w:pPr>
      <w:r w:rsidRPr="009221FB">
        <w:t xml:space="preserve">UFH ignores both channels. This matters because the two channels have different implications for prediction. Correlation in </w:t>
      </w:r>
      <w:r>
        <w:t>area effects yields information that can be borrowed across years for both observed and missing area-years: a direct estimate from one year is informative about the realized area effect in another</w:t>
      </w:r>
      <w:r w:rsidRPr="009221FB">
        <w:t>. Correlation in the sampling errors, by contrast, affects the optimal weights assigned to observed direct estimates because it changes the covariance matrix of the observation vector. But by itself</w:t>
      </w:r>
      <w:r>
        <w:t>,</w:t>
      </w:r>
      <w:r w:rsidRPr="009221FB">
        <w:t xml:space="preserve"> it does not create information about a missing area-year target, since sampling errors are not part of the target </w:t>
      </w:r>
      <m:oMath>
        <m:sSub>
          <m:sSubPr>
            <m:ctrlPr>
              <w:rPr>
                <w:rFonts w:ascii="Cambria Math" w:hAnsi="Cambria Math"/>
              </w:rPr>
            </m:ctrlPr>
          </m:sSubPr>
          <m:e>
            <m:r>
              <w:rPr>
                <w:rFonts w:ascii="Cambria Math" w:hAnsi="Cambria Math"/>
              </w:rPr>
              <m:t>θ</m:t>
            </m:r>
          </m:e>
          <m:sub>
            <m:r>
              <w:rPr>
                <w:rFonts w:ascii="Cambria Math" w:hAnsi="Cambria Math"/>
              </w:rPr>
              <m:t>it</m:t>
            </m:r>
          </m:sub>
        </m:sSub>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it</m:t>
            </m:r>
          </m:sub>
          <m:sup>
            <m:r>
              <m:rPr>
                <m:sty m:val="p"/>
              </m:rPr>
              <w:rPr>
                <w:rFonts w:ascii="Cambria Math" w:hAnsi="Cambria Math"/>
              </w:rPr>
              <m:t>'</m:t>
            </m:r>
          </m:sup>
        </m:sSubSup>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it</m:t>
            </m:r>
          </m:sub>
        </m:sSub>
      </m:oMath>
      <w:r w:rsidRPr="009221FB">
        <w:t>. For missing area-years, sampling-error correlation matters indirectly when there is also dependence in the area effects, because it changes the precision and weighting of the observed signals used to predict the missing realized effect.</w:t>
      </w:r>
    </w:p>
    <w:p w14:paraId="075BAD8F" w14:textId="77777777" w:rsidR="009221FB" w:rsidRPr="009221FB" w:rsidRDefault="009221FB" w:rsidP="009221FB">
      <w:pPr>
        <w:pStyle w:val="BodyText"/>
      </w:pPr>
      <w:r w:rsidRPr="009221FB">
        <w:t xml:space="preserve">A useful way to summarize the issue is the following. UFH answers the question: “What is the best prediction given this area-year’s direct estimate alone, under independence?” If the data </w:t>
      </w:r>
      <w:proofErr w:type="gramStart"/>
      <w:r w:rsidRPr="009221FB">
        <w:t>contain</w:t>
      </w:r>
      <w:proofErr w:type="gramEnd"/>
      <w:r w:rsidRPr="009221FB">
        <w:t xml:space="preserve"> additional correlated signals—such as the same area observed in earlier years, neighboring areas observed in the same year, or repeated survey estimates with correlated sampling errors—then UFH is no longer answering the prediction question implied by the true covariance structure.</w:t>
      </w:r>
    </w:p>
    <w:p w14:paraId="247E63B0" w14:textId="77777777" w:rsidR="008E4EBD" w:rsidRDefault="00483AC6">
      <w:pPr>
        <w:pStyle w:val="Heading1"/>
      </w:pPr>
      <w:bookmarkStart w:id="11" w:name="X035a9925984a6bfd9749c6f2c9fc57f25f264da"/>
      <w:r>
        <w:t>8. UFH and area-years without direct estimates</w:t>
      </w:r>
      <w:bookmarkEnd w:id="11"/>
    </w:p>
    <w:p w14:paraId="247E63B1" w14:textId="77777777" w:rsidR="008E4EBD" w:rsidRDefault="00483AC6">
      <w:pPr>
        <w:pStyle w:val="FirstParagraph"/>
      </w:pPr>
      <w:r>
        <w:t xml:space="preserve">The limitation becomes acute for areas or area-years without direct estimates. If area-year </w:t>
      </w:r>
      <m:oMath>
        <m:r>
          <w:rPr>
            <w:rFonts w:ascii="Cambria Math" w:hAnsi="Cambria Math"/>
          </w:rPr>
          <m:t>(</m:t>
        </m:r>
        <m:r>
          <w:rPr>
            <w:rFonts w:ascii="Cambria Math" w:hAnsi="Cambria Math"/>
          </w:rPr>
          <m:t>i</m:t>
        </m:r>
        <m:r>
          <w:rPr>
            <w:rFonts w:ascii="Cambria Math" w:hAnsi="Cambria Math"/>
          </w:rPr>
          <m:t>,</m:t>
        </m:r>
        <m:r>
          <w:rPr>
            <w:rFonts w:ascii="Cambria Math" w:hAnsi="Cambria Math"/>
          </w:rPr>
          <m:t>t</m:t>
        </m:r>
        <m:r>
          <w:rPr>
            <w:rFonts w:ascii="Cambria Math" w:hAnsi="Cambria Math"/>
          </w:rPr>
          <m:t>)</m:t>
        </m:r>
      </m:oMath>
      <w:r>
        <w:t xml:space="preserve"> has no direct estimate, UFH cannot form the usual FH shrinkage term: </w:t>
      </w:r>
      <m:oMath>
        <m:sSub>
          <m:sSubPr>
            <m:ctrlPr>
              <w:rPr>
                <w:rFonts w:ascii="Cambria Math" w:hAnsi="Cambria Math"/>
              </w:rPr>
            </m:ctrlPr>
          </m:sSubPr>
          <m:e>
            <m:r>
              <w:rPr>
                <w:rFonts w:ascii="Cambria Math" w:hAnsi="Cambria Math"/>
              </w:rPr>
              <m:t>y</m:t>
            </m:r>
          </m:e>
          <m:sub>
            <m:r>
              <m:rPr>
                <m:nor/>
              </m:rPr>
              <m:t>it</m:t>
            </m:r>
          </m:sub>
        </m:sSub>
      </m:oMath>
      <w:r>
        <w:t xml:space="preserve"> is missing and </w:t>
      </w:r>
      <m:oMath>
        <m:sSub>
          <m:sSubPr>
            <m:ctrlPr>
              <w:rPr>
                <w:rFonts w:ascii="Cambria Math" w:hAnsi="Cambria Math"/>
              </w:rPr>
            </m:ctrlPr>
          </m:sSubPr>
          <m:e>
            <m:r>
              <w:rPr>
                <w:rFonts w:ascii="Cambria Math" w:hAnsi="Cambria Math"/>
              </w:rPr>
              <m:t>D</m:t>
            </m:r>
          </m:e>
          <m:sub>
            <m:r>
              <m:rPr>
                <m:nor/>
              </m:rPr>
              <m:t>it</m:t>
            </m:r>
          </m:sub>
        </m:sSub>
      </m:oMath>
      <w:r>
        <w:t xml:space="preserve"> is not available as the variance of an observed direct estimate. The usual UFH predictor</w:t>
      </w:r>
    </w:p>
    <w:p w14:paraId="247E63B2"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w:rPr>
                  <w:rFonts w:ascii="Cambria Math" w:hAnsi="Cambria Math"/>
                </w:rPr>
                <m:t>γ</m:t>
              </m:r>
            </m:e>
            <m:sub>
              <m:r>
                <m:rPr>
                  <m:nor/>
                </m:rPr>
                <m:t>it</m:t>
              </m:r>
            </m:sub>
          </m:sSub>
          <m:r>
            <w:rPr>
              <w:rFonts w:ascii="Cambria Math" w:hAnsi="Cambria Math"/>
            </w:rPr>
            <m:t> (</m:t>
          </m:r>
          <m:sSub>
            <m:sSubPr>
              <m:ctrlPr>
                <w:rPr>
                  <w:rFonts w:ascii="Cambria Math" w:hAnsi="Cambria Math"/>
                </w:rPr>
              </m:ctrlPr>
            </m:sSubPr>
            <m:e>
              <m:r>
                <w:rPr>
                  <w:rFonts w:ascii="Cambria Math" w:hAnsi="Cambria Math"/>
                </w:rPr>
                <m:t>y</m:t>
              </m:r>
            </m:e>
            <m:sub>
              <m:r>
                <m:rPr>
                  <m:nor/>
                </m:rPr>
                <m:t>it</m:t>
              </m:r>
            </m:sub>
          </m:sSub>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oMath>
      </m:oMathPara>
    </w:p>
    <w:p w14:paraId="247E63B3" w14:textId="77777777" w:rsidR="008E4EBD" w:rsidRDefault="00483AC6">
      <w:pPr>
        <w:pStyle w:val="BodyText"/>
      </w:pPr>
      <w:r>
        <w:t>cannot be evaluated. The only UFH quantity that can be produced is the synthetic prediction</w:t>
      </w:r>
    </w:p>
    <w:p w14:paraId="247E63B4"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m:rPr>
                  <m:nor/>
                </m:rPr>
                <m:t>it</m:t>
              </m:r>
            </m:sub>
            <m:sup>
              <m:r>
                <m:rPr>
                  <m:nor/>
                </m:rPr>
                <m:t>SYN</m:t>
              </m:r>
            </m:sup>
          </m:sSubSup>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oMath>
      </m:oMathPara>
    </w:p>
    <w:p w14:paraId="247E63B5" w14:textId="77777777" w:rsidR="008E4EBD" w:rsidRDefault="00483AC6">
      <w:pPr>
        <w:pStyle w:val="BodyText"/>
      </w:pPr>
      <w:r>
        <w:t xml:space="preserve">This synthetic prediction can be useful for producing a complete poverty map, but it is not the UFH shrinkage predictor of </w:t>
      </w:r>
      <m:oMath>
        <m:sSub>
          <m:sSubPr>
            <m:ctrlPr>
              <w:rPr>
                <w:rFonts w:ascii="Cambria Math" w:hAnsi="Cambria Math"/>
              </w:rPr>
            </m:ctrlPr>
          </m:sSubPr>
          <m:e>
            <m:r>
              <w:rPr>
                <w:rFonts w:ascii="Cambria Math" w:hAnsi="Cambria Math"/>
              </w:rPr>
              <m:t>θ</m:t>
            </m:r>
          </m:e>
          <m:sub>
            <m:r>
              <m:rPr>
                <m:nor/>
              </m:rPr>
              <m:t>it</m:t>
            </m:r>
          </m:sub>
        </m:sSub>
      </m:oMath>
      <w:r>
        <w:t xml:space="preserve">. It estimates the regression mean component, not the realized area effect; in terms of the general BLUP formula of Section 4, the covariance adjustment term is absent because UFH has no observed area-year direct estimate to condition on. Its prediction MSE therefore contains the full variance of the unpredicted area effect, in addition to the </w:t>
      </w:r>
      <m:oMath>
        <m:r>
          <w:rPr>
            <w:rFonts w:ascii="Cambria Math" w:hAnsi="Cambria Math"/>
          </w:rPr>
          <m:t>β</m:t>
        </m:r>
      </m:oMath>
      <w:r>
        <w:t xml:space="preserve"> -estimation component, and this should be reflected in reported uncertainty measures (see Section 12).</w:t>
      </w:r>
    </w:p>
    <w:p w14:paraId="247E63B6" w14:textId="77777777" w:rsidR="008E4EBD" w:rsidRDefault="00483AC6">
      <w:pPr>
        <w:pStyle w:val="BodyText"/>
      </w:pPr>
      <w:r>
        <w:t>This also sharpens the non-convergence point of Section 7. If the true model has temporal or spatial covariance, the true BLUP for a missing area-year conditions on observed direct estimates from the same area in other years, or from correlated neighboring areas. UFH cannot use those data: its univariate formulation contains no covariance links to them. Consequently, UFH synthetic predictions for missing area-years do not converge to the true BLUP unless the true covariance between the missing target and al</w:t>
      </w:r>
      <w:r>
        <w:t>l observed direct estimates is zero—exactly the case in which no model could do better.</w:t>
      </w:r>
    </w:p>
    <w:p w14:paraId="247E63B7" w14:textId="77777777" w:rsidR="008E4EBD" w:rsidRDefault="00483AC6">
      <w:pPr>
        <w:pStyle w:val="Heading1"/>
      </w:pPr>
      <w:bookmarkStart w:id="12" w:name="the-multivariate-fayherriot-model"/>
      <w:r>
        <w:lastRenderedPageBreak/>
        <w:t>9. The multivariate Fay–Herriot model</w:t>
      </w:r>
      <w:bookmarkEnd w:id="12"/>
    </w:p>
    <w:p w14:paraId="247E63B8" w14:textId="77777777" w:rsidR="008E4EBD" w:rsidRDefault="00483AC6">
      <w:pPr>
        <w:pStyle w:val="FirstParagraph"/>
      </w:pPr>
      <w:r>
        <w:t xml:space="preserve">The MFH model treats multiple estimates jointly. For each area </w:t>
      </w:r>
      <m:oMath>
        <m:r>
          <w:rPr>
            <w:rFonts w:ascii="Cambria Math" w:hAnsi="Cambria Math"/>
          </w:rPr>
          <m:t>i</m:t>
        </m:r>
      </m:oMath>
      <w:r>
        <w:t xml:space="preserve">, define a </w:t>
      </w:r>
      <m:oMath>
        <m:r>
          <w:rPr>
            <w:rFonts w:ascii="Cambria Math" w:hAnsi="Cambria Math"/>
          </w:rPr>
          <m:t>T</m:t>
        </m:r>
      </m:oMath>
      <w:r>
        <w:t xml:space="preserve"> -dimensional vector of direct estimates—the components may be years, related outcomes, or both:</w:t>
      </w:r>
    </w:p>
    <w:p w14:paraId="247E63B9"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m:rPr>
                  <m:nor/>
                </m:rPr>
                <m:t>iT</m:t>
              </m:r>
            </m:sub>
          </m:sSub>
          <m:r>
            <w:rPr>
              <w:rFonts w:ascii="Cambria Math" w:hAnsi="Cambria Math"/>
            </w:rPr>
            <m:t>)'.</m:t>
          </m:r>
        </m:oMath>
      </m:oMathPara>
    </w:p>
    <w:p w14:paraId="247E63BA" w14:textId="77777777" w:rsidR="008E4EBD" w:rsidRDefault="00483AC6">
      <w:pPr>
        <w:pStyle w:val="BodyText"/>
      </w:pPr>
      <w:r>
        <w:t>A basic MFH model (Benavent and Morales, 2016) is</w:t>
      </w:r>
    </w:p>
    <w:p w14:paraId="247E63BB"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m:oMathPara>
    </w:p>
    <w:p w14:paraId="247E63BC"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∼(0,</m:t>
          </m:r>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r>
            <m:rPr>
              <m:nor/>
            </m:rPr>
            <m:t>Var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m:oMathPara>
    </w:p>
    <w:p w14:paraId="247E63BD" w14:textId="449475BB" w:rsidR="008E4EBD" w:rsidRDefault="00483AC6">
      <w:pPr>
        <w:pStyle w:val="BodyText"/>
      </w:pPr>
      <w:r>
        <w:t xml:space="preserve">Here </w:t>
      </w:r>
      <m:oMath>
        <m:r>
          <w:rPr>
            <w:rFonts w:ascii="Cambria Math" w:hAnsi="Cambria Math"/>
          </w:rPr>
          <m:t>G</m:t>
        </m:r>
      </m:oMath>
      <w:r>
        <w:t xml:space="preserve"> captures covariance among the true area effects across years or outcomes, while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the sampling-error covariance matrix of the direct estimates;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may include autocorrelation of sampling errors arising from overlapping samples. In a spatial or spatio-temporal MFH model, the covariance structure can also link areas, not only years within </w:t>
      </w:r>
      <w:r w:rsidR="009E3E7E">
        <w:t xml:space="preserve">an </w:t>
      </w:r>
      <w:r>
        <w:t xml:space="preserve">area (Pratesi and Salvati, 2008; Marhuenda, Molina, and Morales, 2013). Parsimonious parameterizations of </w:t>
      </w:r>
      <m:oMath>
        <m:r>
          <w:rPr>
            <w:rFonts w:ascii="Cambria Math" w:hAnsi="Cambria Math"/>
          </w:rPr>
          <m:t>G</m:t>
        </m:r>
      </m:oMath>
      <w:r>
        <w:t xml:space="preserve"> —exchangeable, autoregressive of order one, or factor structures—keep the number of unknown parameters manageable when </w:t>
      </w:r>
      <m:oMath>
        <m:r>
          <w:rPr>
            <w:rFonts w:ascii="Cambria Math" w:hAnsi="Cambria Math"/>
          </w:rPr>
          <m:t>T</m:t>
        </m:r>
      </m:oMath>
      <w:r>
        <w:t xml:space="preserve"> is moderate.</w:t>
      </w:r>
    </w:p>
    <w:p w14:paraId="247E63BE" w14:textId="77777777" w:rsidR="008E4EBD" w:rsidRDefault="00483AC6">
      <w:pPr>
        <w:pStyle w:val="BodyText"/>
      </w:pPr>
      <w:r>
        <w:t xml:space="preserve">The two covariance components enter the model symmetrically but differ sharply in how they are obtained in practice. </w:t>
      </w:r>
      <m:oMath>
        <m:r>
          <w:rPr>
            <w:rFonts w:ascii="Cambria Math" w:hAnsi="Cambria Math"/>
          </w:rPr>
          <m:t>G</m:t>
        </m:r>
      </m:oMath>
      <w:r>
        <w:t xml:space="preserve"> is a model object: it must be specified up to a small number of parameters and estimated from the data.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at least in principle, a design object: its diagonal elements are the familiar sampling variances, and its off-diagonal elements are sampling covariances that can often be computed or estimated from the survey design when the same households or primary sampling units contribute to direct estimates in multiple years. The natural extension of the Fay–Herriot convention of treating sampling variances as known is therefore to treat the </w:t>
      </w:r>
      <w:r>
        <w:rPr>
          <w:i/>
        </w:rPr>
        <w:t>whole matrix</w:t>
      </w:r>
      <w:r>
        <w:t xml:space="preserv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including its off-diagonal terms, as known or externally estimated. A correctly specified MFH estimator does exactly this; an MFH estimator that models </w:t>
      </w:r>
      <m:oMath>
        <m:r>
          <w:rPr>
            <w:rFonts w:ascii="Cambria Math" w:hAnsi="Cambria Math"/>
          </w:rPr>
          <m:t>G</m:t>
        </m:r>
      </m:oMath>
      <w:r>
        <w:t xml:space="preserve"> but truncates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to its diagonal discards design information and, as Sections 5 and 11 show, fails to converge to the true BLUP whenever the discarded covariances are nonzero.</w:t>
      </w:r>
    </w:p>
    <w:p w14:paraId="247E63BF" w14:textId="77777777" w:rsidR="008E4EBD" w:rsidRDefault="00483AC6">
      <w:pPr>
        <w:pStyle w:val="BodyText"/>
      </w:pPr>
      <w:r>
        <w:t xml:space="preserve">For a balanced setting in which all components of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observed, the MFH BLUP of</w:t>
      </w:r>
    </w:p>
    <w:p w14:paraId="247E63C0"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247E63C1" w14:textId="77777777" w:rsidR="008E4EBD" w:rsidRDefault="00483AC6">
      <w:pPr>
        <w:pStyle w:val="BodyText"/>
      </w:pPr>
      <w:r>
        <w:t>is</w:t>
      </w:r>
    </w:p>
    <w:p w14:paraId="247E63C2"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i</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G</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C3" w14:textId="77777777" w:rsidR="008E4EBD" w:rsidRDefault="00483AC6">
      <w:pPr>
        <w:pStyle w:val="BodyText"/>
      </w:pPr>
      <w:r>
        <w:t>where</w:t>
      </w:r>
    </w:p>
    <w:p w14:paraId="247E63C4" w14:textId="77777777" w:rsidR="008E4EBD" w:rsidRDefault="00483AC6">
      <w:pPr>
        <w:pStyle w:val="BodyText"/>
        <w:spacing w:before="0" w:after="160" w:line="240" w:lineRule="atLeast"/>
        <w:jc w:val="center"/>
      </w:pPr>
      <m:oMathPara>
        <m:oMathParaPr>
          <m:jc m:val="center"/>
        </m:oMathParaPr>
        <m:oMath>
          <m:acc>
            <m:accPr>
              <m:ctrlPr>
                <w:rPr>
                  <w:rFonts w:ascii="Cambria Math" w:hAnsi="Cambria Math"/>
                </w:rPr>
              </m:ctrlPr>
            </m:accPr>
            <m:e>
              <m:r>
                <w:rPr>
                  <w:rFonts w:ascii="Cambria Math" w:hAnsi="Cambria Math"/>
                </w:rPr>
                <m:t>β</m:t>
              </m:r>
            </m:e>
          </m:acc>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w:rPr>
                      <w:rFonts w:ascii="Cambria Math" w:hAnsi="Cambria Math"/>
                    </w:rPr>
                    <m:t>i</m:t>
                  </m:r>
                </m:sub>
              </m:sSub>
            </m:e>
          </m:nary>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oMath>
      </m:oMathPara>
    </w:p>
    <w:p w14:paraId="247E63C5" w14:textId="77777777" w:rsidR="008E4EBD" w:rsidRDefault="00483AC6">
      <w:pPr>
        <w:pStyle w:val="BodyText"/>
      </w:pPr>
      <w:r>
        <w:t xml:space="preserve">The EBLUP replaces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by estimated or externally supplied versions:</w:t>
      </w:r>
    </w:p>
    <w:p w14:paraId="247E63C6"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m:t>
          </m:r>
          <m:acc>
            <m:accPr>
              <m:ctrlPr>
                <w:rPr>
                  <w:rFonts w:ascii="Cambria Math" w:hAnsi="Cambria Math"/>
                </w:rPr>
              </m:ctrlPr>
            </m:accPr>
            <m:e>
              <m:r>
                <w:rPr>
                  <w:rFonts w:ascii="Cambria Math" w:hAnsi="Cambria Math"/>
                </w:rPr>
                <m:t>G</m:t>
              </m:r>
            </m:e>
          </m:acc>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m:t>
              </m:r>
            </m:sub>
            <m:sup>
              <m:r>
                <w:rPr>
                  <w:rFonts w:ascii="Cambria Math" w:hAnsi="Cambria Math"/>
                </w:rPr>
                <m:t>-1</m:t>
              </m:r>
            </m:sup>
          </m:sSubSup>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m:t>
              </m:r>
            </m:e>
          </m:d>
          <m:r>
            <w:rPr>
              <w:rFonts w:ascii="Cambria Math" w:hAnsi="Cambria Math"/>
            </w:rPr>
            <m:t>.</m:t>
          </m:r>
        </m:oMath>
      </m:oMathPara>
    </w:p>
    <w:p w14:paraId="247E63C7" w14:textId="77777777" w:rsidR="008E4EBD" w:rsidRDefault="00483AC6">
      <w:pPr>
        <w:pStyle w:val="BodyText"/>
      </w:pPr>
      <w:r>
        <w:t xml:space="preserve">If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are correctly specified and consistently estimated, this EBLUP converges to the MFH BLUP. If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includes sampling-error autocorrelation and that autocorrelation is estimated or supplied correctly, </w:t>
      </w:r>
      <w:r>
        <w:lastRenderedPageBreak/>
        <w:t xml:space="preserve">MFH converges to the BLUP under the autocorrelated sampling-error model—something UFH cannot do, because it sets the relevant off-diagonal covariance terms to zero by construction. The matrix shrinkage operator </w:t>
      </w:r>
      <m:oMath>
        <m:r>
          <w:rPr>
            <w:rFonts w:ascii="Cambria Math" w:hAnsi="Cambria Math"/>
          </w:rPr>
          <m:t>G</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oMath>
      <w:r>
        <w:t xml:space="preserve"> generalizes the scalar </w:t>
      </w:r>
      <m:oMath>
        <m:sSub>
          <m:sSubPr>
            <m:ctrlPr>
              <w:rPr>
                <w:rFonts w:ascii="Cambria Math" w:hAnsi="Cambria Math"/>
              </w:rPr>
            </m:ctrlPr>
          </m:sSubPr>
          <m:e>
            <m:r>
              <w:rPr>
                <w:rFonts w:ascii="Cambria Math" w:hAnsi="Cambria Math"/>
              </w:rPr>
              <m:t>γ</m:t>
            </m:r>
          </m:e>
          <m:sub>
            <m:r>
              <w:rPr>
                <w:rFonts w:ascii="Cambria Math" w:hAnsi="Cambria Math"/>
              </w:rPr>
              <m:t>i</m:t>
            </m:r>
          </m:sub>
        </m:sSub>
      </m:oMath>
      <w:r>
        <w:t>: it shrinks the vector of direct estimates toward the synthetic vector along the directions and magnitudes dictated by the joint covariance structure, allowing a precise estimate in one year to inform the prediction for another year in the same area.</w:t>
      </w:r>
    </w:p>
    <w:p w14:paraId="247E63C8" w14:textId="77777777" w:rsidR="008E4EBD" w:rsidRDefault="00483AC6">
      <w:pPr>
        <w:pStyle w:val="BodyText"/>
      </w:pPr>
      <w:r>
        <w:t xml:space="preserve">Estimation of the covariance parameters proceeds by ML or REML on the stacked model, or by method-of-moments estimators; software implementations include the </w:t>
      </w:r>
      <w:r>
        <w:rPr>
          <w:rStyle w:val="VerbatimChar"/>
        </w:rPr>
        <w:t>msae</w:t>
      </w:r>
      <w:r>
        <w:t xml:space="preserve"> R package and related routines. As in the univariate case, Kackar–Harville unbiasedness carries over under symmetric distributions, and second-order MSE approximations or parametric bootstrap methods (González-Manteiga, Lombardía, Molina, Morales, and Santamaría, 2008) are available for uncertainty estimation.</w:t>
      </w:r>
    </w:p>
    <w:p w14:paraId="247E63C9" w14:textId="77777777" w:rsidR="008E4EBD" w:rsidRDefault="00483AC6">
      <w:pPr>
        <w:pStyle w:val="Heading1"/>
      </w:pPr>
      <w:bookmarkStart w:id="13" w:name="X85ca3be73687352b02609f82bea3d2657971258"/>
      <w:r>
        <w:t>10. MFH with missing area-years: the partitioned predictor</w:t>
      </w:r>
      <w:bookmarkEnd w:id="13"/>
    </w:p>
    <w:p w14:paraId="247E63CA" w14:textId="77777777" w:rsidR="008E4EBD" w:rsidRDefault="00483AC6">
      <w:pPr>
        <w:pStyle w:val="FirstParagraph"/>
      </w:pPr>
      <w:r>
        <w:t xml:space="preserve">The decisive advantage of the multivariate formulation appears with unbalanced data. MFH extends naturally by partitioning the vector for each area into observed and missing components. For area </w:t>
      </w:r>
      <m:oMath>
        <m:r>
          <w:rPr>
            <w:rFonts w:ascii="Cambria Math" w:hAnsi="Cambria Math"/>
          </w:rPr>
          <m:t>i</m:t>
        </m:r>
      </m:oMath>
      <w:r>
        <w:t>, write</w:t>
      </w:r>
    </w:p>
    <w:p w14:paraId="247E63CB"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y</m:t>
              </m:r>
            </m:e>
            <m:sub>
              <m:r>
                <m:rPr>
                  <m:nor/>
                </m:rPr>
                <m:t>im</m:t>
              </m:r>
            </m:sub>
          </m:sSub>
          <m:r>
            <w:rPr>
              <w:rFonts w:ascii="Cambria Math" w:hAnsi="Cambria Math"/>
            </w:rPr>
            <m:t>')',  </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θ</m:t>
              </m:r>
            </m:e>
            <m:sub>
              <m:r>
                <m:rPr>
                  <m:nor/>
                </m:rPr>
                <m:t>io</m:t>
              </m:r>
            </m:sub>
          </m:sSub>
          <m:r>
            <w:rPr>
              <w:rFonts w:ascii="Cambria Math" w:hAnsi="Cambria Math"/>
            </w:rPr>
            <m:t>',</m:t>
          </m:r>
          <m:sSub>
            <m:sSubPr>
              <m:ctrlPr>
                <w:rPr>
                  <w:rFonts w:ascii="Cambria Math" w:hAnsi="Cambria Math"/>
                </w:rPr>
              </m:ctrlPr>
            </m:sSubPr>
            <m:e>
              <m:r>
                <w:rPr>
                  <w:rFonts w:ascii="Cambria Math" w:hAnsi="Cambria Math"/>
                </w:rPr>
                <m:t>θ</m:t>
              </m:r>
            </m:e>
            <m:sub>
              <m:r>
                <m:rPr>
                  <m:nor/>
                </m:rPr>
                <m:t>im</m:t>
              </m:r>
            </m:sub>
          </m:sSub>
          <m:r>
            <w:rPr>
              <w:rFonts w:ascii="Cambria Math" w:hAnsi="Cambria Math"/>
            </w:rPr>
            <m:t>')',</m:t>
          </m:r>
        </m:oMath>
      </m:oMathPara>
    </w:p>
    <w:p w14:paraId="247E63CC" w14:textId="77777777" w:rsidR="008E4EBD" w:rsidRDefault="00483AC6">
      <w:pPr>
        <w:pStyle w:val="BodyText"/>
      </w:pPr>
      <w:r>
        <w:t xml:space="preserve">where </w:t>
      </w:r>
      <m:oMath>
        <m:r>
          <w:rPr>
            <w:rFonts w:ascii="Cambria Math" w:hAnsi="Cambria Math"/>
          </w:rPr>
          <m:t>o</m:t>
        </m:r>
      </m:oMath>
      <w:r>
        <w:t xml:space="preserve"> denotes observed area-years and </w:t>
      </w:r>
      <m:oMath>
        <m:r>
          <w:rPr>
            <w:rFonts w:ascii="Cambria Math" w:hAnsi="Cambria Math"/>
          </w:rPr>
          <m:t>m</m:t>
        </m:r>
      </m:oMath>
      <w:r>
        <w:t xml:space="preserve"> denotes missing area-years. The model-implied mean and covariance partition accordingly:</w:t>
      </w:r>
    </w:p>
    <w:p w14:paraId="247E63CD" w14:textId="77777777" w:rsidR="008E4EBD" w:rsidRDefault="00483AC6">
      <w:pPr>
        <w:pStyle w:val="BodyText"/>
        <w:spacing w:before="0" w:after="160" w:line="240" w:lineRule="atLeast"/>
        <w:jc w:val="center"/>
      </w:pPr>
      <m:oMathPara>
        <m:oMathParaPr>
          <m:jc m:val="center"/>
        </m:oMathParaPr>
        <m:oMath>
          <m:r>
            <w:rPr>
              <w:rFonts w:ascii="Cambria Math" w:hAnsi="Cambria Math"/>
            </w:rPr>
            <m:t>E</m:t>
          </m:r>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X</m:t>
              </m:r>
            </m:e>
            <m:sub>
              <m:r>
                <m:rPr>
                  <m:nor/>
                </m:rPr>
                <m:t>io</m:t>
              </m:r>
            </m:sub>
          </m:sSub>
          <m:r>
            <w:rPr>
              <w:rFonts w:ascii="Cambria Math" w:hAnsi="Cambria Math"/>
            </w:rPr>
            <m:t>β</m:t>
          </m:r>
          <m:r>
            <w:rPr>
              <w:rFonts w:ascii="Cambria Math" w:hAnsi="Cambria Math"/>
            </w:rPr>
            <m:t>,  </m:t>
          </m:r>
          <m:r>
            <m:rPr>
              <m:nor/>
            </m:rPr>
            <m:t>Var</m:t>
          </m:r>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,  </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im</m:t>
              </m:r>
            </m:sub>
          </m:sSub>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C</m:t>
              </m:r>
            </m:e>
            <m:sub>
              <m:r>
                <m:rPr>
                  <m:nor/>
                </m:rPr>
                <m:t>mo</m:t>
              </m:r>
            </m:sub>
          </m:sSub>
          <m:r>
            <w:rPr>
              <w:rFonts w:ascii="Cambria Math" w:hAnsi="Cambria Math"/>
            </w:rPr>
            <m:t>.</m:t>
          </m:r>
        </m:oMath>
      </m:oMathPara>
    </w:p>
    <w:p w14:paraId="247E63CE" w14:textId="77777777" w:rsidR="008E4EBD" w:rsidRDefault="00483AC6">
      <w:pPr>
        <w:pStyle w:val="BodyText"/>
      </w:pPr>
      <w:r>
        <w:t xml:space="preserve">The BLUP of the missing area-year target </w:t>
      </w:r>
      <m:oMath>
        <m:sSub>
          <m:sSubPr>
            <m:ctrlPr>
              <w:rPr>
                <w:rFonts w:ascii="Cambria Math" w:hAnsi="Cambria Math"/>
              </w:rPr>
            </m:ctrlPr>
          </m:sSubPr>
          <m:e>
            <m:r>
              <w:rPr>
                <w:rFonts w:ascii="Cambria Math" w:hAnsi="Cambria Math"/>
              </w:rPr>
              <m:t>θ</m:t>
            </m:r>
          </m:e>
          <m:sub>
            <m:r>
              <m:rPr>
                <m:nor/>
              </m:rPr>
              <m:t>im</m:t>
            </m:r>
          </m:sub>
        </m:sSub>
      </m:oMath>
      <w:r>
        <w:t>, conditional on the observed direct estimates for that area, is</w:t>
      </w:r>
    </w:p>
    <w:p w14:paraId="247E63CF"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m:rPr>
                  <m:nor/>
                </m:rPr>
                <m:t>im</m:t>
              </m:r>
            </m:sub>
          </m:sSub>
          <m:r>
            <w:rPr>
              <w:rFonts w:ascii="Cambria Math" w:hAnsi="Cambria Math"/>
            </w:rPr>
            <m:t>=</m:t>
          </m:r>
          <m:sSub>
            <m:sSubPr>
              <m:ctrlPr>
                <w:rPr>
                  <w:rFonts w:ascii="Cambria Math" w:hAnsi="Cambria Math"/>
                </w:rPr>
              </m:ctrlPr>
            </m:sSubPr>
            <m:e>
              <m:r>
                <w:rPr>
                  <w:rFonts w:ascii="Cambria Math" w:hAnsi="Cambria Math"/>
                </w:rPr>
                <m:t>X</m:t>
              </m:r>
            </m:e>
            <m:sub>
              <m:r>
                <m:rPr>
                  <m:nor/>
                </m: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w:rPr>
                  <w:rFonts w:ascii="Cambria Math" w:hAnsi="Cambria Math"/>
                </w:rPr>
                <m:t>C</m:t>
              </m:r>
            </m:e>
            <m:sub>
              <m:r>
                <m:rPr>
                  <m:nor/>
                </m:rPr>
                <m:t>mo</m:t>
              </m:r>
            </m:sub>
          </m:sSub>
          <m:sSubSup>
            <m:sSubSupPr>
              <m:ctrlPr>
                <w:rPr>
                  <w:rFonts w:ascii="Cambria Math" w:hAnsi="Cambria Math"/>
                </w:rPr>
              </m:ctrlPr>
            </m:sSubSup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X</m:t>
              </m:r>
            </m:e>
            <m:sub>
              <m:r>
                <m:rPr>
                  <m:nor/>
                </m: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D0" w14:textId="77777777" w:rsidR="008E4EBD" w:rsidRDefault="00483AC6">
      <w:pPr>
        <w:pStyle w:val="BodyText"/>
      </w:pPr>
      <w:r>
        <w:t xml:space="preserve">This is the key formula of the paper. It shows exactly how MFH produces a prediction for an area-year without a direct estimate: the regression-synthetic component </w:t>
      </w:r>
      <m:oMath>
        <m:sSub>
          <m:sSubPr>
            <m:ctrlPr>
              <w:rPr>
                <w:rFonts w:ascii="Cambria Math" w:hAnsi="Cambria Math"/>
              </w:rPr>
            </m:ctrlPr>
          </m:sSubPr>
          <m:e>
            <m:r>
              <w:rPr>
                <w:rFonts w:ascii="Cambria Math" w:hAnsi="Cambria Math"/>
              </w:rPr>
              <m:t>X</m:t>
            </m:r>
          </m:e>
          <m:sub>
            <m:r>
              <m:rPr>
                <m:nor/>
              </m:rPr>
              <m:t>im</m:t>
            </m:r>
          </m:sub>
        </m:sSub>
        <m:acc>
          <m:accPr>
            <m:ctrlPr>
              <w:rPr>
                <w:rFonts w:ascii="Cambria Math" w:hAnsi="Cambria Math"/>
              </w:rPr>
            </m:ctrlPr>
          </m:accPr>
          <m:e>
            <m:r>
              <w:rPr>
                <w:rFonts w:ascii="Cambria Math" w:hAnsi="Cambria Math"/>
              </w:rPr>
              <m:t>β</m:t>
            </m:r>
          </m:e>
        </m:acc>
      </m:oMath>
      <w:r>
        <w:t xml:space="preserve"> plus a covariance adjustment based on observed direct estimates from related years or outcomes. The covariance adjustment is nonzero only if the missing target is correlated with the observed direct estimates; the strength of the adjustment—and the resulting MSE reduction relative to synthetic prediction—is governed entirely by </w:t>
      </w:r>
      <m:oMath>
        <m:sSub>
          <m:sSubPr>
            <m:ctrlPr>
              <w:rPr>
                <w:rFonts w:ascii="Cambria Math" w:hAnsi="Cambria Math"/>
              </w:rPr>
            </m:ctrlPr>
          </m:sSubPr>
          <m:e>
            <m:r>
              <w:rPr>
                <w:rFonts w:ascii="Cambria Math" w:hAnsi="Cambria Math"/>
              </w:rPr>
              <m:t>C</m:t>
            </m:r>
          </m:e>
          <m:sub>
            <m:r>
              <m:rPr>
                <m:nor/>
              </m:rPr>
              <m:t>mo</m:t>
            </m:r>
          </m:sub>
        </m:sSub>
      </m:oMath>
      <w:r>
        <w:t>.</w:t>
      </w:r>
    </w:p>
    <w:p w14:paraId="247E63D1" w14:textId="77777777" w:rsidR="008E4EBD" w:rsidRDefault="00483AC6">
      <w:pPr>
        <w:pStyle w:val="BodyText"/>
      </w:pPr>
      <w:r>
        <w:t xml:space="preserve">In the standard MFH model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with </w:t>
      </w: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oMath>
      <w:r>
        <w:t>, the cross-covariance is</w:t>
      </w:r>
    </w:p>
    <w:p w14:paraId="247E63D2"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C</m:t>
              </m:r>
            </m:e>
            <m:sub>
              <m:r>
                <m:rPr>
                  <m:nor/>
                </m:rPr>
                <m:t>mo</m:t>
              </m:r>
            </m:sub>
          </m:sSub>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im</m:t>
              </m:r>
            </m:sub>
          </m:sSub>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u</m:t>
              </m:r>
            </m:e>
            <m:sub>
              <m:r>
                <m:rPr>
                  <m:nor/>
                </m:rPr>
                <m:t>im</m:t>
              </m:r>
            </m:sub>
          </m:sSub>
          <m:r>
            <w:rPr>
              <w:rFonts w:ascii="Cambria Math" w:hAnsi="Cambria Math"/>
            </w:rPr>
            <m:t>, </m:t>
          </m:r>
          <m:sSub>
            <m:sSubPr>
              <m:ctrlPr>
                <w:rPr>
                  <w:rFonts w:ascii="Cambria Math" w:hAnsi="Cambria Math"/>
                </w:rPr>
              </m:ctrlPr>
            </m:sSubPr>
            <m:e>
              <m:r>
                <w:rPr>
                  <w:rFonts w:ascii="Cambria Math" w:hAnsi="Cambria Math"/>
                </w:rPr>
                <m:t>u</m:t>
              </m:r>
            </m:e>
            <m:sub>
              <m:r>
                <m:rPr>
                  <m:nor/>
                </m:rPr>
                <m:t>io</m:t>
              </m:r>
            </m:sub>
          </m:sSub>
          <m:r>
            <w:rPr>
              <w:rFonts w:ascii="Cambria Math" w:hAnsi="Cambria Math"/>
            </w:rPr>
            <m:t>+</m:t>
          </m:r>
          <m:sSub>
            <m:sSubPr>
              <m:ctrlPr>
                <w:rPr>
                  <w:rFonts w:ascii="Cambria Math" w:hAnsi="Cambria Math"/>
                </w:rPr>
              </m:ctrlPr>
            </m:sSubPr>
            <m:e>
              <m:r>
                <w:rPr>
                  <w:rFonts w:ascii="Cambria Math" w:hAnsi="Cambria Math"/>
                </w:rPr>
                <m:t>e</m:t>
              </m:r>
            </m:e>
            <m:sub>
              <m:r>
                <m:rPr>
                  <m:nor/>
                </m:rPr>
                <m:t>io</m:t>
              </m:r>
            </m:sub>
          </m:sSub>
          <m:r>
            <w:rPr>
              <w:rFonts w:ascii="Cambria Math" w:hAnsi="Cambria Math"/>
            </w:rPr>
            <m:t>),</m:t>
          </m:r>
        </m:oMath>
      </m:oMathPara>
    </w:p>
    <w:p w14:paraId="247E63D3" w14:textId="77777777" w:rsidR="008E4EBD" w:rsidRDefault="00483AC6">
      <w:pPr>
        <w:pStyle w:val="BodyText"/>
      </w:pPr>
      <w:r>
        <w:t xml:space="preserve">which, when area effects and sampling errors are independent, reduces to the relevant off-diagonal block of </w:t>
      </w:r>
      <m:oMath>
        <m:r>
          <w:rPr>
            <w:rFonts w:ascii="Cambria Math" w:hAnsi="Cambria Math"/>
          </w:rPr>
          <m:t>G</m:t>
        </m:r>
      </m:oMath>
      <w:r>
        <w:t>:</w:t>
      </w:r>
    </w:p>
    <w:p w14:paraId="247E63D4"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C</m:t>
              </m:r>
            </m:e>
            <m:sub>
              <m:r>
                <m:rPr>
                  <m:nor/>
                </m:rPr>
                <m:t>mo</m:t>
              </m:r>
            </m:sub>
          </m:sSub>
          <m:r>
            <w:rPr>
              <w:rFonts w:ascii="Cambria Math" w:hAnsi="Cambria Math"/>
            </w:rPr>
            <m:t>=</m:t>
          </m:r>
          <m:sSub>
            <m:sSubPr>
              <m:ctrlPr>
                <w:rPr>
                  <w:rFonts w:ascii="Cambria Math" w:hAnsi="Cambria Math"/>
                </w:rPr>
              </m:ctrlPr>
            </m:sSubPr>
            <m:e>
              <m:r>
                <w:rPr>
                  <w:rFonts w:ascii="Cambria Math" w:hAnsi="Cambria Math"/>
                </w:rPr>
                <m:t>G</m:t>
              </m:r>
            </m:e>
            <m:sub>
              <m:r>
                <m:rPr>
                  <m:nor/>
                </m:rPr>
                <m:t>mo</m:t>
              </m:r>
            </m:sub>
          </m:sSub>
          <m:r>
            <w:rPr>
              <w:rFonts w:ascii="Cambria Math" w:hAnsi="Cambria Math"/>
            </w:rPr>
            <m:t>.</m:t>
          </m:r>
        </m:oMath>
      </m:oMathPara>
    </w:p>
    <w:p w14:paraId="247E63D5" w14:textId="77777777" w:rsidR="008E4EBD" w:rsidRDefault="00483AC6">
      <w:pPr>
        <w:pStyle w:val="BodyText"/>
      </w:pPr>
      <w:r>
        <w:t xml:space="preserve">If the target </w:t>
      </w:r>
      <m:oMath>
        <m:sSub>
          <m:sSubPr>
            <m:ctrlPr>
              <w:rPr>
                <w:rFonts w:ascii="Cambria Math" w:hAnsi="Cambria Math"/>
              </w:rPr>
            </m:ctrlPr>
          </m:sSubPr>
          <m:e>
            <m:r>
              <w:rPr>
                <w:rFonts w:ascii="Cambria Math" w:hAnsi="Cambria Math"/>
              </w:rPr>
              <m:t>θ</m:t>
            </m:r>
          </m:e>
          <m:sub>
            <m:r>
              <m:rPr>
                <m:nor/>
              </m:rPr>
              <m:t>im</m:t>
            </m:r>
          </m:sub>
        </m:sSub>
      </m:oMath>
      <w:r>
        <w:t xml:space="preserve"> is correlated with observed sampling errors through a more general design-based covariance structure, the corresponding terms must be added; the exact expression depends on the assumed joint covariance of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w:t>
      </w:r>
    </w:p>
    <w:p w14:paraId="247E63D6" w14:textId="77777777" w:rsidR="008E4EBD" w:rsidRDefault="00483AC6">
      <w:pPr>
        <w:pStyle w:val="BodyText"/>
      </w:pPr>
      <w:r>
        <w:lastRenderedPageBreak/>
        <w:t xml:space="preserve">The GLS estimator of </w:t>
      </w:r>
      <m:oMath>
        <m:r>
          <w:rPr>
            <w:rFonts w:ascii="Cambria Math" w:hAnsi="Cambria Math"/>
          </w:rPr>
          <m:t>β</m:t>
        </m:r>
      </m:oMath>
      <w:r>
        <w:t xml:space="preserve"> for unbalanced MFH uses only observed components:</w:t>
      </w:r>
    </w:p>
    <w:p w14:paraId="247E63D7" w14:textId="77777777" w:rsidR="008E4EBD" w:rsidRDefault="00483AC6">
      <w:pPr>
        <w:pStyle w:val="BodyText"/>
        <w:spacing w:before="0" w:after="160" w:line="240" w:lineRule="atLeast"/>
        <w:jc w:val="center"/>
      </w:pPr>
      <m:oMathPara>
        <m:oMathParaPr>
          <m:jc m:val="center"/>
        </m:oMathParaPr>
        <m:oMath>
          <m:acc>
            <m:accPr>
              <m:ctrlPr>
                <w:rPr>
                  <w:rFonts w:ascii="Cambria Math" w:hAnsi="Cambria Math"/>
                </w:rPr>
              </m:ctrlPr>
            </m:accPr>
            <m:e>
              <m:r>
                <w:rPr>
                  <w:rFonts w:ascii="Cambria Math" w:hAnsi="Cambria Math"/>
                </w:rPr>
                <m:t>β</m:t>
              </m:r>
            </m:e>
          </m:acc>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m:rPr>
                      <m:nor/>
                    </m:rPr>
                    <m:t>io</m:t>
                  </m:r>
                </m:sub>
              </m:sSub>
            </m:e>
          </m:nary>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sSub>
            <m:sSubPr>
              <m:ctrlPr>
                <w:rPr>
                  <w:rFonts w:ascii="Cambria Math" w:hAnsi="Cambria Math"/>
                </w:rPr>
              </m:ctrlPr>
            </m:sSubPr>
            <m:e>
              <m:r>
                <w:rPr>
                  <w:rFonts w:ascii="Cambria Math" w:hAnsi="Cambria Math"/>
                </w:rPr>
                <m:t>X</m:t>
              </m:r>
            </m:e>
            <m:sub>
              <m:r>
                <m:rPr>
                  <m:nor/>
                </m:rPr>
                <m:t>io</m:t>
              </m:r>
            </m:sub>
          </m:sSub>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X</m:t>
                  </m:r>
                </m:e>
                <m:sub>
                  <m:r>
                    <m:rPr>
                      <m:nor/>
                    </m:rPr>
                    <m:t>io</m:t>
                  </m:r>
                </m:sub>
              </m:sSub>
            </m:e>
          </m:nary>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oMath>
      </m:oMathPara>
    </w:p>
    <w:p w14:paraId="247E63D8" w14:textId="77777777" w:rsidR="008E4EBD" w:rsidRDefault="00483AC6">
      <w:pPr>
        <w:pStyle w:val="BodyText"/>
      </w:pPr>
      <w:r>
        <w:t>and the EBLUP for the missing component replaces unknown covariance parameters with estimates:</w:t>
      </w:r>
    </w:p>
    <w:p w14:paraId="247E63D9"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m:rPr>
                  <m:nor/>
                </m:rPr>
                <m:t>im</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m:rPr>
                  <m:nor/>
                </m: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nor/>
                </m: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X</m:t>
              </m:r>
            </m:e>
            <m:sub>
              <m:r>
                <m:rPr>
                  <m:nor/>
                </m: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DA" w14:textId="2C556734" w:rsidR="008E4EBD" w:rsidRDefault="00483AC6">
      <w:pPr>
        <w:pStyle w:val="BodyText"/>
      </w:pPr>
      <w:r>
        <w:t xml:space="preserve">The same partitioned formula covers </w:t>
      </w:r>
      <w:r w:rsidR="00ED0F7F">
        <w:t xml:space="preserve">the </w:t>
      </w:r>
      <w:r>
        <w:t xml:space="preserve">prediction of observed components—with </w:t>
      </w:r>
      <m:oMath>
        <m:sSub>
          <m:sSubPr>
            <m:ctrlPr>
              <w:rPr>
                <w:rFonts w:ascii="Cambria Math" w:hAnsi="Cambria Math"/>
              </w:rPr>
            </m:ctrlPr>
          </m:sSubPr>
          <m:e>
            <m:r>
              <w:rPr>
                <w:rFonts w:ascii="Cambria Math" w:hAnsi="Cambria Math"/>
              </w:rPr>
              <m:t>C</m:t>
            </m:r>
          </m:e>
          <m:sub>
            <m:r>
              <m:rPr>
                <m:nor/>
              </m:rPr>
              <m:t>oo</m:t>
            </m:r>
          </m:sub>
        </m:sSub>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io</m:t>
            </m:r>
          </m:sub>
        </m:sSub>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oMath>
      <w:r>
        <w:t xml:space="preserve">, the relevant diagonal block of </w:t>
      </w:r>
      <m:oMath>
        <m:r>
          <w:rPr>
            <w:rFonts w:ascii="Cambria Math" w:hAnsi="Cambria Math"/>
          </w:rPr>
          <m:t>G</m:t>
        </m:r>
      </m:oMath>
      <w:r>
        <w:t xml:space="preserve"> in the standard model—so that a single conditional-prediction expression</w:t>
      </w:r>
    </w:p>
    <w:p w14:paraId="247E63DB" w14:textId="77777777" w:rsidR="008E4EBD" w:rsidRDefault="00483AC6">
      <w:pPr>
        <w:pStyle w:val="BodyText"/>
        <w:spacing w:before="0" w:after="160" w:line="240" w:lineRule="atLeas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m:rPr>
                  <m:nor/>
                </m:rPr>
                <m:t>io</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m:rPr>
                  <m:nor/>
                </m:rPr>
                <m:t>io</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nor/>
                </m:rPr>
                <m:t>oo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X</m:t>
              </m:r>
            </m:e>
            <m:sub>
              <m:r>
                <m:rPr>
                  <m:nor/>
                </m: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DC" w14:textId="77777777" w:rsidR="008E4EBD" w:rsidRDefault="00483AC6">
      <w:pPr>
        <w:pStyle w:val="BodyText"/>
      </w:pPr>
      <w:r>
        <w:t>unifies the balanced and unbalanced cases. Ybarra and Lohr (2008) develop related ideas for the case in which the auxiliary variables themselves are measured with error; the common thread is that all such predictors are conditional expectations (under normality) computed from a joint covariance model, and they inherit their validity from that model.</w:t>
      </w:r>
    </w:p>
    <w:p w14:paraId="247E63DD" w14:textId="77777777" w:rsidR="008E4EBD" w:rsidRDefault="00483AC6">
      <w:pPr>
        <w:pStyle w:val="BodyText"/>
      </w:pPr>
      <w:r>
        <w:t xml:space="preserve">Finally, consider an area with no direct estimates in </w:t>
      </w:r>
      <w:r>
        <w:rPr>
          <w:i/>
        </w:rPr>
        <w:t>any</w:t>
      </w:r>
      <w:r>
        <w:t xml:space="preserve"> year. If the model links areas only through the common </w:t>
      </w:r>
      <m:oMath>
        <m:r>
          <w:rPr>
            <w:rFonts w:ascii="Cambria Math" w:hAnsi="Cambria Math"/>
          </w:rPr>
          <m:t>β</m:t>
        </m:r>
      </m:oMath>
      <w:r>
        <w:t xml:space="preserve"> and the within-area covariance </w:t>
      </w:r>
      <m:oMath>
        <m:r>
          <w:rPr>
            <w:rFonts w:ascii="Cambria Math" w:hAnsi="Cambria Math"/>
          </w:rPr>
          <m:t>G</m:t>
        </m:r>
      </m:oMath>
      <w:r>
        <w:t xml:space="preserve">, then </w:t>
      </w:r>
      <m:oMath>
        <m:sSub>
          <m:sSubPr>
            <m:ctrlPr>
              <w:rPr>
                <w:rFonts w:ascii="Cambria Math" w:hAnsi="Cambria Math"/>
              </w:rPr>
            </m:ctrlPr>
          </m:sSubPr>
          <m:e>
            <m:r>
              <w:rPr>
                <w:rFonts w:ascii="Cambria Math" w:hAnsi="Cambria Math"/>
              </w:rPr>
              <m:t>y</m:t>
            </m:r>
          </m:e>
          <m:sub>
            <m:r>
              <m:rPr>
                <m:nor/>
              </m:rPr>
              <m:t>io</m:t>
            </m:r>
          </m:sub>
        </m:sSub>
      </m:oMath>
      <w:r>
        <w:t xml:space="preserve"> is empty, the covariance adjustment disappears, and the MFH predictor degenerates to the synthetic prediction</w:t>
      </w:r>
    </w:p>
    <w:p w14:paraId="247E63DE"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DF" w14:textId="77777777" w:rsidR="008E4EBD" w:rsidRDefault="00483AC6">
      <w:pPr>
        <w:pStyle w:val="BodyText"/>
      </w:pPr>
      <w:r>
        <w:t xml:space="preserve">If, however, the model includes spatial or spatio-temporal correlation across areas, even an area with no direct estimates may be connected to observed neighboring areas. Defining </w:t>
      </w:r>
      <m:oMath>
        <m:sSub>
          <m:sSubPr>
            <m:ctrlPr>
              <w:rPr>
                <w:rFonts w:ascii="Cambria Math" w:hAnsi="Cambria Math"/>
              </w:rPr>
            </m:ctrlPr>
          </m:sSubPr>
          <m:e>
            <m:r>
              <w:rPr>
                <w:rFonts w:ascii="Cambria Math" w:hAnsi="Cambria Math"/>
              </w:rPr>
              <m:t>y</m:t>
            </m:r>
          </m:e>
          <m:sub>
            <m:r>
              <w:rPr>
                <w:rFonts w:ascii="Cambria Math" w:hAnsi="Cambria Math"/>
              </w:rPr>
              <m:t>o</m:t>
            </m:r>
          </m:sub>
        </m:sSub>
      </m:oMath>
      <w:r>
        <w:t xml:space="preserve"> as the full vector of observed direct estimates across all areas and years, and </w:t>
      </w:r>
      <m:oMath>
        <m:sSub>
          <m:sSubPr>
            <m:ctrlPr>
              <w:rPr>
                <w:rFonts w:ascii="Cambria Math" w:hAnsi="Cambria Math"/>
              </w:rPr>
            </m:ctrlPr>
          </m:sSubPr>
          <m:e>
            <m:r>
              <w:rPr>
                <w:rFonts w:ascii="Cambria Math" w:hAnsi="Cambria Math"/>
              </w:rPr>
              <m:t>θ</m:t>
            </m:r>
          </m:e>
          <m:sub>
            <m:r>
              <w:rPr>
                <w:rFonts w:ascii="Cambria Math" w:hAnsi="Cambria Math"/>
              </w:rPr>
              <m:t>m</m:t>
            </m:r>
          </m:sub>
        </m:sSub>
      </m:oMath>
      <w:r>
        <w:t xml:space="preserve"> as the target vector for missing areas or area-years, the general MFH/spatial BLUP is</w:t>
      </w:r>
    </w:p>
    <w:p w14:paraId="247E63E0"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acc>
            <m:accPr>
              <m:ctrlPr>
                <w:rPr>
                  <w:rFonts w:ascii="Cambria Math" w:hAnsi="Cambria Math"/>
                </w:rPr>
              </m:ctrlPr>
            </m:accPr>
            <m:e>
              <m:r>
                <w:rPr>
                  <w:rFonts w:ascii="Cambria Math" w:hAnsi="Cambria Math"/>
                </w:rPr>
                <m:t>β</m:t>
              </m:r>
            </m:e>
          </m:acc>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 </m:t>
          </m:r>
          <m:r>
            <m:rPr>
              <m:nor/>
            </m:rPr>
            <m:t>Var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247E63E1" w14:textId="77777777" w:rsidR="008E4EBD" w:rsidRDefault="00483AC6">
      <w:pPr>
        <w:pStyle w:val="BodyText"/>
      </w:pPr>
      <w:r>
        <w:t xml:space="preserve">This formula makes transparent when prediction beyond the synthetic level is possible: if </w:t>
      </w:r>
      <m:oMath>
        <m:r>
          <m:rPr>
            <m:nor/>
          </m:rPr>
          <m:t>Cov</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)=0</m:t>
        </m:r>
      </m:oMath>
      <w:r>
        <w:t>, the predictor is synthetic, and no reweighting can change that; if the covariance is nonzero because of temporal or spatial structure, the model can borrow strength from observed areas and years, provided—as always—that the covariance structure is correctly specified and estimable.</w:t>
      </w:r>
    </w:p>
    <w:p w14:paraId="247E63E2" w14:textId="77777777" w:rsidR="008E4EBD" w:rsidRDefault="00483AC6">
      <w:pPr>
        <w:pStyle w:val="Heading1"/>
      </w:pPr>
      <w:bookmarkStart w:id="14" w:name="monte-carlo-evidence"/>
      <w:r>
        <w:t>11. Monte Carlo evidence</w:t>
      </w:r>
      <w:bookmarkEnd w:id="14"/>
    </w:p>
    <w:p w14:paraId="247E63E3" w14:textId="26226BD4" w:rsidR="008E4EBD" w:rsidRDefault="00483AC6">
      <w:pPr>
        <w:pStyle w:val="FirstParagraph"/>
      </w:pPr>
      <w:r>
        <w:t xml:space="preserve">We quantify the practical stakes with a simulation experiment designed to mirror the situations discussed above. The design separates the two sources of covariance that define the BLUP: the covariance of the realized area effects, which in practice must be modeled, and the covariance of the sampling errors, which may be known or estimable from the survey design. </w:t>
      </w:r>
      <w:r w:rsidR="00ED0F7F">
        <w:t xml:space="preserve">Each comparison below isolates the role of one or both </w:t>
      </w:r>
      <w:r>
        <w:t>components.</w:t>
      </w:r>
    </w:p>
    <w:p>
      <w:pPr>
        <w:pStyle w:val="Normal"/>
      </w:pPr>
      <w:r>
        <w:t xml:space="preserve">The experiment in this section is retained as evidence about covariance misspecification under its stated design. It should not be cited as a coverage certificate for the released implementation, its transformations, benchmarking or its current numerical optimizer. Those require the separate fitted-model validation recorded with the release.</w:t>
      </w:r>
    </w:p>
    <w:p w14:paraId="247E63E4" w14:textId="77777777" w:rsidR="008E4EBD" w:rsidRDefault="00483AC6">
      <w:pPr>
        <w:pStyle w:val="Heading2"/>
      </w:pPr>
      <w:bookmarkStart w:id="15" w:name="why-sampling-error-covariance-matters"/>
      <w:r>
        <w:lastRenderedPageBreak/>
        <w:t>11.1. Why sampling-error covariance matters</w:t>
      </w:r>
      <w:bookmarkEnd w:id="15"/>
    </w:p>
    <w:p w14:paraId="247E63E5" w14:textId="6AB52D37" w:rsidR="008E4EBD" w:rsidRDefault="00483AC6">
      <w:pPr>
        <w:pStyle w:val="FirstParagraph"/>
      </w:pPr>
      <w:r>
        <w:t xml:space="preserve">Before describing the design, it is worth stating precisely why the covariance of the sampling errors matters at all, given that </w:t>
      </w:r>
      <w:r w:rsidR="00ED0F7F">
        <w:t>sampling errors are</w:t>
      </w:r>
      <w:r>
        <w:t xml:space="preserve"> not part of the prediction target. For a balanced area </w:t>
      </w:r>
      <m:oMath>
        <m:r>
          <w:rPr>
            <w:rFonts w:ascii="Cambria Math" w:hAnsi="Cambria Math"/>
          </w:rPr>
          <m:t>i</m:t>
        </m:r>
      </m:oMath>
      <w:r>
        <w:t xml:space="preserve"> with target</w:t>
      </w:r>
    </w:p>
    <w:p w14:paraId="247E63E6"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oMath>
      </m:oMathPara>
    </w:p>
    <w:p w14:paraId="247E63E7" w14:textId="77777777" w:rsidR="008E4EBD" w:rsidRDefault="00483AC6">
      <w:pPr>
        <w:pStyle w:val="BodyText"/>
      </w:pPr>
      <w:r>
        <w:t>the true BLUP under the MFH model of Section 9 is</w:t>
      </w:r>
    </w:p>
    <w:p w14:paraId="247E63E8"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r>
            <w:rPr>
              <w:rFonts w:ascii="Cambria Math" w:hAnsi="Cambria Math"/>
            </w:rPr>
            <m:t>G</m:t>
          </m:r>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oMath>
      </m:oMathPara>
    </w:p>
    <w:p w14:paraId="247E63E9" w14:textId="77777777" w:rsidR="008E4EBD" w:rsidRDefault="00483AC6">
      <w:pPr>
        <w:pStyle w:val="BodyText"/>
      </w:pPr>
      <w:r>
        <w:t xml:space="preserve">The target excludes the sampling error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and indeed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never appears in the cross-covariance term: with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independent, </w:t>
      </w:r>
      <m:oMath>
        <m:r>
          <m:rPr>
            <m:nor/>
          </m:rPr>
          <m:t>Cov</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G</m:t>
        </m:r>
      </m:oMath>
      <w:r>
        <w:t xml:space="preserve"> regardless of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But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enters the predictor all the same, because it enters the variance of the data,</w:t>
      </w:r>
    </w:p>
    <w:p w14:paraId="247E63EA" w14:textId="77777777" w:rsidR="008E4EBD" w:rsidRDefault="00483AC6">
      <w:pPr>
        <w:pStyle w:val="BodyText"/>
        <w:spacing w:before="0" w:after="160" w:line="240" w:lineRule="atLeast"/>
        <w:jc w:val="center"/>
      </w:pPr>
      <m:oMathPara>
        <m:oMathParaPr>
          <m:jc m:val="center"/>
        </m:oMathParaPr>
        <m:oMath>
          <m:r>
            <m:rPr>
              <m:nor/>
            </m:rPr>
            <m:t>Var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m:oMathPara>
    </w:p>
    <w:p w14:paraId="247E63EB" w14:textId="77777777" w:rsidR="008E4EBD" w:rsidRDefault="00483AC6">
      <w:pPr>
        <w:pStyle w:val="BodyText"/>
      </w:pPr>
      <w:r>
        <w:t xml:space="preserve">Ignoring the off-diagonal elements of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changes the inverse matrix </w:t>
      </w:r>
      <m:oMath>
        <m:r>
          <w:rPr>
            <w:rFonts w:ascii="Cambria Math" w:hAnsi="Cambria Math"/>
          </w:rPr>
          <m:t>(</m:t>
        </m:r>
        <m:r>
          <w:rPr>
            <w:rFonts w:ascii="Cambria Math" w:hAnsi="Cambria Math"/>
          </w:rPr>
          <m:t>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-1</m:t>
            </m:r>
          </m:sup>
        </m:sSup>
      </m:oMath>
      <w:r>
        <w:t xml:space="preserve">, and therefore changes the prediction weights assigned to </w:t>
      </w:r>
      <w:r>
        <w:rPr>
          <w:i/>
        </w:rPr>
        <w:t>every</w:t>
      </w:r>
      <w:r>
        <w:t xml:space="preserve"> direct estimate in the vector. This is why assuming zero autocorrelation of sampling errors is not innocuous: the assumption operates on the weighting matrix even though it never touches the target.</w:t>
      </w:r>
    </w:p>
    <w:p w14:paraId="247E63EC" w14:textId="77777777" w:rsidR="008E4EBD" w:rsidRDefault="00483AC6">
      <w:pPr>
        <w:pStyle w:val="BodyText"/>
      </w:pPr>
      <w:r>
        <w:t xml:space="preserve">Two further consequences follow and are verified in the simulation. First, for </w:t>
      </w:r>
      <w:r>
        <w:rPr>
          <w:i/>
        </w:rPr>
        <w:t>observed</w:t>
      </w:r>
      <w:r>
        <w:t xml:space="preserve"> area-years, autocorrelated sampling errors are a genuine source of information even when the area effects are independent over time. With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&gt;0</m:t>
        </m:r>
      </m:oMath>
      <w:r>
        <w:t xml:space="preserve">, the direct estimates from adjacent years are informative about the sampling error embedded in the current year’s direct estimate, and the true BLUP uses them to partially remove it; a working model with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cannot. Worse, when </w:t>
      </w:r>
      <m:oMath>
        <m:r>
          <w:rPr>
            <w:rFonts w:ascii="Cambria Math" w:hAnsi="Cambria Math"/>
          </w:rPr>
          <m:t>G</m:t>
        </m:r>
      </m:oMath>
      <w:r>
        <w:t xml:space="preserve"> is estimated, a working model with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misattributes the observed cross-year correlation of the residuals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to the area effects, distorting both </w:t>
      </w:r>
      <m:oMath>
        <m:acc>
          <m:accPr>
            <m:ctrlPr>
              <w:rPr>
                <w:rFonts w:ascii="Cambria Math" w:hAnsi="Cambria Math"/>
              </w:rPr>
            </m:ctrlPr>
          </m:accPr>
          <m:e>
            <m:r>
              <w:rPr>
                <w:rFonts w:ascii="Cambria Math" w:hAnsi="Cambria Math"/>
              </w:rPr>
              <m:t>G</m:t>
            </m:r>
          </m:e>
        </m:acc>
      </m:oMath>
      <w:r>
        <w:t xml:space="preserve"> and the weights built from it. Second, for </w:t>
      </w:r>
      <w:r>
        <w:rPr>
          <w:i/>
        </w:rPr>
        <w:t>missing</w:t>
      </w:r>
      <w:r>
        <w:t xml:space="preserve"> area-years, autocorrelated sampling errors alone create no information about the missing target: in the partitioned predictor of Section 10, </w:t>
      </w:r>
      <m:oMath>
        <m:sSub>
          <m:sSubPr>
            <m:ctrlPr>
              <w:rPr>
                <w:rFonts w:ascii="Cambria Math" w:hAnsi="Cambria Math"/>
              </w:rPr>
            </m:ctrlPr>
          </m:sSubPr>
          <m:e>
            <m:r>
              <w:rPr>
                <w:rFonts w:ascii="Cambria Math" w:hAnsi="Cambria Math"/>
              </w:rPr>
              <m:t>C</m:t>
            </m:r>
          </m:e>
          <m:sub>
            <m:r>
              <m:rPr>
                <m:nor/>
              </m:rPr>
              <m:t>mo</m:t>
            </m:r>
          </m:sub>
        </m:sSub>
        <m:r>
          <w:rPr>
            <w:rFonts w:ascii="Cambria Math" w:hAnsi="Cambria Math"/>
          </w:rPr>
          <m:t>=</m:t>
        </m:r>
        <m:r>
          <m:rPr>
            <m:nor/>
          </m:rPr>
          <m:t>Cov</m:t>
        </m:r>
        <m:r>
          <w:rPr>
            <w:rFonts w:ascii="Cambria Math" w:hAnsi="Cambria Math"/>
          </w:rPr>
          <m:t>(</m:t>
        </m:r>
        <m:sSub>
          <m:sSubPr>
            <m:ctrlPr>
              <w:rPr>
                <w:rFonts w:ascii="Cambria Math" w:hAnsi="Cambria Math"/>
              </w:rPr>
            </m:ctrlPr>
          </m:sSubPr>
          <m:e>
            <m:r>
              <w:rPr>
                <w:rFonts w:ascii="Cambria Math" w:hAnsi="Cambria Math"/>
              </w:rPr>
              <m:t>θ</m:t>
            </m:r>
          </m:e>
          <m:sub>
            <m:r>
              <m:rPr>
                <m:nor/>
              </m:rPr>
              <m:t>im</m:t>
            </m:r>
          </m:sub>
        </m:sSub>
        <m:r>
          <w:rPr>
            <w:rFonts w:ascii="Cambria Math" w:hAnsi="Cambria Math"/>
          </w:rPr>
          <m:t>,</m:t>
        </m:r>
        <m:sSub>
          <m:sSubPr>
            <m:ctrlPr>
              <w:rPr>
                <w:rFonts w:ascii="Cambria Math" w:hAnsi="Cambria Math"/>
              </w:rPr>
            </m:ctrlPr>
          </m:sSubPr>
          <m:e>
            <m:r>
              <w:rPr>
                <w:rFonts w:ascii="Cambria Math" w:hAnsi="Cambria Math"/>
              </w:rPr>
              <m:t>y</m:t>
            </m:r>
          </m:e>
          <m:sub>
            <m:r>
              <m:rPr>
                <m:nor/>
              </m:rPr>
              <m:t>io</m:t>
            </m:r>
          </m:sub>
        </m:sSub>
        <m:r>
          <w:rPr>
            <w:rFonts w:ascii="Cambria Math" w:hAnsi="Cambria Math"/>
          </w:rPr>
          <m:t>)=</m:t>
        </m:r>
        <m:sSub>
          <m:sSubPr>
            <m:ctrlPr>
              <w:rPr>
                <w:rFonts w:ascii="Cambria Math" w:hAnsi="Cambria Math"/>
              </w:rPr>
            </m:ctrlPr>
          </m:sSubPr>
          <m:e>
            <m:r>
              <w:rPr>
                <w:rFonts w:ascii="Cambria Math" w:hAnsi="Cambria Math"/>
              </w:rPr>
              <m:t>G</m:t>
            </m:r>
          </m:e>
          <m:sub>
            <m:r>
              <m:rPr>
                <m:nor/>
              </m:rPr>
              <m:t>mo</m:t>
            </m:r>
          </m:sub>
        </m:sSub>
      </m:oMath>
      <w:r>
        <w:t xml:space="preserve"> does not involve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so if the area effects are independent over time (</w:t>
      </w:r>
      <m:oMath>
        <m:sSub>
          <m:sSubPr>
            <m:ctrlPr>
              <w:rPr>
                <w:rFonts w:ascii="Cambria Math" w:hAnsi="Cambria Math"/>
              </w:rPr>
            </m:ctrlPr>
          </m:sSubPr>
          <m:e>
            <m:r>
              <w:rPr>
                <w:rFonts w:ascii="Cambria Math" w:hAnsi="Cambria Math"/>
              </w:rPr>
              <m:t>G</m:t>
            </m:r>
          </m:e>
          <m:sub>
            <m:r>
              <m:rPr>
                <m:nor/>
              </m:rPr>
              <m:t>mo</m:t>
            </m:r>
          </m:sub>
        </m:sSub>
        <m:r>
          <w:rPr>
            <w:rFonts w:ascii="Cambria Math" w:hAnsi="Cambria Math"/>
          </w:rPr>
          <m:t>=0</m:t>
        </m:r>
      </m:oMath>
      <w:r>
        <w:t xml:space="preserve">) the true BLUP for a missing area-year is synthetic no matter how strongly the sampling errors are correlated. The sampling errors are not part of the target, and with </w:t>
      </w:r>
      <m:oMath>
        <m:sSub>
          <m:sSubPr>
            <m:ctrlPr>
              <w:rPr>
                <w:rFonts w:ascii="Cambria Math" w:hAnsi="Cambria Math"/>
              </w:rPr>
            </m:ctrlPr>
          </m:sSubPr>
          <m:e>
            <m:r>
              <w:rPr>
                <w:rFonts w:ascii="Cambria Math" w:hAnsi="Cambria Math"/>
              </w:rPr>
              <m:t>G</m:t>
            </m:r>
          </m:e>
          <m:sub>
            <m:r>
              <m:rPr>
                <m:nor/>
              </m:rPr>
              <m:t>mo</m:t>
            </m:r>
          </m:sub>
        </m:sSub>
        <m:r>
          <w:rPr>
            <w:rFonts w:ascii="Cambria Math" w:hAnsi="Cambria Math"/>
          </w:rPr>
          <m:t>=0</m:t>
        </m:r>
      </m:oMath>
      <w:r>
        <w:t xml:space="preserve"> the observed direct estimates carry no signal about the missing realized effect. When the area effects </w:t>
      </w:r>
      <w:r>
        <w:rPr>
          <w:i/>
        </w:rPr>
        <w:t>are</w:t>
      </w:r>
      <w:r>
        <w:t xml:space="preserve"> temporally correlated, however, observed years are informative, and ignoring sampling-error autocorrelation still produces wrong conditional-prediction weights because </w:t>
      </w: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G</m:t>
            </m:r>
          </m:e>
          <m:sub>
            <m:r>
              <m:rPr>
                <m:nor/>
              </m: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w:r>
        <w:t xml:space="preserve"> is misspecified.</w:t>
      </w:r>
    </w:p>
    <w:p w14:paraId="247E63ED" w14:textId="77777777" w:rsidR="008E4EBD" w:rsidRDefault="00483AC6">
      <w:pPr>
        <w:pStyle w:val="Heading2"/>
      </w:pPr>
      <w:bookmarkStart w:id="16" w:name="design"/>
      <w:r>
        <w:t>11.2. Design</w:t>
      </w:r>
      <w:bookmarkEnd w:id="16"/>
    </w:p>
    <w:p w14:paraId="247E63EE" w14:textId="77777777" w:rsidR="008E4EBD" w:rsidRDefault="00483AC6">
      <w:pPr>
        <w:pStyle w:val="FirstParagraph"/>
      </w:pPr>
      <w:r>
        <w:t xml:space="preserve">Data are generated from a multivariate area-level model with </w:t>
      </w:r>
      <m:oMath>
        <m:r>
          <w:rPr>
            <w:rFonts w:ascii="Cambria Math" w:hAnsi="Cambria Math"/>
          </w:rPr>
          <m:t>m</m:t>
        </m:r>
        <m:r>
          <w:rPr>
            <w:rFonts w:ascii="Cambria Math" w:hAnsi="Cambria Math"/>
          </w:rPr>
          <m:t>=100</m:t>
        </m:r>
      </m:oMath>
      <w:r>
        <w:t xml:space="preserve"> areas and </w:t>
      </w:r>
      <m:oMath>
        <m:r>
          <w:rPr>
            <w:rFonts w:ascii="Cambria Math" w:hAnsi="Cambria Math"/>
          </w:rPr>
          <m:t>T</m:t>
        </m:r>
        <m:r>
          <w:rPr>
            <w:rFonts w:ascii="Cambria Math" w:hAnsi="Cambria Math"/>
          </w:rPr>
          <m:t>=3</m:t>
        </m:r>
      </m:oMath>
      <w:r>
        <w:t xml:space="preserve"> periods:</w:t>
      </w:r>
    </w:p>
    <w:p w14:paraId="247E63EF"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(0,</m:t>
          </m:r>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m:oMathPara>
    </w:p>
    <w:p w14:paraId="247E63F0" w14:textId="77777777" w:rsidR="008E4EBD" w:rsidRDefault="00483AC6">
      <w:pPr>
        <w:pStyle w:val="BodyText"/>
      </w:pPr>
      <w:r>
        <w:t xml:space="preserve">with </w:t>
      </w:r>
      <m:oMath>
        <m:r>
          <w:rPr>
            <w:rFonts w:ascii="Cambria Math" w:hAnsi="Cambria Math"/>
          </w:rPr>
          <m:t>β</m:t>
        </m:r>
        <m:r>
          <w:rPr>
            <w:rFonts w:ascii="Cambria Math" w:hAnsi="Cambria Math"/>
          </w:rPr>
          <m:t>=(1,2)'</m:t>
        </m:r>
      </m:oMath>
      <w:r>
        <w:t xml:space="preserve">, a single auxiliary variable </w:t>
      </w:r>
      <m:oMath>
        <m:sSub>
          <m:sSubPr>
            <m:ctrlPr>
              <w:rPr>
                <w:rFonts w:ascii="Cambria Math" w:hAnsi="Cambria Math"/>
              </w:rPr>
            </m:ctrlPr>
          </m:sSubPr>
          <m:e>
            <m:r>
              <w:rPr>
                <w:rFonts w:ascii="Cambria Math" w:hAnsi="Cambria Math"/>
              </w:rPr>
              <m:t>z</m:t>
            </m:r>
          </m:e>
          <m:sub>
            <m:r>
              <m:rPr>
                <m:nor/>
              </m:rPr>
              <m:t>it</m:t>
            </m:r>
          </m:sub>
        </m:sSub>
      </m:oMath>
      <w:r>
        <w:t xml:space="preserve"> drawn once from the uniform distribution on </w:t>
      </w:r>
      <m:oMath>
        <m:r>
          <w:rPr>
            <w:rFonts w:ascii="Cambria Math" w:hAnsi="Cambria Math"/>
          </w:rPr>
          <m:t>(0,1)</m:t>
        </m:r>
      </m:oMath>
      <w:r>
        <w:t xml:space="preserve"> and held fixed across replications. Both covariance matrices have first-order autoregressive (AR(1)) correlation structure. The area-effect covariance is</w:t>
      </w:r>
    </w:p>
    <w:p w14:paraId="247E63F1" w14:textId="77777777" w:rsidR="008E4EBD" w:rsidRDefault="00483AC6">
      <w:pPr>
        <w:pStyle w:val="BodyText"/>
        <w:spacing w:before="0" w:after="160" w:line="240" w:lineRule="atLeast"/>
        <w:jc w:val="center"/>
      </w:pPr>
      <m:oMathPara>
        <m:oMathParaPr>
          <m:jc m:val="center"/>
        </m:oMathParaPr>
        <m:oMath>
          <m:r>
            <w:rPr>
              <w:rFonts w:ascii="Cambria Math" w:hAnsi="Cambria Math"/>
            </w:rPr>
            <w:lastRenderedPageBreak/>
            <m:t>G</m:t>
          </m:r>
          <m:r>
            <w:rPr>
              <w:rFonts w:ascii="Cambria Math" w:hAnsi="Cambria Math"/>
            </w:rPr>
            <m:t>=</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m:t>
              </m:r>
            </m:e>
            <m:sub>
              <m:r>
                <m:rPr>
                  <m:nor/>
                </m:rPr>
                <m:t>ts</m:t>
              </m:r>
            </m:sub>
          </m:sSub>
          <m: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u</m:t>
              </m:r>
            </m:sub>
            <m:sup>
              <m:r>
                <w:rPr>
                  <w:rFonts w:ascii="Cambria Math" w:hAnsi="Cambria Math"/>
                </w:rPr>
                <m:t>|</m:t>
              </m:r>
              <m:r>
                <w:rPr>
                  <w:rFonts w:ascii="Cambria Math" w:hAnsi="Cambria Math"/>
                </w:rPr>
                <m:t>t</m:t>
              </m:r>
              <m:r>
                <w:rPr>
                  <w:rFonts w:ascii="Cambria Math" w:hAnsi="Cambria Math"/>
                </w:rPr>
                <m:t>-</m:t>
              </m:r>
              <m:r>
                <w:rPr>
                  <w:rFonts w:ascii="Cambria Math" w:hAnsi="Cambria Math"/>
                </w:rPr>
                <m:t>s</m:t>
              </m:r>
              <m:r>
                <w:rPr>
                  <w:rFonts w:ascii="Cambria Math" w:hAnsi="Cambria Math"/>
                </w:rPr>
                <m:t>|</m:t>
              </m:r>
            </m:sup>
          </m:sSubSup>
          <m:r>
            <w:rPr>
              <w:rFonts w:ascii="Cambria Math" w:hAnsi="Cambria Math"/>
            </w:rPr>
            <m:t>,  </m:t>
          </m:r>
          <m:r>
            <w:rPr>
              <w:rFonts w:ascii="Cambria Math" w:hAnsi="Cambria Math"/>
            </w:rPr>
            <m:t>A</m:t>
          </m:r>
          <m:r>
            <w:rPr>
              <w:rFonts w:ascii="Cambria Math" w:hAnsi="Cambria Math"/>
            </w:rPr>
            <m:t>=1,</m:t>
          </m:r>
        </m:oMath>
      </m:oMathPara>
    </w:p>
    <w:p w14:paraId="247E63F2" w14:textId="77777777" w:rsidR="008E4EBD" w:rsidRDefault="00483AC6">
      <w:pPr>
        <w:pStyle w:val="BodyText"/>
      </w:pPr>
      <w:r>
        <w:t>and the sampling-error covariance is</w:t>
      </w:r>
    </w:p>
    <w:p w14:paraId="247E63F3"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1/2</m:t>
              </m:r>
            </m:sup>
          </m:sSubSup>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 </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1/2</m:t>
              </m:r>
            </m:sup>
          </m:sSubSup>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m:rPr>
                  <m:nor/>
                </m:rPr>
                <m:t>iT</m:t>
              </m:r>
            </m:sub>
          </m:sSub>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m:t>
              </m:r>
            </m:e>
            <m:sub>
              <m:r>
                <m:rPr>
                  <m:nor/>
                </m:rPr>
                <m:t>ts</m:t>
              </m:r>
            </m:sub>
          </m:sSub>
          <m: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e</m:t>
              </m:r>
            </m:sub>
            <m:sup>
              <m:r>
                <w:rPr>
                  <w:rFonts w:ascii="Cambria Math" w:hAnsi="Cambria Math"/>
                </w:rPr>
                <m:t>|</m:t>
              </m:r>
              <m:r>
                <w:rPr>
                  <w:rFonts w:ascii="Cambria Math" w:hAnsi="Cambria Math"/>
                </w:rPr>
                <m:t>t</m:t>
              </m:r>
              <m:r>
                <w:rPr>
                  <w:rFonts w:ascii="Cambria Math" w:hAnsi="Cambria Math"/>
                </w:rPr>
                <m:t>-</m:t>
              </m:r>
              <m:r>
                <w:rPr>
                  <w:rFonts w:ascii="Cambria Math" w:hAnsi="Cambria Math"/>
                </w:rPr>
                <m:t>s</m:t>
              </m:r>
              <m:r>
                <w:rPr>
                  <w:rFonts w:ascii="Cambria Math" w:hAnsi="Cambria Math"/>
                </w:rPr>
                <m:t>|</m:t>
              </m:r>
            </m:sup>
          </m:sSubSup>
          <m:r>
            <w:rPr>
              <w:rFonts w:ascii="Cambria Math" w:hAnsi="Cambria Math"/>
            </w:rPr>
            <m:t>,</m:t>
          </m:r>
        </m:oMath>
      </m:oMathPara>
    </w:p>
    <w:p w14:paraId="247E63F4" w14:textId="77777777" w:rsidR="008E4EBD" w:rsidRDefault="00483AC6">
      <w:pPr>
        <w:pStyle w:val="BodyText"/>
      </w:pPr>
      <w:r>
        <w:t xml:space="preserve">where the marginal sampling variances </w:t>
      </w:r>
      <m:oMath>
        <m:sSub>
          <m:sSubPr>
            <m:ctrlPr>
              <w:rPr>
                <w:rFonts w:ascii="Cambria Math" w:hAnsi="Cambria Math"/>
              </w:rPr>
            </m:ctrlPr>
          </m:sSubPr>
          <m:e>
            <m:r>
              <w:rPr>
                <w:rFonts w:ascii="Cambria Math" w:hAnsi="Cambria Math"/>
              </w:rPr>
              <m:t>D</m:t>
            </m:r>
          </m:e>
          <m:sub>
            <m:r>
              <m:rPr>
                <m:nor/>
              </m:rPr>
              <m:t>it</m:t>
            </m:r>
          </m:sub>
        </m:sSub>
      </m:oMath>
      <w:r>
        <w:t xml:space="preserve"> are drawn once from the uniform distribution on </w:t>
      </w:r>
      <m:oMath>
        <m:r>
          <w:rPr>
            <w:rFonts w:ascii="Cambria Math" w:hAnsi="Cambria Math"/>
          </w:rPr>
          <m:t>(0.5,1.5)</m:t>
        </m:r>
      </m:oMath>
      <w:r>
        <w:t xml:space="preserve"> and treated as known. The target in every cell is </w:t>
      </w:r>
      <m:oMath>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z</m:t>
            </m:r>
          </m:e>
          <m:sub>
            <m:r>
              <m:rPr>
                <m:nor/>
              </m:rPr>
              <m:t>it</m:t>
            </m:r>
          </m:sub>
        </m:sSub>
        <m:r>
          <w:rPr>
            <w:rFonts w:ascii="Cambria Math" w:hAnsi="Cambria Math"/>
          </w:rPr>
          <m:t>+</m:t>
        </m:r>
        <m:sSub>
          <m:sSubPr>
            <m:ctrlPr>
              <w:rPr>
                <w:rFonts w:ascii="Cambria Math" w:hAnsi="Cambria Math"/>
              </w:rPr>
            </m:ctrlPr>
          </m:sSubPr>
          <m:e>
            <m:r>
              <w:rPr>
                <w:rFonts w:ascii="Cambria Math" w:hAnsi="Cambria Math"/>
              </w:rPr>
              <m:t>u</m:t>
            </m:r>
          </m:e>
          <m:sub>
            <m:r>
              <m:rPr>
                <m:nor/>
              </m:rPr>
              <m:t>it</m:t>
            </m:r>
          </m:sub>
        </m:sSub>
      </m:oMath>
      <w:r>
        <w:t>. In each replication, a randomly chosen 20 percent of areas have their final-period direct estimate deleted, creating missing area-years. We use 500 Monte Carlo replications per scenario.</w:t>
      </w:r>
    </w:p>
    <w:p w14:paraId="247E63F5" w14:textId="77777777" w:rsidR="008E4EBD" w:rsidRDefault="00483AC6">
      <w:pPr>
        <w:pStyle w:val="BodyText"/>
      </w:pPr>
      <w:r>
        <w:t>The scenarios form three groups that cross the two autocorrelations:</w:t>
      </w:r>
    </w:p>
    <w:p w14:paraId="247E63F6" w14:textId="77777777" w:rsidR="008E4EBD" w:rsidRDefault="00483AC6">
      <w:pPr>
        <w:numPr>
          <w:ilvl w:val="0"/>
          <w:numId w:val="2"/>
        </w:numPr>
      </w:pPr>
      <w:r>
        <w:rPr>
          <w:b/>
        </w:rPr>
        <w:t>Group A (sampling-error autocorrelation only):</w:t>
      </w:r>
      <w:r>
        <w:t xml:space="preserve">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∈{0, 0.4, 0.8}</m:t>
        </m:r>
      </m:oMath>
      <w:r>
        <w:t>. This isolates the effect of autocorrelated sampling errors.</w:t>
      </w:r>
    </w:p>
    <w:p w14:paraId="247E63F7" w14:textId="77777777" w:rsidR="008E4EBD" w:rsidRDefault="00483AC6">
      <w:pPr>
        <w:numPr>
          <w:ilvl w:val="0"/>
          <w:numId w:val="2"/>
        </w:numPr>
      </w:pPr>
      <w:r>
        <w:rPr>
          <w:b/>
        </w:rPr>
        <w:t>Group B (area-effect autocorrelation only):</w:t>
      </w:r>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∈{0.4, 0.8}</m:t>
        </m:r>
      </m:oMath>
      <w:r>
        <w:t>. This is the classical time-model setting in which only the area effects are dependent; it shows the gains from MFH when the realized area effects are persistent.</w:t>
      </w:r>
    </w:p>
    <w:p w14:paraId="247E63F8" w14:textId="77777777" w:rsidR="008E4EBD" w:rsidRDefault="00483AC6">
      <w:pPr>
        <w:numPr>
          <w:ilvl w:val="0"/>
          <w:numId w:val="2"/>
        </w:numPr>
      </w:pPr>
      <w:r>
        <w:rPr>
          <w:b/>
        </w:rPr>
        <w:t>Group C (both):</w:t>
      </w:r>
      <w:r>
        <w:t xml:space="preserve">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∈{0.4, 0.8}</m:t>
        </m:r>
      </m:oMath>
      <w:r>
        <w:t xml:space="preserve"> crossed with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∈{0.4, 0.8}</m:t>
        </m:r>
      </m:oMath>
      <w:r>
        <w:t>. This is the most realistic case for repeated surveys with overlapping samples.</w:t>
      </w:r>
    </w:p>
    <w:p w14:paraId="247E63F9" w14:textId="77777777" w:rsidR="008E4EBD" w:rsidRDefault="00483AC6">
      <w:pPr>
        <w:pStyle w:val="FirstParagraph"/>
      </w:pPr>
      <w:r>
        <w:t>Five predictors are compared. (i) The synthetic predictor θ_it^SYN = x_it'β_UFH, where β_UFH is estimated from the pooled UFH fit. For missing area-years this is the feasible UFH prediction; it is not the same object as the oracle benchmark, which uses the true β. (ii) The UFH EBLUP, fitted by pooling all observed area-years as a univariate FH model with A estimated by the Fay–Herriot moment method; UFH uses only the same area-year direct estimate and sets all cross-year covariance, in both G and D_i, to ze</w:t>
      </w:r>
      <w:r>
        <w:t>ro. (iii) The MFH EBLUP with diagonal sampling-error covariance (MFH-diag), which estimates the area-effect covariance G = A R_u(ρ_u) by maximum likelihood but incorrectly assumes D_i = S_i. This estimator is included because moving to MFH is not, by itself, enough: it models the covariance of the area effects while assuming away the covariance of the sampling errors. (iv) The MFH EBLUP with correct sampling-error covariance (MFH-full), which estimates G by maximum likelihood while using the true D_i, inclu</w:t>
      </w:r>
      <w:r>
        <w:t>ding its off-diagonal terms, as known, reflecting the case in which the sampling-error covariance is available from the survey design. This is the feasible benchmark. (v) The oracle BLUP, computed with the true β, G, and D_i; this is the unattainable benchmark. For missing area-years, the MFH variants use the partitioned conditional predictor of Section 10 with their respective working covariance matrices. Empirical MSEs are averaged over cells and replications; observed-cell results are computed on areas w</w:t>
      </w:r>
      <w:r>
        <w:t>ith complete data so that the comparison is not contaminated by the missingness mechanism.</w:t>
      </w:r>
    </w:p>
    <w:p w14:paraId="247E63FA" w14:textId="77777777" w:rsidR="008E4EBD" w:rsidRDefault="00483AC6">
      <w:pPr>
        <w:pStyle w:val="Heading2"/>
      </w:pPr>
      <w:bookmarkStart w:id="17" w:name="results-for-observed-area-years"/>
      <w:r>
        <w:t>11.3. Results for observed area-years</w:t>
      </w:r>
      <w:bookmarkEnd w:id="17"/>
    </w:p>
    <w:p w14:paraId="247E63FB" w14:textId="77777777" w:rsidR="008E4EBD" w:rsidRDefault="00483AC6">
      <w:pPr>
        <w:pStyle w:val="FirstParagraph"/>
      </w:pPr>
      <w:r>
        <w:t>Table 1 reports empirical MSEs for observed area-years across all nine scenarios. The results are best read group by group, asking in each case which predictors converge toward the oracle BLUP and which converge only to the BLUP under a misspecified working covariance.</w:t>
      </w:r>
    </w:p>
    <w:p w14:paraId="247E63FC" w14:textId="77777777" w:rsidR="008E4EBD" w:rsidRDefault="00483AC6">
      <w:pPr>
        <w:pStyle w:val="BodyText"/>
      </w:pPr>
      <w:r>
        <w:lastRenderedPageBreak/>
        <w:t>Table 1—Empirical MSE of Predictors for Observed Area-Years (500 Replications, m = 100, T = 3, A = 1)</w:t>
      </w:r>
    </w:p>
    <w:tbl>
      <w:tblPr>
        <w:tblStyle w:val="Table"/>
        <w:tblW w:w="9026" w:type="dxa"/>
        <w:tblLayout w:type="fixed"/>
        <w:tblLook w:val="07E0" w:firstRow="1" w:lastRow="1" w:firstColumn="1" w:lastColumn="1" w:noHBand="1" w:noVBand="1"/>
      </w:tblPr>
      <w:tblGrid>
        <w:gridCol w:w="957"/>
        <w:gridCol w:w="683"/>
        <w:gridCol w:w="683"/>
        <w:gridCol w:w="1504"/>
        <w:gridCol w:w="957"/>
        <w:gridCol w:w="1367"/>
        <w:gridCol w:w="1367"/>
        <w:gridCol w:w="1508"/>
      </w:tblGrid>
      <w:tr w:rsidR="008E4EBD" w14:paraId="247E6405" w14:textId="77777777">
        <w:tc>
          <w:tcPr>
            <w:tcW w:w="957" w:type="dxa"/>
            <w:tcBorders>
              <w:top w:val="single" w:sz="12" w:space="0" w:color="auto"/>
              <w:left w:val="nil"/>
              <w:bottom w:val="single" w:sz="4" w:space="0" w:color="auto"/>
              <w:right w:val="nil"/>
            </w:tcBorders>
            <w:vAlign w:val="bottom"/>
          </w:tcPr>
          <w:p w14:paraId="247E63FD" w14:textId="77777777" w:rsidR="008E4EBD" w:rsidRDefault="00483AC6">
            <w:pPr>
              <w:pStyle w:val="Compact"/>
              <w:jc w:val="center"/>
            </w:pPr>
            <w:r>
              <w:rPr>
                <w:b/>
                <w:bCs/>
              </w:rPr>
              <w:t>Group</w:t>
            </w:r>
          </w:p>
        </w:tc>
        <w:tc>
          <w:tcPr>
            <w:tcW w:w="683" w:type="dxa"/>
            <w:tcBorders>
              <w:top w:val="single" w:sz="12" w:space="0" w:color="auto"/>
              <w:left w:val="nil"/>
              <w:bottom w:val="single" w:sz="4" w:space="0" w:color="auto"/>
              <w:right w:val="nil"/>
            </w:tcBorders>
            <w:vAlign w:val="bottom"/>
          </w:tcPr>
          <w:p w14:paraId="247E63FE"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683" w:type="dxa"/>
            <w:tcBorders>
              <w:top w:val="single" w:sz="12" w:space="0" w:color="auto"/>
              <w:left w:val="nil"/>
              <w:bottom w:val="single" w:sz="4" w:space="0" w:color="auto"/>
              <w:right w:val="nil"/>
            </w:tcBorders>
            <w:vAlign w:val="bottom"/>
          </w:tcPr>
          <w:p w14:paraId="247E63FF"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1504" w:type="dxa"/>
            <w:tcBorders>
              <w:top w:val="single" w:sz="12" w:space="0" w:color="auto"/>
              <w:left w:val="nil"/>
              <w:bottom w:val="single" w:sz="4" w:space="0" w:color="auto"/>
              <w:right w:val="nil"/>
            </w:tcBorders>
            <w:vAlign w:val="bottom"/>
          </w:tcPr>
          <w:p w14:paraId="247E6400" w14:textId="77777777" w:rsidR="008E4EBD" w:rsidRDefault="00483AC6">
            <w:pPr>
              <w:pStyle w:val="Compact"/>
              <w:jc w:val="center"/>
            </w:pPr>
            <w:r>
              <w:rPr>
                <w:b/>
                <w:bCs/>
              </w:rPr>
              <w:t>Synthetic</w:t>
            </w:r>
          </w:p>
        </w:tc>
        <w:tc>
          <w:tcPr>
            <w:tcW w:w="957" w:type="dxa"/>
            <w:tcBorders>
              <w:top w:val="single" w:sz="12" w:space="0" w:color="auto"/>
              <w:left w:val="nil"/>
              <w:bottom w:val="single" w:sz="4" w:space="0" w:color="auto"/>
              <w:right w:val="nil"/>
            </w:tcBorders>
            <w:vAlign w:val="bottom"/>
          </w:tcPr>
          <w:p w14:paraId="247E6401" w14:textId="77777777" w:rsidR="008E4EBD" w:rsidRDefault="00483AC6">
            <w:pPr>
              <w:pStyle w:val="Compact"/>
              <w:jc w:val="center"/>
            </w:pPr>
            <w:r>
              <w:rPr>
                <w:b/>
                <w:bCs/>
              </w:rPr>
              <w:t>UFH</w:t>
            </w:r>
          </w:p>
        </w:tc>
        <w:tc>
          <w:tcPr>
            <w:tcW w:w="1367" w:type="dxa"/>
            <w:tcBorders>
              <w:top w:val="single" w:sz="12" w:space="0" w:color="auto"/>
              <w:left w:val="nil"/>
              <w:bottom w:val="single" w:sz="4" w:space="0" w:color="auto"/>
              <w:right w:val="nil"/>
            </w:tcBorders>
            <w:vAlign w:val="bottom"/>
          </w:tcPr>
          <w:p w14:paraId="247E6402" w14:textId="77777777" w:rsidR="008E4EBD" w:rsidRDefault="00483AC6">
            <w:pPr>
              <w:pStyle w:val="Compact"/>
              <w:jc w:val="center"/>
            </w:pPr>
            <w:r>
              <w:rPr>
                <w:b/>
                <w:bCs/>
              </w:rPr>
              <w:t>MFH-diag</w:t>
            </w:r>
          </w:p>
        </w:tc>
        <w:tc>
          <w:tcPr>
            <w:tcW w:w="1367" w:type="dxa"/>
            <w:tcBorders>
              <w:top w:val="single" w:sz="12" w:space="0" w:color="auto"/>
              <w:left w:val="nil"/>
              <w:bottom w:val="single" w:sz="4" w:space="0" w:color="auto"/>
              <w:right w:val="nil"/>
            </w:tcBorders>
            <w:vAlign w:val="bottom"/>
          </w:tcPr>
          <w:p w14:paraId="247E6403" w14:textId="77777777" w:rsidR="008E4EBD" w:rsidRDefault="00483AC6">
            <w:pPr>
              <w:pStyle w:val="Compact"/>
              <w:jc w:val="center"/>
            </w:pPr>
            <w:r>
              <w:rPr>
                <w:b/>
                <w:bCs/>
              </w:rPr>
              <w:t>MFH-full</w:t>
            </w:r>
          </w:p>
        </w:tc>
        <w:tc>
          <w:tcPr>
            <w:tcW w:w="1508" w:type="dxa"/>
            <w:tcBorders>
              <w:top w:val="single" w:sz="12" w:space="0" w:color="auto"/>
              <w:left w:val="nil"/>
              <w:bottom w:val="single" w:sz="4" w:space="0" w:color="auto"/>
              <w:right w:val="nil"/>
            </w:tcBorders>
            <w:vAlign w:val="bottom"/>
          </w:tcPr>
          <w:p w14:paraId="247E6404" w14:textId="77777777" w:rsidR="008E4EBD" w:rsidRDefault="00483AC6">
            <w:pPr>
              <w:pStyle w:val="Compact"/>
              <w:jc w:val="center"/>
            </w:pPr>
            <w:r>
              <w:rPr>
                <w:b/>
                <w:bCs/>
              </w:rPr>
              <w:t>Oracle BLUP</w:t>
            </w:r>
          </w:p>
        </w:tc>
      </w:tr>
      <w:tr w:rsidR="008E4EBD" w14:paraId="247E640E" w14:textId="77777777">
        <w:tc>
          <w:tcPr>
            <w:tcW w:w="957" w:type="dxa"/>
            <w:tcBorders>
              <w:top w:val="nil"/>
              <w:left w:val="nil"/>
              <w:bottom w:val="nil"/>
              <w:right w:val="nil"/>
            </w:tcBorders>
          </w:tcPr>
          <w:p w14:paraId="247E6406" w14:textId="77777777" w:rsidR="008E4EBD" w:rsidRDefault="00483AC6">
            <w:pPr>
              <w:pStyle w:val="Compact"/>
              <w:jc w:val="center"/>
            </w:pPr>
            <w:r>
              <w:t>—</w:t>
            </w:r>
          </w:p>
        </w:tc>
        <w:tc>
          <w:tcPr>
            <w:tcW w:w="683" w:type="dxa"/>
            <w:tcBorders>
              <w:top w:val="nil"/>
              <w:left w:val="nil"/>
              <w:bottom w:val="nil"/>
              <w:right w:val="nil"/>
            </w:tcBorders>
          </w:tcPr>
          <w:p w14:paraId="247E6407" w14:textId="77777777" w:rsidR="008E4EBD" w:rsidRDefault="00483AC6">
            <w:pPr>
              <w:pStyle w:val="Compact"/>
              <w:jc w:val="center"/>
            </w:pPr>
            <w:r>
              <w:t>0.0</w:t>
            </w:r>
          </w:p>
        </w:tc>
        <w:tc>
          <w:tcPr>
            <w:tcW w:w="683" w:type="dxa"/>
            <w:tcBorders>
              <w:top w:val="nil"/>
              <w:left w:val="nil"/>
              <w:bottom w:val="nil"/>
              <w:right w:val="nil"/>
            </w:tcBorders>
          </w:tcPr>
          <w:p w14:paraId="247E6408" w14:textId="77777777" w:rsidR="008E4EBD" w:rsidRDefault="00483AC6">
            <w:pPr>
              <w:pStyle w:val="Compact"/>
              <w:jc w:val="center"/>
            </w:pPr>
            <w:r>
              <w:t>0.0</w:t>
            </w:r>
          </w:p>
        </w:tc>
        <w:tc>
          <w:tcPr>
            <w:tcW w:w="1504" w:type="dxa"/>
            <w:tcBorders>
              <w:top w:val="nil"/>
              <w:left w:val="nil"/>
              <w:bottom w:val="nil"/>
              <w:right w:val="nil"/>
            </w:tcBorders>
          </w:tcPr>
          <w:p w14:paraId="247E6409" w14:textId="77777777" w:rsidR="008E4EBD" w:rsidRDefault="00483AC6">
            <w:pPr>
              <w:pStyle w:val="Compact"/>
              <w:jc w:val="center"/>
            </w:pPr>
            <w:r>
              <w:t>1.005</w:t>
            </w:r>
          </w:p>
        </w:tc>
        <w:tc>
          <w:tcPr>
            <w:tcW w:w="957" w:type="dxa"/>
            <w:tcBorders>
              <w:top w:val="nil"/>
              <w:left w:val="nil"/>
              <w:bottom w:val="nil"/>
              <w:right w:val="nil"/>
            </w:tcBorders>
          </w:tcPr>
          <w:p w14:paraId="247E640A" w14:textId="77777777" w:rsidR="008E4EBD" w:rsidRDefault="00483AC6">
            <w:pPr>
              <w:pStyle w:val="Compact"/>
              <w:jc w:val="center"/>
            </w:pPr>
            <w:r>
              <w:t>0.496</w:t>
            </w:r>
          </w:p>
        </w:tc>
        <w:tc>
          <w:tcPr>
            <w:tcW w:w="1367" w:type="dxa"/>
            <w:tcBorders>
              <w:top w:val="nil"/>
              <w:left w:val="nil"/>
              <w:bottom w:val="nil"/>
              <w:right w:val="nil"/>
            </w:tcBorders>
          </w:tcPr>
          <w:p w14:paraId="247E640B" w14:textId="77777777" w:rsidR="008E4EBD" w:rsidRDefault="00483AC6">
            <w:pPr>
              <w:pStyle w:val="Compact"/>
              <w:jc w:val="center"/>
            </w:pPr>
            <w:r>
              <w:t>0.501</w:t>
            </w:r>
          </w:p>
        </w:tc>
        <w:tc>
          <w:tcPr>
            <w:tcW w:w="1367" w:type="dxa"/>
            <w:tcBorders>
              <w:top w:val="nil"/>
              <w:left w:val="nil"/>
              <w:bottom w:val="nil"/>
              <w:right w:val="nil"/>
            </w:tcBorders>
          </w:tcPr>
          <w:p w14:paraId="247E640C" w14:textId="77777777" w:rsidR="008E4EBD" w:rsidRDefault="00483AC6">
            <w:pPr>
              <w:pStyle w:val="Compact"/>
              <w:jc w:val="center"/>
            </w:pPr>
            <w:r>
              <w:t>0.501</w:t>
            </w:r>
          </w:p>
        </w:tc>
        <w:tc>
          <w:tcPr>
            <w:tcW w:w="1508" w:type="dxa"/>
            <w:tcBorders>
              <w:top w:val="nil"/>
              <w:left w:val="nil"/>
              <w:bottom w:val="nil"/>
              <w:right w:val="nil"/>
            </w:tcBorders>
          </w:tcPr>
          <w:p w14:paraId="247E640D" w14:textId="77777777" w:rsidR="008E4EBD" w:rsidRDefault="00483AC6">
            <w:pPr>
              <w:pStyle w:val="Compact"/>
              <w:jc w:val="center"/>
            </w:pPr>
            <w:r>
              <w:t>0.489</w:t>
            </w:r>
          </w:p>
        </w:tc>
      </w:tr>
      <w:tr w:rsidR="008E4EBD" w14:paraId="247E6417" w14:textId="77777777">
        <w:tc>
          <w:tcPr>
            <w:tcW w:w="957" w:type="dxa"/>
            <w:tcBorders>
              <w:top w:val="nil"/>
              <w:left w:val="nil"/>
              <w:bottom w:val="nil"/>
              <w:right w:val="nil"/>
            </w:tcBorders>
          </w:tcPr>
          <w:p w14:paraId="247E640F" w14:textId="77777777" w:rsidR="008E4EBD" w:rsidRDefault="00483AC6">
            <w:pPr>
              <w:pStyle w:val="Compact"/>
              <w:jc w:val="center"/>
            </w:pPr>
            <w:r>
              <w:t>A</w:t>
            </w:r>
          </w:p>
        </w:tc>
        <w:tc>
          <w:tcPr>
            <w:tcW w:w="683" w:type="dxa"/>
            <w:tcBorders>
              <w:top w:val="nil"/>
              <w:left w:val="nil"/>
              <w:bottom w:val="nil"/>
              <w:right w:val="nil"/>
            </w:tcBorders>
          </w:tcPr>
          <w:p w14:paraId="247E6410" w14:textId="77777777" w:rsidR="008E4EBD" w:rsidRDefault="00483AC6">
            <w:pPr>
              <w:pStyle w:val="Compact"/>
              <w:jc w:val="center"/>
            </w:pPr>
            <w:r>
              <w:t>0.0</w:t>
            </w:r>
          </w:p>
        </w:tc>
        <w:tc>
          <w:tcPr>
            <w:tcW w:w="683" w:type="dxa"/>
            <w:tcBorders>
              <w:top w:val="nil"/>
              <w:left w:val="nil"/>
              <w:bottom w:val="nil"/>
              <w:right w:val="nil"/>
            </w:tcBorders>
          </w:tcPr>
          <w:p w14:paraId="247E6411" w14:textId="77777777" w:rsidR="008E4EBD" w:rsidRDefault="00483AC6">
            <w:pPr>
              <w:pStyle w:val="Compact"/>
              <w:jc w:val="center"/>
            </w:pPr>
            <w:r>
              <w:t>0.4</w:t>
            </w:r>
          </w:p>
        </w:tc>
        <w:tc>
          <w:tcPr>
            <w:tcW w:w="1504" w:type="dxa"/>
            <w:tcBorders>
              <w:top w:val="nil"/>
              <w:left w:val="nil"/>
              <w:bottom w:val="nil"/>
              <w:right w:val="nil"/>
            </w:tcBorders>
          </w:tcPr>
          <w:p w14:paraId="247E6412" w14:textId="77777777" w:rsidR="008E4EBD" w:rsidRDefault="00483AC6">
            <w:pPr>
              <w:pStyle w:val="Compact"/>
              <w:jc w:val="center"/>
            </w:pPr>
            <w:r>
              <w:t>1.007</w:t>
            </w:r>
          </w:p>
        </w:tc>
        <w:tc>
          <w:tcPr>
            <w:tcW w:w="957" w:type="dxa"/>
            <w:tcBorders>
              <w:top w:val="nil"/>
              <w:left w:val="nil"/>
              <w:bottom w:val="nil"/>
              <w:right w:val="nil"/>
            </w:tcBorders>
          </w:tcPr>
          <w:p w14:paraId="247E6413" w14:textId="77777777" w:rsidR="008E4EBD" w:rsidRDefault="00483AC6">
            <w:pPr>
              <w:pStyle w:val="Compact"/>
              <w:jc w:val="center"/>
            </w:pPr>
            <w:r>
              <w:t>0.498</w:t>
            </w:r>
          </w:p>
        </w:tc>
        <w:tc>
          <w:tcPr>
            <w:tcW w:w="1367" w:type="dxa"/>
            <w:tcBorders>
              <w:top w:val="nil"/>
              <w:left w:val="nil"/>
              <w:bottom w:val="nil"/>
              <w:right w:val="nil"/>
            </w:tcBorders>
          </w:tcPr>
          <w:p w14:paraId="247E6414" w14:textId="77777777" w:rsidR="008E4EBD" w:rsidRDefault="00483AC6">
            <w:pPr>
              <w:pStyle w:val="Compact"/>
              <w:jc w:val="center"/>
            </w:pPr>
            <w:r>
              <w:t>0.575</w:t>
            </w:r>
          </w:p>
        </w:tc>
        <w:tc>
          <w:tcPr>
            <w:tcW w:w="1367" w:type="dxa"/>
            <w:tcBorders>
              <w:top w:val="nil"/>
              <w:left w:val="nil"/>
              <w:bottom w:val="nil"/>
              <w:right w:val="nil"/>
            </w:tcBorders>
          </w:tcPr>
          <w:p w14:paraId="247E6415" w14:textId="77777777" w:rsidR="008E4EBD" w:rsidRDefault="00483AC6">
            <w:pPr>
              <w:pStyle w:val="Compact"/>
              <w:jc w:val="center"/>
            </w:pPr>
            <w:r>
              <w:t>0.475</w:t>
            </w:r>
          </w:p>
        </w:tc>
        <w:tc>
          <w:tcPr>
            <w:tcW w:w="1508" w:type="dxa"/>
            <w:tcBorders>
              <w:top w:val="nil"/>
              <w:left w:val="nil"/>
              <w:bottom w:val="nil"/>
              <w:right w:val="nil"/>
            </w:tcBorders>
          </w:tcPr>
          <w:p w14:paraId="247E6416" w14:textId="77777777" w:rsidR="008E4EBD" w:rsidRDefault="00483AC6">
            <w:pPr>
              <w:pStyle w:val="Compact"/>
              <w:jc w:val="center"/>
            </w:pPr>
            <w:r>
              <w:t>0.461</w:t>
            </w:r>
          </w:p>
        </w:tc>
      </w:tr>
      <w:tr w:rsidR="008E4EBD" w14:paraId="247E6420" w14:textId="77777777">
        <w:tc>
          <w:tcPr>
            <w:tcW w:w="957" w:type="dxa"/>
            <w:tcBorders>
              <w:top w:val="nil"/>
              <w:left w:val="nil"/>
              <w:bottom w:val="nil"/>
              <w:right w:val="nil"/>
            </w:tcBorders>
          </w:tcPr>
          <w:p w14:paraId="247E6418" w14:textId="77777777" w:rsidR="008E4EBD" w:rsidRDefault="00483AC6">
            <w:pPr>
              <w:pStyle w:val="Compact"/>
              <w:jc w:val="center"/>
            </w:pPr>
            <w:r>
              <w:t>A</w:t>
            </w:r>
          </w:p>
        </w:tc>
        <w:tc>
          <w:tcPr>
            <w:tcW w:w="683" w:type="dxa"/>
            <w:tcBorders>
              <w:top w:val="nil"/>
              <w:left w:val="nil"/>
              <w:bottom w:val="nil"/>
              <w:right w:val="nil"/>
            </w:tcBorders>
          </w:tcPr>
          <w:p w14:paraId="247E6419" w14:textId="77777777" w:rsidR="008E4EBD" w:rsidRDefault="00483AC6">
            <w:pPr>
              <w:pStyle w:val="Compact"/>
              <w:jc w:val="center"/>
            </w:pPr>
            <w:r>
              <w:t>0.0</w:t>
            </w:r>
          </w:p>
        </w:tc>
        <w:tc>
          <w:tcPr>
            <w:tcW w:w="683" w:type="dxa"/>
            <w:tcBorders>
              <w:top w:val="nil"/>
              <w:left w:val="nil"/>
              <w:bottom w:val="nil"/>
              <w:right w:val="nil"/>
            </w:tcBorders>
          </w:tcPr>
          <w:p w14:paraId="247E641A" w14:textId="77777777" w:rsidR="008E4EBD" w:rsidRDefault="00483AC6">
            <w:pPr>
              <w:pStyle w:val="Compact"/>
              <w:jc w:val="center"/>
            </w:pPr>
            <w:r>
              <w:t>0.8</w:t>
            </w:r>
          </w:p>
        </w:tc>
        <w:tc>
          <w:tcPr>
            <w:tcW w:w="1504" w:type="dxa"/>
            <w:tcBorders>
              <w:top w:val="nil"/>
              <w:left w:val="nil"/>
              <w:bottom w:val="nil"/>
              <w:right w:val="nil"/>
            </w:tcBorders>
          </w:tcPr>
          <w:p w14:paraId="247E641B" w14:textId="77777777" w:rsidR="008E4EBD" w:rsidRDefault="00483AC6">
            <w:pPr>
              <w:pStyle w:val="Compact"/>
              <w:jc w:val="center"/>
            </w:pPr>
            <w:r>
              <w:t>1.011</w:t>
            </w:r>
          </w:p>
        </w:tc>
        <w:tc>
          <w:tcPr>
            <w:tcW w:w="957" w:type="dxa"/>
            <w:tcBorders>
              <w:top w:val="nil"/>
              <w:left w:val="nil"/>
              <w:bottom w:val="nil"/>
              <w:right w:val="nil"/>
            </w:tcBorders>
          </w:tcPr>
          <w:p w14:paraId="247E641C" w14:textId="77777777" w:rsidR="008E4EBD" w:rsidRDefault="00483AC6">
            <w:pPr>
              <w:pStyle w:val="Compact"/>
              <w:jc w:val="center"/>
            </w:pPr>
            <w:r>
              <w:t>0.502</w:t>
            </w:r>
          </w:p>
        </w:tc>
        <w:tc>
          <w:tcPr>
            <w:tcW w:w="1367" w:type="dxa"/>
            <w:tcBorders>
              <w:top w:val="nil"/>
              <w:left w:val="nil"/>
              <w:bottom w:val="nil"/>
              <w:right w:val="nil"/>
            </w:tcBorders>
          </w:tcPr>
          <w:p w14:paraId="247E641D" w14:textId="77777777" w:rsidR="008E4EBD" w:rsidRDefault="00483AC6">
            <w:pPr>
              <w:pStyle w:val="Compact"/>
              <w:jc w:val="center"/>
            </w:pPr>
            <w:r>
              <w:t>0.833</w:t>
            </w:r>
          </w:p>
        </w:tc>
        <w:tc>
          <w:tcPr>
            <w:tcW w:w="1367" w:type="dxa"/>
            <w:tcBorders>
              <w:top w:val="nil"/>
              <w:left w:val="nil"/>
              <w:bottom w:val="nil"/>
              <w:right w:val="nil"/>
            </w:tcBorders>
          </w:tcPr>
          <w:p w14:paraId="247E641E" w14:textId="77777777" w:rsidR="008E4EBD" w:rsidRDefault="00483AC6">
            <w:pPr>
              <w:pStyle w:val="Compact"/>
              <w:jc w:val="center"/>
            </w:pPr>
            <w:r>
              <w:t>0.376</w:t>
            </w:r>
          </w:p>
        </w:tc>
        <w:tc>
          <w:tcPr>
            <w:tcW w:w="1508" w:type="dxa"/>
            <w:tcBorders>
              <w:top w:val="nil"/>
              <w:left w:val="nil"/>
              <w:bottom w:val="nil"/>
              <w:right w:val="nil"/>
            </w:tcBorders>
          </w:tcPr>
          <w:p w14:paraId="247E641F" w14:textId="77777777" w:rsidR="008E4EBD" w:rsidRDefault="00483AC6">
            <w:pPr>
              <w:pStyle w:val="Compact"/>
              <w:jc w:val="center"/>
            </w:pPr>
            <w:r>
              <w:t>0.361</w:t>
            </w:r>
          </w:p>
        </w:tc>
      </w:tr>
      <w:tr w:rsidR="008E4EBD" w14:paraId="247E6429" w14:textId="77777777">
        <w:tc>
          <w:tcPr>
            <w:tcW w:w="957" w:type="dxa"/>
            <w:tcBorders>
              <w:top w:val="nil"/>
              <w:left w:val="nil"/>
              <w:bottom w:val="nil"/>
              <w:right w:val="nil"/>
            </w:tcBorders>
          </w:tcPr>
          <w:p w14:paraId="247E6421" w14:textId="77777777" w:rsidR="008E4EBD" w:rsidRDefault="00483AC6">
            <w:pPr>
              <w:pStyle w:val="Compact"/>
              <w:jc w:val="center"/>
            </w:pPr>
            <w:r>
              <w:t>B</w:t>
            </w:r>
          </w:p>
        </w:tc>
        <w:tc>
          <w:tcPr>
            <w:tcW w:w="683" w:type="dxa"/>
            <w:tcBorders>
              <w:top w:val="nil"/>
              <w:left w:val="nil"/>
              <w:bottom w:val="nil"/>
              <w:right w:val="nil"/>
            </w:tcBorders>
          </w:tcPr>
          <w:p w14:paraId="247E6422" w14:textId="77777777" w:rsidR="008E4EBD" w:rsidRDefault="00483AC6">
            <w:pPr>
              <w:pStyle w:val="Compact"/>
              <w:jc w:val="center"/>
            </w:pPr>
            <w:r>
              <w:t>0.4</w:t>
            </w:r>
          </w:p>
        </w:tc>
        <w:tc>
          <w:tcPr>
            <w:tcW w:w="683" w:type="dxa"/>
            <w:tcBorders>
              <w:top w:val="nil"/>
              <w:left w:val="nil"/>
              <w:bottom w:val="nil"/>
              <w:right w:val="nil"/>
            </w:tcBorders>
          </w:tcPr>
          <w:p w14:paraId="247E6423" w14:textId="77777777" w:rsidR="008E4EBD" w:rsidRDefault="00483AC6">
            <w:pPr>
              <w:pStyle w:val="Compact"/>
              <w:jc w:val="center"/>
            </w:pPr>
            <w:r>
              <w:t>0.0</w:t>
            </w:r>
          </w:p>
        </w:tc>
        <w:tc>
          <w:tcPr>
            <w:tcW w:w="1504" w:type="dxa"/>
            <w:tcBorders>
              <w:top w:val="nil"/>
              <w:left w:val="nil"/>
              <w:bottom w:val="nil"/>
              <w:right w:val="nil"/>
            </w:tcBorders>
          </w:tcPr>
          <w:p w14:paraId="247E6424" w14:textId="77777777" w:rsidR="008E4EBD" w:rsidRDefault="00483AC6">
            <w:pPr>
              <w:pStyle w:val="Compact"/>
              <w:jc w:val="center"/>
            </w:pPr>
            <w:r>
              <w:t>1.001</w:t>
            </w:r>
          </w:p>
        </w:tc>
        <w:tc>
          <w:tcPr>
            <w:tcW w:w="957" w:type="dxa"/>
            <w:tcBorders>
              <w:top w:val="nil"/>
              <w:left w:val="nil"/>
              <w:bottom w:val="nil"/>
              <w:right w:val="nil"/>
            </w:tcBorders>
          </w:tcPr>
          <w:p w14:paraId="247E6425" w14:textId="77777777" w:rsidR="008E4EBD" w:rsidRDefault="00483AC6">
            <w:pPr>
              <w:pStyle w:val="Compact"/>
              <w:jc w:val="center"/>
            </w:pPr>
            <w:r>
              <w:t>0.495</w:t>
            </w:r>
          </w:p>
        </w:tc>
        <w:tc>
          <w:tcPr>
            <w:tcW w:w="1367" w:type="dxa"/>
            <w:tcBorders>
              <w:top w:val="nil"/>
              <w:left w:val="nil"/>
              <w:bottom w:val="nil"/>
              <w:right w:val="nil"/>
            </w:tcBorders>
          </w:tcPr>
          <w:p w14:paraId="247E6426" w14:textId="77777777" w:rsidR="008E4EBD" w:rsidRDefault="00483AC6">
            <w:pPr>
              <w:pStyle w:val="Compact"/>
              <w:jc w:val="center"/>
            </w:pPr>
            <w:r>
              <w:t>0.474</w:t>
            </w:r>
          </w:p>
        </w:tc>
        <w:tc>
          <w:tcPr>
            <w:tcW w:w="1367" w:type="dxa"/>
            <w:tcBorders>
              <w:top w:val="nil"/>
              <w:left w:val="nil"/>
              <w:bottom w:val="nil"/>
              <w:right w:val="nil"/>
            </w:tcBorders>
          </w:tcPr>
          <w:p w14:paraId="247E6427" w14:textId="77777777" w:rsidR="008E4EBD" w:rsidRDefault="00483AC6">
            <w:pPr>
              <w:pStyle w:val="Compact"/>
              <w:jc w:val="center"/>
            </w:pPr>
            <w:r>
              <w:t>0.474</w:t>
            </w:r>
          </w:p>
        </w:tc>
        <w:tc>
          <w:tcPr>
            <w:tcW w:w="1508" w:type="dxa"/>
            <w:tcBorders>
              <w:top w:val="nil"/>
              <w:left w:val="nil"/>
              <w:bottom w:val="nil"/>
              <w:right w:val="nil"/>
            </w:tcBorders>
          </w:tcPr>
          <w:p w14:paraId="247E6428" w14:textId="77777777" w:rsidR="008E4EBD" w:rsidRDefault="00483AC6">
            <w:pPr>
              <w:pStyle w:val="Compact"/>
              <w:jc w:val="center"/>
            </w:pPr>
            <w:r>
              <w:t>0.462</w:t>
            </w:r>
          </w:p>
        </w:tc>
      </w:tr>
      <w:tr w:rsidR="008E4EBD" w14:paraId="247E6432" w14:textId="77777777">
        <w:tc>
          <w:tcPr>
            <w:tcW w:w="957" w:type="dxa"/>
            <w:tcBorders>
              <w:top w:val="nil"/>
              <w:left w:val="nil"/>
              <w:bottom w:val="nil"/>
              <w:right w:val="nil"/>
            </w:tcBorders>
          </w:tcPr>
          <w:p w14:paraId="247E642A" w14:textId="77777777" w:rsidR="008E4EBD" w:rsidRDefault="00483AC6">
            <w:pPr>
              <w:pStyle w:val="Compact"/>
              <w:jc w:val="center"/>
            </w:pPr>
            <w:r>
              <w:t>B</w:t>
            </w:r>
          </w:p>
        </w:tc>
        <w:tc>
          <w:tcPr>
            <w:tcW w:w="683" w:type="dxa"/>
            <w:tcBorders>
              <w:top w:val="nil"/>
              <w:left w:val="nil"/>
              <w:bottom w:val="nil"/>
              <w:right w:val="nil"/>
            </w:tcBorders>
          </w:tcPr>
          <w:p w14:paraId="247E642B" w14:textId="77777777" w:rsidR="008E4EBD" w:rsidRDefault="00483AC6">
            <w:pPr>
              <w:pStyle w:val="Compact"/>
              <w:jc w:val="center"/>
            </w:pPr>
            <w:r>
              <w:t>0.8</w:t>
            </w:r>
          </w:p>
        </w:tc>
        <w:tc>
          <w:tcPr>
            <w:tcW w:w="683" w:type="dxa"/>
            <w:tcBorders>
              <w:top w:val="nil"/>
              <w:left w:val="nil"/>
              <w:bottom w:val="nil"/>
              <w:right w:val="nil"/>
            </w:tcBorders>
          </w:tcPr>
          <w:p w14:paraId="247E642C" w14:textId="77777777" w:rsidR="008E4EBD" w:rsidRDefault="00483AC6">
            <w:pPr>
              <w:pStyle w:val="Compact"/>
              <w:jc w:val="center"/>
            </w:pPr>
            <w:r>
              <w:t>0.0</w:t>
            </w:r>
          </w:p>
        </w:tc>
        <w:tc>
          <w:tcPr>
            <w:tcW w:w="1504" w:type="dxa"/>
            <w:tcBorders>
              <w:top w:val="nil"/>
              <w:left w:val="nil"/>
              <w:bottom w:val="nil"/>
              <w:right w:val="nil"/>
            </w:tcBorders>
          </w:tcPr>
          <w:p w14:paraId="247E642D" w14:textId="77777777" w:rsidR="008E4EBD" w:rsidRDefault="00483AC6">
            <w:pPr>
              <w:pStyle w:val="Compact"/>
              <w:jc w:val="center"/>
            </w:pPr>
            <w:r>
              <w:t>0.997</w:t>
            </w:r>
          </w:p>
        </w:tc>
        <w:tc>
          <w:tcPr>
            <w:tcW w:w="957" w:type="dxa"/>
            <w:tcBorders>
              <w:top w:val="nil"/>
              <w:left w:val="nil"/>
              <w:bottom w:val="nil"/>
              <w:right w:val="nil"/>
            </w:tcBorders>
          </w:tcPr>
          <w:p w14:paraId="247E642E" w14:textId="77777777" w:rsidR="008E4EBD" w:rsidRDefault="00483AC6">
            <w:pPr>
              <w:pStyle w:val="Compact"/>
              <w:jc w:val="center"/>
            </w:pPr>
            <w:r>
              <w:t>0.493</w:t>
            </w:r>
          </w:p>
        </w:tc>
        <w:tc>
          <w:tcPr>
            <w:tcW w:w="1367" w:type="dxa"/>
            <w:tcBorders>
              <w:top w:val="nil"/>
              <w:left w:val="nil"/>
              <w:bottom w:val="nil"/>
              <w:right w:val="nil"/>
            </w:tcBorders>
          </w:tcPr>
          <w:p w14:paraId="247E642F" w14:textId="77777777" w:rsidR="008E4EBD" w:rsidRDefault="00483AC6">
            <w:pPr>
              <w:pStyle w:val="Compact"/>
              <w:jc w:val="center"/>
            </w:pPr>
            <w:r>
              <w:t>0.370</w:t>
            </w:r>
          </w:p>
        </w:tc>
        <w:tc>
          <w:tcPr>
            <w:tcW w:w="1367" w:type="dxa"/>
            <w:tcBorders>
              <w:top w:val="nil"/>
              <w:left w:val="nil"/>
              <w:bottom w:val="nil"/>
              <w:right w:val="nil"/>
            </w:tcBorders>
          </w:tcPr>
          <w:p w14:paraId="247E6430" w14:textId="77777777" w:rsidR="008E4EBD" w:rsidRDefault="00483AC6">
            <w:pPr>
              <w:pStyle w:val="Compact"/>
              <w:jc w:val="center"/>
            </w:pPr>
            <w:r>
              <w:t>0.370</w:t>
            </w:r>
          </w:p>
        </w:tc>
        <w:tc>
          <w:tcPr>
            <w:tcW w:w="1508" w:type="dxa"/>
            <w:tcBorders>
              <w:top w:val="nil"/>
              <w:left w:val="nil"/>
              <w:bottom w:val="nil"/>
              <w:right w:val="nil"/>
            </w:tcBorders>
          </w:tcPr>
          <w:p w14:paraId="247E6431" w14:textId="77777777" w:rsidR="008E4EBD" w:rsidRDefault="00483AC6">
            <w:pPr>
              <w:pStyle w:val="Compact"/>
              <w:jc w:val="center"/>
            </w:pPr>
            <w:r>
              <w:t>0.358</w:t>
            </w:r>
          </w:p>
        </w:tc>
      </w:tr>
      <w:tr w:rsidR="008E4EBD" w14:paraId="247E643B" w14:textId="77777777">
        <w:tc>
          <w:tcPr>
            <w:tcW w:w="957" w:type="dxa"/>
            <w:tcBorders>
              <w:top w:val="nil"/>
              <w:left w:val="nil"/>
              <w:bottom w:val="nil"/>
              <w:right w:val="nil"/>
            </w:tcBorders>
          </w:tcPr>
          <w:p w14:paraId="247E6433" w14:textId="77777777" w:rsidR="008E4EBD" w:rsidRDefault="00483AC6">
            <w:pPr>
              <w:pStyle w:val="Compact"/>
              <w:jc w:val="center"/>
            </w:pPr>
            <w:r>
              <w:t>C</w:t>
            </w:r>
          </w:p>
        </w:tc>
        <w:tc>
          <w:tcPr>
            <w:tcW w:w="683" w:type="dxa"/>
            <w:tcBorders>
              <w:top w:val="nil"/>
              <w:left w:val="nil"/>
              <w:bottom w:val="nil"/>
              <w:right w:val="nil"/>
            </w:tcBorders>
          </w:tcPr>
          <w:p w14:paraId="247E6434" w14:textId="77777777" w:rsidR="008E4EBD" w:rsidRDefault="00483AC6">
            <w:pPr>
              <w:pStyle w:val="Compact"/>
              <w:jc w:val="center"/>
            </w:pPr>
            <w:r>
              <w:t>0.4</w:t>
            </w:r>
          </w:p>
        </w:tc>
        <w:tc>
          <w:tcPr>
            <w:tcW w:w="683" w:type="dxa"/>
            <w:tcBorders>
              <w:top w:val="nil"/>
              <w:left w:val="nil"/>
              <w:bottom w:val="nil"/>
              <w:right w:val="nil"/>
            </w:tcBorders>
          </w:tcPr>
          <w:p w14:paraId="247E6435" w14:textId="77777777" w:rsidR="008E4EBD" w:rsidRDefault="00483AC6">
            <w:pPr>
              <w:pStyle w:val="Compact"/>
              <w:jc w:val="center"/>
            </w:pPr>
            <w:r>
              <w:t>0.4</w:t>
            </w:r>
          </w:p>
        </w:tc>
        <w:tc>
          <w:tcPr>
            <w:tcW w:w="1504" w:type="dxa"/>
            <w:tcBorders>
              <w:top w:val="nil"/>
              <w:left w:val="nil"/>
              <w:bottom w:val="nil"/>
              <w:right w:val="nil"/>
            </w:tcBorders>
          </w:tcPr>
          <w:p w14:paraId="247E6436" w14:textId="77777777" w:rsidR="008E4EBD" w:rsidRDefault="00483AC6">
            <w:pPr>
              <w:pStyle w:val="Compact"/>
              <w:jc w:val="center"/>
            </w:pPr>
            <w:r>
              <w:t>1.003</w:t>
            </w:r>
          </w:p>
        </w:tc>
        <w:tc>
          <w:tcPr>
            <w:tcW w:w="957" w:type="dxa"/>
            <w:tcBorders>
              <w:top w:val="nil"/>
              <w:left w:val="nil"/>
              <w:bottom w:val="nil"/>
              <w:right w:val="nil"/>
            </w:tcBorders>
          </w:tcPr>
          <w:p w14:paraId="247E6437" w14:textId="77777777" w:rsidR="008E4EBD" w:rsidRDefault="00483AC6">
            <w:pPr>
              <w:pStyle w:val="Compact"/>
              <w:jc w:val="center"/>
            </w:pPr>
            <w:r>
              <w:t>0.498</w:t>
            </w:r>
          </w:p>
        </w:tc>
        <w:tc>
          <w:tcPr>
            <w:tcW w:w="1367" w:type="dxa"/>
            <w:tcBorders>
              <w:top w:val="nil"/>
              <w:left w:val="nil"/>
              <w:bottom w:val="nil"/>
              <w:right w:val="nil"/>
            </w:tcBorders>
          </w:tcPr>
          <w:p w14:paraId="247E6438" w14:textId="77777777" w:rsidR="008E4EBD" w:rsidRDefault="00483AC6">
            <w:pPr>
              <w:pStyle w:val="Compact"/>
              <w:jc w:val="center"/>
            </w:pPr>
            <w:r>
              <w:t>0.579</w:t>
            </w:r>
          </w:p>
        </w:tc>
        <w:tc>
          <w:tcPr>
            <w:tcW w:w="1367" w:type="dxa"/>
            <w:tcBorders>
              <w:top w:val="nil"/>
              <w:left w:val="nil"/>
              <w:bottom w:val="nil"/>
              <w:right w:val="nil"/>
            </w:tcBorders>
          </w:tcPr>
          <w:p w14:paraId="247E6439" w14:textId="77777777" w:rsidR="008E4EBD" w:rsidRDefault="00483AC6">
            <w:pPr>
              <w:pStyle w:val="Compact"/>
              <w:jc w:val="center"/>
            </w:pPr>
            <w:r>
              <w:t>0.500</w:t>
            </w:r>
          </w:p>
        </w:tc>
        <w:tc>
          <w:tcPr>
            <w:tcW w:w="1508" w:type="dxa"/>
            <w:tcBorders>
              <w:top w:val="nil"/>
              <w:left w:val="nil"/>
              <w:bottom w:val="nil"/>
              <w:right w:val="nil"/>
            </w:tcBorders>
          </w:tcPr>
          <w:p w14:paraId="247E643A" w14:textId="77777777" w:rsidR="008E4EBD" w:rsidRDefault="00483AC6">
            <w:pPr>
              <w:pStyle w:val="Compact"/>
              <w:jc w:val="center"/>
            </w:pPr>
            <w:r>
              <w:t>0.487</w:t>
            </w:r>
          </w:p>
        </w:tc>
      </w:tr>
      <w:tr w:rsidR="008E4EBD" w14:paraId="247E6444" w14:textId="77777777">
        <w:tc>
          <w:tcPr>
            <w:tcW w:w="957" w:type="dxa"/>
            <w:tcBorders>
              <w:top w:val="nil"/>
              <w:left w:val="nil"/>
              <w:bottom w:val="nil"/>
              <w:right w:val="nil"/>
            </w:tcBorders>
          </w:tcPr>
          <w:p w14:paraId="247E643C" w14:textId="77777777" w:rsidR="008E4EBD" w:rsidRDefault="00483AC6">
            <w:pPr>
              <w:pStyle w:val="Compact"/>
              <w:jc w:val="center"/>
            </w:pPr>
            <w:r>
              <w:t>C</w:t>
            </w:r>
          </w:p>
        </w:tc>
        <w:tc>
          <w:tcPr>
            <w:tcW w:w="683" w:type="dxa"/>
            <w:tcBorders>
              <w:top w:val="nil"/>
              <w:left w:val="nil"/>
              <w:bottom w:val="nil"/>
              <w:right w:val="nil"/>
            </w:tcBorders>
          </w:tcPr>
          <w:p w14:paraId="247E643D" w14:textId="77777777" w:rsidR="008E4EBD" w:rsidRDefault="00483AC6">
            <w:pPr>
              <w:pStyle w:val="Compact"/>
              <w:jc w:val="center"/>
            </w:pPr>
            <w:r>
              <w:t>0.4</w:t>
            </w:r>
          </w:p>
        </w:tc>
        <w:tc>
          <w:tcPr>
            <w:tcW w:w="683" w:type="dxa"/>
            <w:tcBorders>
              <w:top w:val="nil"/>
              <w:left w:val="nil"/>
              <w:bottom w:val="nil"/>
              <w:right w:val="nil"/>
            </w:tcBorders>
          </w:tcPr>
          <w:p w14:paraId="247E643E" w14:textId="77777777" w:rsidR="008E4EBD" w:rsidRDefault="00483AC6">
            <w:pPr>
              <w:pStyle w:val="Compact"/>
              <w:jc w:val="center"/>
            </w:pPr>
            <w:r>
              <w:t>0.8</w:t>
            </w:r>
          </w:p>
        </w:tc>
        <w:tc>
          <w:tcPr>
            <w:tcW w:w="1504" w:type="dxa"/>
            <w:tcBorders>
              <w:top w:val="nil"/>
              <w:left w:val="nil"/>
              <w:bottom w:val="nil"/>
              <w:right w:val="nil"/>
            </w:tcBorders>
          </w:tcPr>
          <w:p w14:paraId="247E643F" w14:textId="77777777" w:rsidR="008E4EBD" w:rsidRDefault="00483AC6">
            <w:pPr>
              <w:pStyle w:val="Compact"/>
              <w:jc w:val="center"/>
            </w:pPr>
            <w:r>
              <w:t>1.006</w:t>
            </w:r>
          </w:p>
        </w:tc>
        <w:tc>
          <w:tcPr>
            <w:tcW w:w="957" w:type="dxa"/>
            <w:tcBorders>
              <w:top w:val="nil"/>
              <w:left w:val="nil"/>
              <w:bottom w:val="nil"/>
              <w:right w:val="nil"/>
            </w:tcBorders>
          </w:tcPr>
          <w:p w14:paraId="247E6440" w14:textId="77777777" w:rsidR="008E4EBD" w:rsidRDefault="00483AC6">
            <w:pPr>
              <w:pStyle w:val="Compact"/>
              <w:jc w:val="center"/>
            </w:pPr>
            <w:r>
              <w:t>0.502</w:t>
            </w:r>
          </w:p>
        </w:tc>
        <w:tc>
          <w:tcPr>
            <w:tcW w:w="1367" w:type="dxa"/>
            <w:tcBorders>
              <w:top w:val="nil"/>
              <w:left w:val="nil"/>
              <w:bottom w:val="nil"/>
              <w:right w:val="nil"/>
            </w:tcBorders>
          </w:tcPr>
          <w:p w14:paraId="247E6441" w14:textId="77777777" w:rsidR="008E4EBD" w:rsidRDefault="00483AC6">
            <w:pPr>
              <w:pStyle w:val="Compact"/>
              <w:jc w:val="center"/>
            </w:pPr>
            <w:r>
              <w:t>0.843</w:t>
            </w:r>
          </w:p>
        </w:tc>
        <w:tc>
          <w:tcPr>
            <w:tcW w:w="1367" w:type="dxa"/>
            <w:tcBorders>
              <w:top w:val="nil"/>
              <w:left w:val="nil"/>
              <w:bottom w:val="nil"/>
              <w:right w:val="nil"/>
            </w:tcBorders>
          </w:tcPr>
          <w:p w14:paraId="247E6442" w14:textId="77777777" w:rsidR="008E4EBD" w:rsidRDefault="00483AC6">
            <w:pPr>
              <w:pStyle w:val="Compact"/>
              <w:jc w:val="center"/>
            </w:pPr>
            <w:r>
              <w:t>0.455</w:t>
            </w:r>
          </w:p>
        </w:tc>
        <w:tc>
          <w:tcPr>
            <w:tcW w:w="1508" w:type="dxa"/>
            <w:tcBorders>
              <w:top w:val="nil"/>
              <w:left w:val="nil"/>
              <w:bottom w:val="nil"/>
              <w:right w:val="nil"/>
            </w:tcBorders>
          </w:tcPr>
          <w:p w14:paraId="247E6443" w14:textId="77777777" w:rsidR="008E4EBD" w:rsidRDefault="00483AC6">
            <w:pPr>
              <w:pStyle w:val="Compact"/>
              <w:jc w:val="center"/>
            </w:pPr>
            <w:r>
              <w:t>0.440</w:t>
            </w:r>
          </w:p>
        </w:tc>
      </w:tr>
      <w:tr w:rsidR="008E4EBD" w14:paraId="247E644D" w14:textId="77777777">
        <w:tc>
          <w:tcPr>
            <w:tcW w:w="957" w:type="dxa"/>
            <w:tcBorders>
              <w:top w:val="nil"/>
              <w:left w:val="nil"/>
              <w:bottom w:val="nil"/>
              <w:right w:val="nil"/>
            </w:tcBorders>
          </w:tcPr>
          <w:p w14:paraId="247E6445" w14:textId="77777777" w:rsidR="008E4EBD" w:rsidRDefault="00483AC6">
            <w:pPr>
              <w:pStyle w:val="Compact"/>
              <w:jc w:val="center"/>
            </w:pPr>
            <w:r>
              <w:t>C</w:t>
            </w:r>
          </w:p>
        </w:tc>
        <w:tc>
          <w:tcPr>
            <w:tcW w:w="683" w:type="dxa"/>
            <w:tcBorders>
              <w:top w:val="nil"/>
              <w:left w:val="nil"/>
              <w:bottom w:val="nil"/>
              <w:right w:val="nil"/>
            </w:tcBorders>
          </w:tcPr>
          <w:p w14:paraId="247E6446" w14:textId="77777777" w:rsidR="008E4EBD" w:rsidRDefault="00483AC6">
            <w:pPr>
              <w:pStyle w:val="Compact"/>
              <w:jc w:val="center"/>
            </w:pPr>
            <w:r>
              <w:t>0.8</w:t>
            </w:r>
          </w:p>
        </w:tc>
        <w:tc>
          <w:tcPr>
            <w:tcW w:w="683" w:type="dxa"/>
            <w:tcBorders>
              <w:top w:val="nil"/>
              <w:left w:val="nil"/>
              <w:bottom w:val="nil"/>
              <w:right w:val="nil"/>
            </w:tcBorders>
          </w:tcPr>
          <w:p w14:paraId="247E6447" w14:textId="77777777" w:rsidR="008E4EBD" w:rsidRDefault="00483AC6">
            <w:pPr>
              <w:pStyle w:val="Compact"/>
              <w:jc w:val="center"/>
            </w:pPr>
            <w:r>
              <w:t>0.4</w:t>
            </w:r>
          </w:p>
        </w:tc>
        <w:tc>
          <w:tcPr>
            <w:tcW w:w="1504" w:type="dxa"/>
            <w:tcBorders>
              <w:top w:val="nil"/>
              <w:left w:val="nil"/>
              <w:bottom w:val="nil"/>
              <w:right w:val="nil"/>
            </w:tcBorders>
          </w:tcPr>
          <w:p w14:paraId="247E6448" w14:textId="77777777" w:rsidR="008E4EBD" w:rsidRDefault="00483AC6">
            <w:pPr>
              <w:pStyle w:val="Compact"/>
              <w:jc w:val="center"/>
            </w:pPr>
            <w:r>
              <w:t>0.999</w:t>
            </w:r>
          </w:p>
        </w:tc>
        <w:tc>
          <w:tcPr>
            <w:tcW w:w="957" w:type="dxa"/>
            <w:tcBorders>
              <w:top w:val="nil"/>
              <w:left w:val="nil"/>
              <w:bottom w:val="nil"/>
              <w:right w:val="nil"/>
            </w:tcBorders>
          </w:tcPr>
          <w:p w14:paraId="247E6449" w14:textId="77777777" w:rsidR="008E4EBD" w:rsidRDefault="00483AC6">
            <w:pPr>
              <w:pStyle w:val="Compact"/>
              <w:jc w:val="center"/>
            </w:pPr>
            <w:r>
              <w:t>0.497</w:t>
            </w:r>
          </w:p>
        </w:tc>
        <w:tc>
          <w:tcPr>
            <w:tcW w:w="1367" w:type="dxa"/>
            <w:tcBorders>
              <w:top w:val="nil"/>
              <w:left w:val="nil"/>
              <w:bottom w:val="nil"/>
              <w:right w:val="nil"/>
            </w:tcBorders>
          </w:tcPr>
          <w:p w14:paraId="247E644A" w14:textId="77777777" w:rsidR="008E4EBD" w:rsidRDefault="00483AC6">
            <w:pPr>
              <w:pStyle w:val="Compact"/>
              <w:jc w:val="center"/>
            </w:pPr>
            <w:r>
              <w:t>0.496</w:t>
            </w:r>
          </w:p>
        </w:tc>
        <w:tc>
          <w:tcPr>
            <w:tcW w:w="1367" w:type="dxa"/>
            <w:tcBorders>
              <w:top w:val="nil"/>
              <w:left w:val="nil"/>
              <w:bottom w:val="nil"/>
              <w:right w:val="nil"/>
            </w:tcBorders>
          </w:tcPr>
          <w:p w14:paraId="247E644B" w14:textId="77777777" w:rsidR="008E4EBD" w:rsidRDefault="00483AC6">
            <w:pPr>
              <w:pStyle w:val="Compact"/>
              <w:jc w:val="center"/>
            </w:pPr>
            <w:r>
              <w:t>0.448</w:t>
            </w:r>
          </w:p>
        </w:tc>
        <w:tc>
          <w:tcPr>
            <w:tcW w:w="1508" w:type="dxa"/>
            <w:tcBorders>
              <w:top w:val="nil"/>
              <w:left w:val="nil"/>
              <w:bottom w:val="nil"/>
              <w:right w:val="nil"/>
            </w:tcBorders>
          </w:tcPr>
          <w:p w14:paraId="247E644C" w14:textId="77777777" w:rsidR="008E4EBD" w:rsidRDefault="00483AC6">
            <w:pPr>
              <w:pStyle w:val="Compact"/>
              <w:jc w:val="center"/>
            </w:pPr>
            <w:r>
              <w:t>0.435</w:t>
            </w:r>
          </w:p>
        </w:tc>
      </w:tr>
      <w:tr w:rsidR="008E4EBD" w14:paraId="247E6456" w14:textId="77777777">
        <w:tc>
          <w:tcPr>
            <w:tcW w:w="957" w:type="dxa"/>
            <w:tcBorders>
              <w:top w:val="nil"/>
              <w:left w:val="nil"/>
              <w:bottom w:val="single" w:sz="12" w:space="0" w:color="auto"/>
              <w:right w:val="nil"/>
            </w:tcBorders>
          </w:tcPr>
          <w:p w14:paraId="247E644E" w14:textId="77777777" w:rsidR="008E4EBD" w:rsidRDefault="00483AC6">
            <w:pPr>
              <w:pStyle w:val="Compact"/>
              <w:jc w:val="center"/>
            </w:pPr>
            <w:r>
              <w:t>C</w:t>
            </w:r>
          </w:p>
        </w:tc>
        <w:tc>
          <w:tcPr>
            <w:tcW w:w="683" w:type="dxa"/>
            <w:tcBorders>
              <w:top w:val="nil"/>
              <w:left w:val="nil"/>
              <w:bottom w:val="single" w:sz="12" w:space="0" w:color="auto"/>
              <w:right w:val="nil"/>
            </w:tcBorders>
          </w:tcPr>
          <w:p w14:paraId="247E644F" w14:textId="77777777" w:rsidR="008E4EBD" w:rsidRDefault="00483AC6">
            <w:pPr>
              <w:pStyle w:val="Compact"/>
              <w:jc w:val="center"/>
            </w:pPr>
            <w:r>
              <w:t>0.8</w:t>
            </w:r>
          </w:p>
        </w:tc>
        <w:tc>
          <w:tcPr>
            <w:tcW w:w="683" w:type="dxa"/>
            <w:tcBorders>
              <w:top w:val="nil"/>
              <w:left w:val="nil"/>
              <w:bottom w:val="single" w:sz="12" w:space="0" w:color="auto"/>
              <w:right w:val="nil"/>
            </w:tcBorders>
          </w:tcPr>
          <w:p w14:paraId="247E6450" w14:textId="77777777" w:rsidR="008E4EBD" w:rsidRDefault="00483AC6">
            <w:pPr>
              <w:pStyle w:val="Compact"/>
              <w:jc w:val="center"/>
            </w:pPr>
            <w:r>
              <w:t>0.8</w:t>
            </w:r>
          </w:p>
        </w:tc>
        <w:tc>
          <w:tcPr>
            <w:tcW w:w="1504" w:type="dxa"/>
            <w:tcBorders>
              <w:top w:val="nil"/>
              <w:left w:val="nil"/>
              <w:bottom w:val="single" w:sz="12" w:space="0" w:color="auto"/>
              <w:right w:val="nil"/>
            </w:tcBorders>
          </w:tcPr>
          <w:p w14:paraId="247E6451" w14:textId="77777777" w:rsidR="008E4EBD" w:rsidRDefault="00483AC6">
            <w:pPr>
              <w:pStyle w:val="Compact"/>
              <w:jc w:val="center"/>
            </w:pPr>
            <w:r>
              <w:t>1.002</w:t>
            </w:r>
          </w:p>
        </w:tc>
        <w:tc>
          <w:tcPr>
            <w:tcW w:w="957" w:type="dxa"/>
            <w:tcBorders>
              <w:top w:val="nil"/>
              <w:left w:val="nil"/>
              <w:bottom w:val="single" w:sz="12" w:space="0" w:color="auto"/>
              <w:right w:val="nil"/>
            </w:tcBorders>
          </w:tcPr>
          <w:p w14:paraId="247E6452" w14:textId="77777777" w:rsidR="008E4EBD" w:rsidRDefault="00483AC6">
            <w:pPr>
              <w:pStyle w:val="Compact"/>
              <w:jc w:val="center"/>
            </w:pPr>
            <w:r>
              <w:t>0.502</w:t>
            </w:r>
          </w:p>
        </w:tc>
        <w:tc>
          <w:tcPr>
            <w:tcW w:w="1367" w:type="dxa"/>
            <w:tcBorders>
              <w:top w:val="nil"/>
              <w:left w:val="nil"/>
              <w:bottom w:val="single" w:sz="12" w:space="0" w:color="auto"/>
              <w:right w:val="nil"/>
            </w:tcBorders>
          </w:tcPr>
          <w:p w14:paraId="247E6453" w14:textId="77777777" w:rsidR="008E4EBD" w:rsidRDefault="00483AC6">
            <w:pPr>
              <w:pStyle w:val="Compact"/>
              <w:jc w:val="center"/>
            </w:pPr>
            <w:r>
              <w:t>0.702</w:t>
            </w:r>
          </w:p>
        </w:tc>
        <w:tc>
          <w:tcPr>
            <w:tcW w:w="1367" w:type="dxa"/>
            <w:tcBorders>
              <w:top w:val="nil"/>
              <w:left w:val="nil"/>
              <w:bottom w:val="single" w:sz="12" w:space="0" w:color="auto"/>
              <w:right w:val="nil"/>
            </w:tcBorders>
          </w:tcPr>
          <w:p w14:paraId="247E6454" w14:textId="77777777" w:rsidR="008E4EBD" w:rsidRDefault="00483AC6">
            <w:pPr>
              <w:pStyle w:val="Compact"/>
              <w:jc w:val="center"/>
            </w:pPr>
            <w:r>
              <w:t>0.487</w:t>
            </w:r>
          </w:p>
        </w:tc>
        <w:tc>
          <w:tcPr>
            <w:tcW w:w="1508" w:type="dxa"/>
            <w:tcBorders>
              <w:top w:val="nil"/>
              <w:left w:val="nil"/>
              <w:bottom w:val="single" w:sz="12" w:space="0" w:color="auto"/>
              <w:right w:val="nil"/>
            </w:tcBorders>
          </w:tcPr>
          <w:p w14:paraId="247E6455" w14:textId="77777777" w:rsidR="008E4EBD" w:rsidRDefault="00483AC6">
            <w:pPr>
              <w:pStyle w:val="Compact"/>
              <w:jc w:val="center"/>
            </w:pPr>
            <w:r>
              <w:t>0.472</w:t>
            </w:r>
          </w:p>
        </w:tc>
      </w:tr>
    </w:tbl>
    <w:p w14:paraId="247E6457" w14:textId="77777777" w:rsidR="008E4EBD" w:rsidRDefault="00483AC6">
      <w:pPr>
        <w:pStyle w:val="BodyText"/>
      </w:pPr>
      <w:r>
        <w:rPr>
          <w:i/>
        </w:rPr>
        <w:t>Note:</w:t>
      </w:r>
      <w:r>
        <w:t xml:space="preserve"> MFH-diag estimates </w:t>
      </w:r>
      <m:oMath>
        <m:r>
          <w:rPr>
            <w:rFonts w:ascii="Cambria Math" w:hAnsi="Cambria Math"/>
          </w:rPr>
          <m:t>G</m:t>
        </m:r>
      </m:oMath>
      <w:r>
        <w:t xml:space="preserve"> but assumes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MFH-full estimates </w:t>
      </w:r>
      <m:oMath>
        <m:r>
          <w:rPr>
            <w:rFonts w:ascii="Cambria Math" w:hAnsi="Cambria Math"/>
          </w:rPr>
          <m:t>G</m:t>
        </m:r>
      </m:oMath>
      <w:r>
        <w:t xml:space="preserve"> and uses the true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including off-diagonal terms. Monte Carlo standard errors are at most 0.006 (Annex Table A.1).</w:t>
      </w:r>
    </w:p>
    <w:p w14:paraId="247E6458" w14:textId="77777777" w:rsidR="008E4EBD" w:rsidRDefault="00483AC6">
      <w:pPr>
        <w:pStyle w:val="BodyText"/>
      </w:pPr>
      <w:r>
        <w:t>In the baseline scenario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m:t>
        </m:r>
      </m:oMath>
      <w:r>
        <w:t xml:space="preserve">) all three shrinkage estimators are practically indistinguishable (0.496–0.501 against an oracle of 0.489), confirming that fitting the richer models costs essentially nothing when the extra structure is absent. Group B reproduces the familiar message: when area effects are persistent and sampling errors are independent, MFH-diag and MFH-full coincide (their working models are identical here) and track the oracle closely, while UFH stalls at its working-model optimum of about 0.50;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=0.8</m:t>
        </m:r>
      </m:oMath>
      <w:r>
        <w:t xml:space="preserve"> the MFH estimators achieve 0.370 against the oracle’s 0.358—a 25 percent MSE reduction relative to UFH.</w:t>
      </w:r>
    </w:p>
    <w:p w14:paraId="247E6459" w14:textId="77777777" w:rsidR="008E4EBD" w:rsidRDefault="00483AC6">
      <w:pPr>
        <w:pStyle w:val="BodyText"/>
      </w:pPr>
      <w:r>
        <w:t xml:space="preserve">Group A delivers the new result. With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m:t>
        </m:r>
      </m:oMath>
      <w:r>
        <w:t xml:space="preserve"> and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the oracle MSE falls to 0.361: autocorrelated sampling errors are genuine information, because adjacent years’ direct estimates help strip the correlated sampling noise out of the current year’s estimate. MFH-full captures nearly all of this gain (0.376). UFH ignores the off-diagonal elements of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and remains at 0.502; it does not converge to the true BLUP, although its loss is “only” one of forgone information. MFH-diag, by contrast, deteriorates sharply—to 0.575 at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=0.4</m:t>
        </m:r>
      </m:oMath>
      <w:r>
        <w:t xml:space="preserve"> and 0.833 at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w:t>
      </w:r>
      <w:r>
        <w:rPr>
          <w:i/>
        </w:rPr>
        <w:t>worse than UFH by 66 percent</w:t>
      </w:r>
      <w:r>
        <w:t xml:space="preserve">. The mechanism is visible in the covariance-parameter estimates (Annex Table A.3): with nothing else available to explain the cross-year correlation of the residuals </w:t>
      </w:r>
      <m:oMath>
        <m:sSub>
          <m:sSubPr>
            <m:ctrlPr>
              <w:rPr>
                <w:rFonts w:ascii="Cambria Math" w:hAnsi="Cambria Math"/>
              </w:rPr>
            </m:ctrlPr>
          </m:sSubPr>
          <m:e>
            <m:r>
              <w:rPr>
                <w:rFonts w:ascii="Cambria Math" w:hAnsi="Cambria Math"/>
              </w:rPr>
              <m:t>u</m:t>
            </m:r>
          </m:e>
          <m:sub>
            <m:r>
              <m:rPr>
                <m:nor/>
              </m:rPr>
              <m:t>it</m:t>
            </m:r>
          </m:sub>
        </m:sSub>
        <m:r>
          <w:rPr>
            <w:rFonts w:ascii="Cambria Math" w:hAnsi="Cambria Math"/>
          </w:rPr>
          <m:t>+</m:t>
        </m:r>
        <m:sSub>
          <m:sSubPr>
            <m:ctrlPr>
              <w:rPr>
                <w:rFonts w:ascii="Cambria Math" w:hAnsi="Cambria Math"/>
              </w:rPr>
            </m:ctrlPr>
          </m:sSubPr>
          <m:e>
            <m:r>
              <w:rPr>
                <w:rFonts w:ascii="Cambria Math" w:hAnsi="Cambria Math"/>
              </w:rPr>
              <m:t>e</m:t>
            </m:r>
          </m:e>
          <m:sub>
            <m:r>
              <m:rPr>
                <m:nor/>
              </m:rPr>
              <m:t>it</m:t>
            </m:r>
          </m:sub>
        </m:sSub>
      </m:oMath>
      <w:r>
        <w:t xml:space="preserve">, the maximum likelihood estimator under the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working model loads it onto the area effects, producing a spurious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t xml:space="preserve"> of about 0.73 when the true value is zero. The estimator then borrows aggressively across years on the basis of correlation that belongs to the noise, not the signal. This is the phenomenon of Section 5 in its starkest form: MFH-diag converges to the BLUP under its working covariance—not to the true BLUP—and that working covariance is wrong in a way that actively misdirects the prediction weights.</w:t>
      </w:r>
    </w:p>
    <w:p w14:paraId="247E645A" w14:textId="77777777" w:rsidR="008E4EBD" w:rsidRDefault="00483AC6">
      <w:pPr>
        <w:pStyle w:val="BodyText"/>
      </w:pPr>
      <w:r>
        <w:t xml:space="preserve">Group C shows the realistic mixed case. MFH-full tracks the oracle in every cell (within 0.015 throughout). MFH-diag is dominated everywhere, and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its working model breaks down visibly: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t xml:space="preserve"> piles up at the boundary near 1 and </w:t>
      </w:r>
      <m:oMath>
        <m:acc>
          <m:accPr>
            <m:ctrlPr>
              <w:rPr>
                <w:rFonts w:ascii="Cambria Math" w:hAnsi="Cambria Math"/>
              </w:rPr>
            </m:ctrlPr>
          </m:accPr>
          <m:e>
            <m:r>
              <w:rPr>
                <w:rFonts w:ascii="Cambria Math" w:hAnsi="Cambria Math"/>
              </w:rPr>
              <m:t>A</m:t>
            </m:r>
          </m:e>
        </m:acc>
      </m:oMath>
      <w:r>
        <w:t xml:space="preserve"> is inflated by about 26 percent (Annex Table A.3), yielding an MSE of 0.702 against 0.487 for MFH-full. Notably, MFH-diag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=0.8</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=0.4</m:t>
        </m:r>
      </m:oMath>
      <w:r>
        <w:t xml:space="preserve">) is no </w:t>
      </w:r>
      <w:r>
        <w:lastRenderedPageBreak/>
        <w:t>better than UFH (0.496 versus 0.497): the gain from modeling the area-effect covariance is fully dissipated by mismodeling the sampling-error covariance. The general lesson of Table 1 is that MFH improves on UFH only to the extent that its working covariance includes the components that are actually present; it is the full covariance specification, not the multivariate label, that determines convergence to the true BLUP.</w:t>
      </w:r>
    </w:p>
    <w:p w14:paraId="247E645B" w14:textId="77777777" w:rsidR="008E4EBD" w:rsidRDefault="00483AC6">
      <w:pPr>
        <w:pStyle w:val="Heading2"/>
      </w:pPr>
      <w:bookmarkStart w:id="18" w:name="results-for-missing-area-years"/>
      <w:r>
        <w:t>11.4. Results for missing area-years</w:t>
      </w:r>
      <w:bookmarkEnd w:id="18"/>
    </w:p>
    <w:p w14:paraId="247E645C" w14:textId="77777777" w:rsidR="008E4EBD" w:rsidRDefault="00483AC6">
      <w:pPr>
        <w:pStyle w:val="FirstParagraph"/>
      </w:pPr>
      <w:r>
        <w:t>Table 2 addresses the missing area-years, for which UFH can offer only the synthetic prediction.</w:t>
      </w:r>
    </w:p>
    <w:p w14:paraId="247E645D" w14:textId="77777777" w:rsidR="008E4EBD" w:rsidRDefault="00483AC6">
      <w:pPr>
        <w:pStyle w:val="BodyText"/>
      </w:pPr>
      <w:r>
        <w:t>Table 2—Empirical MSE of Predictors for Missing Area-Years (20 Percent of Areas Missing the Final Period)</w:t>
      </w:r>
    </w:p>
    <w:tbl>
      <w:tblPr>
        <w:tblStyle w:val="Table"/>
        <w:tblW w:w="9026" w:type="dxa"/>
        <w:tblLayout w:type="fixed"/>
        <w:tblLook w:val="07E0" w:firstRow="1" w:lastRow="1" w:firstColumn="1" w:lastColumn="1" w:noHBand="1" w:noVBand="1"/>
      </w:tblPr>
      <w:tblGrid>
        <w:gridCol w:w="1002"/>
        <w:gridCol w:w="716"/>
        <w:gridCol w:w="716"/>
        <w:gridCol w:w="2149"/>
        <w:gridCol w:w="1432"/>
        <w:gridCol w:w="1432"/>
        <w:gridCol w:w="1579"/>
      </w:tblGrid>
      <w:tr w:rsidR="008E4EBD" w14:paraId="247E6465" w14:textId="77777777">
        <w:tc>
          <w:tcPr>
            <w:tcW w:w="1002" w:type="dxa"/>
            <w:tcBorders>
              <w:top w:val="single" w:sz="12" w:space="0" w:color="auto"/>
              <w:left w:val="nil"/>
              <w:bottom w:val="single" w:sz="4" w:space="0" w:color="auto"/>
              <w:right w:val="nil"/>
            </w:tcBorders>
            <w:vAlign w:val="bottom"/>
          </w:tcPr>
          <w:p w14:paraId="247E645E" w14:textId="77777777" w:rsidR="008E4EBD" w:rsidRDefault="00483AC6">
            <w:pPr>
              <w:pStyle w:val="Compact"/>
              <w:jc w:val="center"/>
            </w:pPr>
            <w:r>
              <w:rPr>
                <w:b/>
                <w:bCs/>
              </w:rPr>
              <w:t>Group</w:t>
            </w:r>
          </w:p>
        </w:tc>
        <w:tc>
          <w:tcPr>
            <w:tcW w:w="716" w:type="dxa"/>
            <w:tcBorders>
              <w:top w:val="single" w:sz="12" w:space="0" w:color="auto"/>
              <w:left w:val="nil"/>
              <w:bottom w:val="single" w:sz="4" w:space="0" w:color="auto"/>
              <w:right w:val="nil"/>
            </w:tcBorders>
            <w:vAlign w:val="bottom"/>
          </w:tcPr>
          <w:p w14:paraId="247E645F"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716" w:type="dxa"/>
            <w:tcBorders>
              <w:top w:val="single" w:sz="12" w:space="0" w:color="auto"/>
              <w:left w:val="nil"/>
              <w:bottom w:val="single" w:sz="4" w:space="0" w:color="auto"/>
              <w:right w:val="nil"/>
            </w:tcBorders>
            <w:vAlign w:val="bottom"/>
          </w:tcPr>
          <w:p w14:paraId="247E6460"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2149" w:type="dxa"/>
            <w:tcBorders>
              <w:top w:val="single" w:sz="12" w:space="0" w:color="auto"/>
              <w:left w:val="nil"/>
              <w:bottom w:val="single" w:sz="4" w:space="0" w:color="auto"/>
              <w:right w:val="nil"/>
            </w:tcBorders>
            <w:vAlign w:val="bottom"/>
          </w:tcPr>
          <w:p w14:paraId="247E6461" w14:textId="77777777" w:rsidR="008E4EBD" w:rsidRDefault="00483AC6">
            <w:pPr>
              <w:pStyle w:val="Compact"/>
              <w:jc w:val="center"/>
            </w:pPr>
            <w:r>
              <w:rPr>
                <w:b/>
                <w:bCs/>
              </w:rPr>
              <w:t>Synthetic (UFH)</w:t>
            </w:r>
          </w:p>
        </w:tc>
        <w:tc>
          <w:tcPr>
            <w:tcW w:w="1432" w:type="dxa"/>
            <w:tcBorders>
              <w:top w:val="single" w:sz="12" w:space="0" w:color="auto"/>
              <w:left w:val="nil"/>
              <w:bottom w:val="single" w:sz="4" w:space="0" w:color="auto"/>
              <w:right w:val="nil"/>
            </w:tcBorders>
            <w:vAlign w:val="bottom"/>
          </w:tcPr>
          <w:p w14:paraId="247E6462" w14:textId="77777777" w:rsidR="008E4EBD" w:rsidRDefault="00483AC6">
            <w:pPr>
              <w:pStyle w:val="Compact"/>
              <w:jc w:val="center"/>
            </w:pPr>
            <w:r>
              <w:rPr>
                <w:b/>
                <w:bCs/>
              </w:rPr>
              <w:t>MFH-diag</w:t>
            </w:r>
          </w:p>
        </w:tc>
        <w:tc>
          <w:tcPr>
            <w:tcW w:w="1432" w:type="dxa"/>
            <w:tcBorders>
              <w:top w:val="single" w:sz="12" w:space="0" w:color="auto"/>
              <w:left w:val="nil"/>
              <w:bottom w:val="single" w:sz="4" w:space="0" w:color="auto"/>
              <w:right w:val="nil"/>
            </w:tcBorders>
            <w:vAlign w:val="bottom"/>
          </w:tcPr>
          <w:p w14:paraId="247E6463" w14:textId="77777777" w:rsidR="008E4EBD" w:rsidRDefault="00483AC6">
            <w:pPr>
              <w:pStyle w:val="Compact"/>
              <w:jc w:val="center"/>
            </w:pPr>
            <w:r>
              <w:rPr>
                <w:b/>
                <w:bCs/>
              </w:rPr>
              <w:t>MFH-full</w:t>
            </w:r>
          </w:p>
        </w:tc>
        <w:tc>
          <w:tcPr>
            <w:tcW w:w="1579" w:type="dxa"/>
            <w:tcBorders>
              <w:top w:val="single" w:sz="12" w:space="0" w:color="auto"/>
              <w:left w:val="nil"/>
              <w:bottom w:val="single" w:sz="4" w:space="0" w:color="auto"/>
              <w:right w:val="nil"/>
            </w:tcBorders>
            <w:vAlign w:val="bottom"/>
          </w:tcPr>
          <w:p w14:paraId="247E6464" w14:textId="77777777" w:rsidR="008E4EBD" w:rsidRDefault="00483AC6">
            <w:pPr>
              <w:pStyle w:val="Compact"/>
              <w:jc w:val="center"/>
            </w:pPr>
            <w:r>
              <w:rPr>
                <w:b/>
                <w:bCs/>
              </w:rPr>
              <w:t>Oracle BLUP</w:t>
            </w:r>
          </w:p>
        </w:tc>
      </w:tr>
      <w:tr w:rsidR="008E4EBD" w14:paraId="247E646D" w14:textId="77777777">
        <w:tc>
          <w:tcPr>
            <w:tcW w:w="1002" w:type="dxa"/>
            <w:tcBorders>
              <w:top w:val="nil"/>
              <w:left w:val="nil"/>
              <w:bottom w:val="nil"/>
              <w:right w:val="nil"/>
            </w:tcBorders>
          </w:tcPr>
          <w:p w14:paraId="247E6466" w14:textId="77777777" w:rsidR="008E4EBD" w:rsidRDefault="00483AC6">
            <w:pPr>
              <w:pStyle w:val="Compact"/>
              <w:jc w:val="center"/>
            </w:pPr>
            <w:r>
              <w:t>—</w:t>
            </w:r>
          </w:p>
        </w:tc>
        <w:tc>
          <w:tcPr>
            <w:tcW w:w="716" w:type="dxa"/>
            <w:tcBorders>
              <w:top w:val="nil"/>
              <w:left w:val="nil"/>
              <w:bottom w:val="nil"/>
              <w:right w:val="nil"/>
            </w:tcBorders>
          </w:tcPr>
          <w:p w14:paraId="247E6467" w14:textId="77777777" w:rsidR="008E4EBD" w:rsidRDefault="00483AC6">
            <w:pPr>
              <w:pStyle w:val="Compact"/>
              <w:jc w:val="center"/>
            </w:pPr>
            <w:r>
              <w:t>0.0</w:t>
            </w:r>
          </w:p>
        </w:tc>
        <w:tc>
          <w:tcPr>
            <w:tcW w:w="716" w:type="dxa"/>
            <w:tcBorders>
              <w:top w:val="nil"/>
              <w:left w:val="nil"/>
              <w:bottom w:val="nil"/>
              <w:right w:val="nil"/>
            </w:tcBorders>
          </w:tcPr>
          <w:p w14:paraId="247E6468" w14:textId="77777777" w:rsidR="008E4EBD" w:rsidRDefault="00483AC6">
            <w:pPr>
              <w:pStyle w:val="Compact"/>
              <w:jc w:val="center"/>
            </w:pPr>
            <w:r>
              <w:t>0.0</w:t>
            </w:r>
          </w:p>
        </w:tc>
        <w:tc>
          <w:tcPr>
            <w:tcW w:w="2149" w:type="dxa"/>
            <w:tcBorders>
              <w:top w:val="nil"/>
              <w:left w:val="nil"/>
              <w:bottom w:val="nil"/>
              <w:right w:val="nil"/>
            </w:tcBorders>
          </w:tcPr>
          <w:p w14:paraId="247E6469" w14:textId="77777777" w:rsidR="008E4EBD" w:rsidRDefault="00483AC6">
            <w:pPr>
              <w:pStyle w:val="Compact"/>
              <w:jc w:val="center"/>
            </w:pPr>
            <w:r>
              <w:t>1.011</w:t>
            </w:r>
          </w:p>
        </w:tc>
        <w:tc>
          <w:tcPr>
            <w:tcW w:w="1432" w:type="dxa"/>
            <w:tcBorders>
              <w:top w:val="nil"/>
              <w:left w:val="nil"/>
              <w:bottom w:val="nil"/>
              <w:right w:val="nil"/>
            </w:tcBorders>
          </w:tcPr>
          <w:p w14:paraId="247E646A" w14:textId="77777777" w:rsidR="008E4EBD" w:rsidRDefault="00483AC6">
            <w:pPr>
              <w:pStyle w:val="Compact"/>
              <w:jc w:val="center"/>
            </w:pPr>
            <w:r>
              <w:t>1.028</w:t>
            </w:r>
          </w:p>
        </w:tc>
        <w:tc>
          <w:tcPr>
            <w:tcW w:w="1432" w:type="dxa"/>
            <w:tcBorders>
              <w:top w:val="nil"/>
              <w:left w:val="nil"/>
              <w:bottom w:val="nil"/>
              <w:right w:val="nil"/>
            </w:tcBorders>
          </w:tcPr>
          <w:p w14:paraId="247E646B" w14:textId="77777777" w:rsidR="008E4EBD" w:rsidRDefault="00483AC6">
            <w:pPr>
              <w:pStyle w:val="Compact"/>
              <w:jc w:val="center"/>
            </w:pPr>
            <w:r>
              <w:t>1.028</w:t>
            </w:r>
          </w:p>
        </w:tc>
        <w:tc>
          <w:tcPr>
            <w:tcW w:w="1579" w:type="dxa"/>
            <w:tcBorders>
              <w:top w:val="nil"/>
              <w:left w:val="nil"/>
              <w:bottom w:val="nil"/>
              <w:right w:val="nil"/>
            </w:tcBorders>
          </w:tcPr>
          <w:p w14:paraId="247E646C" w14:textId="77777777" w:rsidR="008E4EBD" w:rsidRDefault="00483AC6">
            <w:pPr>
              <w:pStyle w:val="Compact"/>
              <w:jc w:val="center"/>
            </w:pPr>
            <w:r>
              <w:t>0.996</w:t>
            </w:r>
          </w:p>
        </w:tc>
      </w:tr>
      <w:tr w:rsidR="008E4EBD" w14:paraId="247E6475" w14:textId="77777777">
        <w:tc>
          <w:tcPr>
            <w:tcW w:w="1002" w:type="dxa"/>
            <w:tcBorders>
              <w:top w:val="nil"/>
              <w:left w:val="nil"/>
              <w:bottom w:val="nil"/>
              <w:right w:val="nil"/>
            </w:tcBorders>
          </w:tcPr>
          <w:p w14:paraId="247E646E" w14:textId="77777777" w:rsidR="008E4EBD" w:rsidRDefault="00483AC6">
            <w:pPr>
              <w:pStyle w:val="Compact"/>
              <w:jc w:val="center"/>
            </w:pPr>
            <w:r>
              <w:t>A</w:t>
            </w:r>
          </w:p>
        </w:tc>
        <w:tc>
          <w:tcPr>
            <w:tcW w:w="716" w:type="dxa"/>
            <w:tcBorders>
              <w:top w:val="nil"/>
              <w:left w:val="nil"/>
              <w:bottom w:val="nil"/>
              <w:right w:val="nil"/>
            </w:tcBorders>
          </w:tcPr>
          <w:p w14:paraId="247E646F" w14:textId="77777777" w:rsidR="008E4EBD" w:rsidRDefault="00483AC6">
            <w:pPr>
              <w:pStyle w:val="Compact"/>
              <w:jc w:val="center"/>
            </w:pPr>
            <w:r>
              <w:t>0.0</w:t>
            </w:r>
          </w:p>
        </w:tc>
        <w:tc>
          <w:tcPr>
            <w:tcW w:w="716" w:type="dxa"/>
            <w:tcBorders>
              <w:top w:val="nil"/>
              <w:left w:val="nil"/>
              <w:bottom w:val="nil"/>
              <w:right w:val="nil"/>
            </w:tcBorders>
          </w:tcPr>
          <w:p w14:paraId="247E6470" w14:textId="77777777" w:rsidR="008E4EBD" w:rsidRDefault="00483AC6">
            <w:pPr>
              <w:pStyle w:val="Compact"/>
              <w:jc w:val="center"/>
            </w:pPr>
            <w:r>
              <w:t>0.4</w:t>
            </w:r>
          </w:p>
        </w:tc>
        <w:tc>
          <w:tcPr>
            <w:tcW w:w="2149" w:type="dxa"/>
            <w:tcBorders>
              <w:top w:val="nil"/>
              <w:left w:val="nil"/>
              <w:bottom w:val="nil"/>
              <w:right w:val="nil"/>
            </w:tcBorders>
          </w:tcPr>
          <w:p w14:paraId="247E6471" w14:textId="77777777" w:rsidR="008E4EBD" w:rsidRDefault="00483AC6">
            <w:pPr>
              <w:pStyle w:val="Compact"/>
              <w:jc w:val="center"/>
            </w:pPr>
            <w:r>
              <w:t>1.014</w:t>
            </w:r>
          </w:p>
        </w:tc>
        <w:tc>
          <w:tcPr>
            <w:tcW w:w="1432" w:type="dxa"/>
            <w:tcBorders>
              <w:top w:val="nil"/>
              <w:left w:val="nil"/>
              <w:bottom w:val="nil"/>
              <w:right w:val="nil"/>
            </w:tcBorders>
          </w:tcPr>
          <w:p w14:paraId="247E6472" w14:textId="77777777" w:rsidR="008E4EBD" w:rsidRDefault="00483AC6">
            <w:pPr>
              <w:pStyle w:val="Compact"/>
              <w:jc w:val="center"/>
            </w:pPr>
            <w:r>
              <w:t>1.099</w:t>
            </w:r>
          </w:p>
        </w:tc>
        <w:tc>
          <w:tcPr>
            <w:tcW w:w="1432" w:type="dxa"/>
            <w:tcBorders>
              <w:top w:val="nil"/>
              <w:left w:val="nil"/>
              <w:bottom w:val="nil"/>
              <w:right w:val="nil"/>
            </w:tcBorders>
          </w:tcPr>
          <w:p w14:paraId="247E6473" w14:textId="77777777" w:rsidR="008E4EBD" w:rsidRDefault="00483AC6">
            <w:pPr>
              <w:pStyle w:val="Compact"/>
              <w:jc w:val="center"/>
            </w:pPr>
            <w:r>
              <w:t>1.031</w:t>
            </w:r>
          </w:p>
        </w:tc>
        <w:tc>
          <w:tcPr>
            <w:tcW w:w="1579" w:type="dxa"/>
            <w:tcBorders>
              <w:top w:val="nil"/>
              <w:left w:val="nil"/>
              <w:bottom w:val="nil"/>
              <w:right w:val="nil"/>
            </w:tcBorders>
          </w:tcPr>
          <w:p w14:paraId="247E6474" w14:textId="77777777" w:rsidR="008E4EBD" w:rsidRDefault="00483AC6">
            <w:pPr>
              <w:pStyle w:val="Compact"/>
              <w:jc w:val="center"/>
            </w:pPr>
            <w:r>
              <w:t>0.996</w:t>
            </w:r>
          </w:p>
        </w:tc>
      </w:tr>
      <w:tr w:rsidR="008E4EBD" w14:paraId="247E647D" w14:textId="77777777">
        <w:tc>
          <w:tcPr>
            <w:tcW w:w="1002" w:type="dxa"/>
            <w:tcBorders>
              <w:top w:val="nil"/>
              <w:left w:val="nil"/>
              <w:bottom w:val="nil"/>
              <w:right w:val="nil"/>
            </w:tcBorders>
          </w:tcPr>
          <w:p w14:paraId="247E6476" w14:textId="77777777" w:rsidR="008E4EBD" w:rsidRDefault="00483AC6">
            <w:pPr>
              <w:pStyle w:val="Compact"/>
              <w:jc w:val="center"/>
            </w:pPr>
            <w:r>
              <w:t>A</w:t>
            </w:r>
          </w:p>
        </w:tc>
        <w:tc>
          <w:tcPr>
            <w:tcW w:w="716" w:type="dxa"/>
            <w:tcBorders>
              <w:top w:val="nil"/>
              <w:left w:val="nil"/>
              <w:bottom w:val="nil"/>
              <w:right w:val="nil"/>
            </w:tcBorders>
          </w:tcPr>
          <w:p w14:paraId="247E6477" w14:textId="77777777" w:rsidR="008E4EBD" w:rsidRDefault="00483AC6">
            <w:pPr>
              <w:pStyle w:val="Compact"/>
              <w:jc w:val="center"/>
            </w:pPr>
            <w:r>
              <w:t>0.0</w:t>
            </w:r>
          </w:p>
        </w:tc>
        <w:tc>
          <w:tcPr>
            <w:tcW w:w="716" w:type="dxa"/>
            <w:tcBorders>
              <w:top w:val="nil"/>
              <w:left w:val="nil"/>
              <w:bottom w:val="nil"/>
              <w:right w:val="nil"/>
            </w:tcBorders>
          </w:tcPr>
          <w:p w14:paraId="247E6478" w14:textId="77777777" w:rsidR="008E4EBD" w:rsidRDefault="00483AC6">
            <w:pPr>
              <w:pStyle w:val="Compact"/>
              <w:jc w:val="center"/>
            </w:pPr>
            <w:r>
              <w:t>0.8</w:t>
            </w:r>
          </w:p>
        </w:tc>
        <w:tc>
          <w:tcPr>
            <w:tcW w:w="2149" w:type="dxa"/>
            <w:tcBorders>
              <w:top w:val="nil"/>
              <w:left w:val="nil"/>
              <w:bottom w:val="nil"/>
              <w:right w:val="nil"/>
            </w:tcBorders>
          </w:tcPr>
          <w:p w14:paraId="247E6479" w14:textId="77777777" w:rsidR="008E4EBD" w:rsidRDefault="00483AC6">
            <w:pPr>
              <w:pStyle w:val="Compact"/>
              <w:jc w:val="center"/>
            </w:pPr>
            <w:r>
              <w:t>1.016</w:t>
            </w:r>
          </w:p>
        </w:tc>
        <w:tc>
          <w:tcPr>
            <w:tcW w:w="1432" w:type="dxa"/>
            <w:tcBorders>
              <w:top w:val="nil"/>
              <w:left w:val="nil"/>
              <w:bottom w:val="nil"/>
              <w:right w:val="nil"/>
            </w:tcBorders>
          </w:tcPr>
          <w:p w14:paraId="247E647A" w14:textId="77777777" w:rsidR="008E4EBD" w:rsidRDefault="00483AC6">
            <w:pPr>
              <w:pStyle w:val="Compact"/>
              <w:jc w:val="center"/>
            </w:pPr>
            <w:r>
              <w:t>1.346</w:t>
            </w:r>
          </w:p>
        </w:tc>
        <w:tc>
          <w:tcPr>
            <w:tcW w:w="1432" w:type="dxa"/>
            <w:tcBorders>
              <w:top w:val="nil"/>
              <w:left w:val="nil"/>
              <w:bottom w:val="nil"/>
              <w:right w:val="nil"/>
            </w:tcBorders>
          </w:tcPr>
          <w:p w14:paraId="247E647B" w14:textId="77777777" w:rsidR="008E4EBD" w:rsidRDefault="00483AC6">
            <w:pPr>
              <w:pStyle w:val="Compact"/>
              <w:jc w:val="center"/>
            </w:pPr>
            <w:r>
              <w:t>1.034</w:t>
            </w:r>
          </w:p>
        </w:tc>
        <w:tc>
          <w:tcPr>
            <w:tcW w:w="1579" w:type="dxa"/>
            <w:tcBorders>
              <w:top w:val="nil"/>
              <w:left w:val="nil"/>
              <w:bottom w:val="nil"/>
              <w:right w:val="nil"/>
            </w:tcBorders>
          </w:tcPr>
          <w:p w14:paraId="247E647C" w14:textId="77777777" w:rsidR="008E4EBD" w:rsidRDefault="00483AC6">
            <w:pPr>
              <w:pStyle w:val="Compact"/>
              <w:jc w:val="center"/>
            </w:pPr>
            <w:r>
              <w:t>0.996</w:t>
            </w:r>
          </w:p>
        </w:tc>
      </w:tr>
      <w:tr w:rsidR="008E4EBD" w14:paraId="247E6485" w14:textId="77777777">
        <w:tc>
          <w:tcPr>
            <w:tcW w:w="1002" w:type="dxa"/>
            <w:tcBorders>
              <w:top w:val="nil"/>
              <w:left w:val="nil"/>
              <w:bottom w:val="nil"/>
              <w:right w:val="nil"/>
            </w:tcBorders>
          </w:tcPr>
          <w:p w14:paraId="247E647E" w14:textId="77777777" w:rsidR="008E4EBD" w:rsidRDefault="00483AC6">
            <w:pPr>
              <w:pStyle w:val="Compact"/>
              <w:jc w:val="center"/>
            </w:pPr>
            <w:r>
              <w:t>B</w:t>
            </w:r>
          </w:p>
        </w:tc>
        <w:tc>
          <w:tcPr>
            <w:tcW w:w="716" w:type="dxa"/>
            <w:tcBorders>
              <w:top w:val="nil"/>
              <w:left w:val="nil"/>
              <w:bottom w:val="nil"/>
              <w:right w:val="nil"/>
            </w:tcBorders>
          </w:tcPr>
          <w:p w14:paraId="247E647F" w14:textId="77777777" w:rsidR="008E4EBD" w:rsidRDefault="00483AC6">
            <w:pPr>
              <w:pStyle w:val="Compact"/>
              <w:jc w:val="center"/>
            </w:pPr>
            <w:r>
              <w:t>0.4</w:t>
            </w:r>
          </w:p>
        </w:tc>
        <w:tc>
          <w:tcPr>
            <w:tcW w:w="716" w:type="dxa"/>
            <w:tcBorders>
              <w:top w:val="nil"/>
              <w:left w:val="nil"/>
              <w:bottom w:val="nil"/>
              <w:right w:val="nil"/>
            </w:tcBorders>
          </w:tcPr>
          <w:p w14:paraId="247E6480" w14:textId="77777777" w:rsidR="008E4EBD" w:rsidRDefault="00483AC6">
            <w:pPr>
              <w:pStyle w:val="Compact"/>
              <w:jc w:val="center"/>
            </w:pPr>
            <w:r>
              <w:t>0.0</w:t>
            </w:r>
          </w:p>
        </w:tc>
        <w:tc>
          <w:tcPr>
            <w:tcW w:w="2149" w:type="dxa"/>
            <w:tcBorders>
              <w:top w:val="nil"/>
              <w:left w:val="nil"/>
              <w:bottom w:val="nil"/>
              <w:right w:val="nil"/>
            </w:tcBorders>
          </w:tcPr>
          <w:p w14:paraId="247E6481" w14:textId="77777777" w:rsidR="008E4EBD" w:rsidRDefault="00483AC6">
            <w:pPr>
              <w:pStyle w:val="Compact"/>
              <w:jc w:val="center"/>
            </w:pPr>
            <w:r>
              <w:t>1.015</w:t>
            </w:r>
          </w:p>
        </w:tc>
        <w:tc>
          <w:tcPr>
            <w:tcW w:w="1432" w:type="dxa"/>
            <w:tcBorders>
              <w:top w:val="nil"/>
              <w:left w:val="nil"/>
              <w:bottom w:val="nil"/>
              <w:right w:val="nil"/>
            </w:tcBorders>
          </w:tcPr>
          <w:p w14:paraId="247E6482" w14:textId="77777777" w:rsidR="008E4EBD" w:rsidRDefault="00483AC6">
            <w:pPr>
              <w:pStyle w:val="Compact"/>
              <w:jc w:val="center"/>
            </w:pPr>
            <w:r>
              <w:t>0.942</w:t>
            </w:r>
          </w:p>
        </w:tc>
        <w:tc>
          <w:tcPr>
            <w:tcW w:w="1432" w:type="dxa"/>
            <w:tcBorders>
              <w:top w:val="nil"/>
              <w:left w:val="nil"/>
              <w:bottom w:val="nil"/>
              <w:right w:val="nil"/>
            </w:tcBorders>
          </w:tcPr>
          <w:p w14:paraId="247E6483" w14:textId="77777777" w:rsidR="008E4EBD" w:rsidRDefault="00483AC6">
            <w:pPr>
              <w:pStyle w:val="Compact"/>
              <w:jc w:val="center"/>
            </w:pPr>
            <w:r>
              <w:t>0.942</w:t>
            </w:r>
          </w:p>
        </w:tc>
        <w:tc>
          <w:tcPr>
            <w:tcW w:w="1579" w:type="dxa"/>
            <w:tcBorders>
              <w:top w:val="nil"/>
              <w:left w:val="nil"/>
              <w:bottom w:val="nil"/>
              <w:right w:val="nil"/>
            </w:tcBorders>
          </w:tcPr>
          <w:p w14:paraId="247E6484" w14:textId="77777777" w:rsidR="008E4EBD" w:rsidRDefault="00483AC6">
            <w:pPr>
              <w:pStyle w:val="Compact"/>
              <w:jc w:val="center"/>
            </w:pPr>
            <w:r>
              <w:t>0.910</w:t>
            </w:r>
          </w:p>
        </w:tc>
      </w:tr>
      <w:tr w:rsidR="008E4EBD" w14:paraId="247E648D" w14:textId="77777777">
        <w:tc>
          <w:tcPr>
            <w:tcW w:w="1002" w:type="dxa"/>
            <w:tcBorders>
              <w:top w:val="nil"/>
              <w:left w:val="nil"/>
              <w:bottom w:val="nil"/>
              <w:right w:val="nil"/>
            </w:tcBorders>
          </w:tcPr>
          <w:p w14:paraId="247E6486" w14:textId="77777777" w:rsidR="008E4EBD" w:rsidRDefault="00483AC6">
            <w:pPr>
              <w:pStyle w:val="Compact"/>
              <w:jc w:val="center"/>
            </w:pPr>
            <w:r>
              <w:t>B</w:t>
            </w:r>
          </w:p>
        </w:tc>
        <w:tc>
          <w:tcPr>
            <w:tcW w:w="716" w:type="dxa"/>
            <w:tcBorders>
              <w:top w:val="nil"/>
              <w:left w:val="nil"/>
              <w:bottom w:val="nil"/>
              <w:right w:val="nil"/>
            </w:tcBorders>
          </w:tcPr>
          <w:p w14:paraId="247E6487" w14:textId="77777777" w:rsidR="008E4EBD" w:rsidRDefault="00483AC6">
            <w:pPr>
              <w:pStyle w:val="Compact"/>
              <w:jc w:val="center"/>
            </w:pPr>
            <w:r>
              <w:t>0.8</w:t>
            </w:r>
          </w:p>
        </w:tc>
        <w:tc>
          <w:tcPr>
            <w:tcW w:w="716" w:type="dxa"/>
            <w:tcBorders>
              <w:top w:val="nil"/>
              <w:left w:val="nil"/>
              <w:bottom w:val="nil"/>
              <w:right w:val="nil"/>
            </w:tcBorders>
          </w:tcPr>
          <w:p w14:paraId="247E6488" w14:textId="77777777" w:rsidR="008E4EBD" w:rsidRDefault="00483AC6">
            <w:pPr>
              <w:pStyle w:val="Compact"/>
              <w:jc w:val="center"/>
            </w:pPr>
            <w:r>
              <w:t>0.0</w:t>
            </w:r>
          </w:p>
        </w:tc>
        <w:tc>
          <w:tcPr>
            <w:tcW w:w="2149" w:type="dxa"/>
            <w:tcBorders>
              <w:top w:val="nil"/>
              <w:left w:val="nil"/>
              <w:bottom w:val="nil"/>
              <w:right w:val="nil"/>
            </w:tcBorders>
          </w:tcPr>
          <w:p w14:paraId="247E6489" w14:textId="77777777" w:rsidR="008E4EBD" w:rsidRDefault="00483AC6">
            <w:pPr>
              <w:pStyle w:val="Compact"/>
              <w:jc w:val="center"/>
            </w:pPr>
            <w:r>
              <w:t>1.031</w:t>
            </w:r>
          </w:p>
        </w:tc>
        <w:tc>
          <w:tcPr>
            <w:tcW w:w="1432" w:type="dxa"/>
            <w:tcBorders>
              <w:top w:val="nil"/>
              <w:left w:val="nil"/>
              <w:bottom w:val="nil"/>
              <w:right w:val="nil"/>
            </w:tcBorders>
          </w:tcPr>
          <w:p w14:paraId="247E648A" w14:textId="77777777" w:rsidR="008E4EBD" w:rsidRDefault="00483AC6">
            <w:pPr>
              <w:pStyle w:val="Compact"/>
              <w:jc w:val="center"/>
            </w:pPr>
            <w:r>
              <w:t>0.636</w:t>
            </w:r>
          </w:p>
        </w:tc>
        <w:tc>
          <w:tcPr>
            <w:tcW w:w="1432" w:type="dxa"/>
            <w:tcBorders>
              <w:top w:val="nil"/>
              <w:left w:val="nil"/>
              <w:bottom w:val="nil"/>
              <w:right w:val="nil"/>
            </w:tcBorders>
          </w:tcPr>
          <w:p w14:paraId="247E648B" w14:textId="77777777" w:rsidR="008E4EBD" w:rsidRDefault="00483AC6">
            <w:pPr>
              <w:pStyle w:val="Compact"/>
              <w:jc w:val="center"/>
            </w:pPr>
            <w:r>
              <w:t>0.636</w:t>
            </w:r>
          </w:p>
        </w:tc>
        <w:tc>
          <w:tcPr>
            <w:tcW w:w="1579" w:type="dxa"/>
            <w:tcBorders>
              <w:top w:val="nil"/>
              <w:left w:val="nil"/>
              <w:bottom w:val="nil"/>
              <w:right w:val="nil"/>
            </w:tcBorders>
          </w:tcPr>
          <w:p w14:paraId="247E648C" w14:textId="77777777" w:rsidR="008E4EBD" w:rsidRDefault="00483AC6">
            <w:pPr>
              <w:pStyle w:val="Compact"/>
              <w:jc w:val="center"/>
            </w:pPr>
            <w:r>
              <w:t>0.611</w:t>
            </w:r>
          </w:p>
        </w:tc>
      </w:tr>
      <w:tr w:rsidR="008E4EBD" w14:paraId="247E6495" w14:textId="77777777">
        <w:tc>
          <w:tcPr>
            <w:tcW w:w="1002" w:type="dxa"/>
            <w:tcBorders>
              <w:top w:val="nil"/>
              <w:left w:val="nil"/>
              <w:bottom w:val="nil"/>
              <w:right w:val="nil"/>
            </w:tcBorders>
          </w:tcPr>
          <w:p w14:paraId="247E648E" w14:textId="77777777" w:rsidR="008E4EBD" w:rsidRDefault="00483AC6">
            <w:pPr>
              <w:pStyle w:val="Compact"/>
              <w:jc w:val="center"/>
            </w:pPr>
            <w:r>
              <w:t>C</w:t>
            </w:r>
          </w:p>
        </w:tc>
        <w:tc>
          <w:tcPr>
            <w:tcW w:w="716" w:type="dxa"/>
            <w:tcBorders>
              <w:top w:val="nil"/>
              <w:left w:val="nil"/>
              <w:bottom w:val="nil"/>
              <w:right w:val="nil"/>
            </w:tcBorders>
          </w:tcPr>
          <w:p w14:paraId="247E648F" w14:textId="77777777" w:rsidR="008E4EBD" w:rsidRDefault="00483AC6">
            <w:pPr>
              <w:pStyle w:val="Compact"/>
              <w:jc w:val="center"/>
            </w:pPr>
            <w:r>
              <w:t>0.4</w:t>
            </w:r>
          </w:p>
        </w:tc>
        <w:tc>
          <w:tcPr>
            <w:tcW w:w="716" w:type="dxa"/>
            <w:tcBorders>
              <w:top w:val="nil"/>
              <w:left w:val="nil"/>
              <w:bottom w:val="nil"/>
              <w:right w:val="nil"/>
            </w:tcBorders>
          </w:tcPr>
          <w:p w14:paraId="247E6490" w14:textId="77777777" w:rsidR="008E4EBD" w:rsidRDefault="00483AC6">
            <w:pPr>
              <w:pStyle w:val="Compact"/>
              <w:jc w:val="center"/>
            </w:pPr>
            <w:r>
              <w:t>0.4</w:t>
            </w:r>
          </w:p>
        </w:tc>
        <w:tc>
          <w:tcPr>
            <w:tcW w:w="2149" w:type="dxa"/>
            <w:tcBorders>
              <w:top w:val="nil"/>
              <w:left w:val="nil"/>
              <w:bottom w:val="nil"/>
              <w:right w:val="nil"/>
            </w:tcBorders>
          </w:tcPr>
          <w:p w14:paraId="247E6491" w14:textId="77777777" w:rsidR="008E4EBD" w:rsidRDefault="00483AC6">
            <w:pPr>
              <w:pStyle w:val="Compact"/>
              <w:jc w:val="center"/>
            </w:pPr>
            <w:r>
              <w:t>1.017</w:t>
            </w:r>
          </w:p>
        </w:tc>
        <w:tc>
          <w:tcPr>
            <w:tcW w:w="1432" w:type="dxa"/>
            <w:tcBorders>
              <w:top w:val="nil"/>
              <w:left w:val="nil"/>
              <w:bottom w:val="nil"/>
              <w:right w:val="nil"/>
            </w:tcBorders>
          </w:tcPr>
          <w:p w14:paraId="247E6492" w14:textId="77777777" w:rsidR="008E4EBD" w:rsidRDefault="00483AC6">
            <w:pPr>
              <w:pStyle w:val="Compact"/>
              <w:jc w:val="center"/>
            </w:pPr>
            <w:r>
              <w:t>1.010</w:t>
            </w:r>
          </w:p>
        </w:tc>
        <w:tc>
          <w:tcPr>
            <w:tcW w:w="1432" w:type="dxa"/>
            <w:tcBorders>
              <w:top w:val="nil"/>
              <w:left w:val="nil"/>
              <w:bottom w:val="nil"/>
              <w:right w:val="nil"/>
            </w:tcBorders>
          </w:tcPr>
          <w:p w14:paraId="247E6493" w14:textId="77777777" w:rsidR="008E4EBD" w:rsidRDefault="00483AC6">
            <w:pPr>
              <w:pStyle w:val="Compact"/>
              <w:jc w:val="center"/>
            </w:pPr>
            <w:r>
              <w:t>0.947</w:t>
            </w:r>
          </w:p>
        </w:tc>
        <w:tc>
          <w:tcPr>
            <w:tcW w:w="1579" w:type="dxa"/>
            <w:tcBorders>
              <w:top w:val="nil"/>
              <w:left w:val="nil"/>
              <w:bottom w:val="nil"/>
              <w:right w:val="nil"/>
            </w:tcBorders>
          </w:tcPr>
          <w:p w14:paraId="247E6494" w14:textId="77777777" w:rsidR="008E4EBD" w:rsidRDefault="00483AC6">
            <w:pPr>
              <w:pStyle w:val="Compact"/>
              <w:jc w:val="center"/>
            </w:pPr>
            <w:r>
              <w:t>0.914</w:t>
            </w:r>
          </w:p>
        </w:tc>
      </w:tr>
      <w:tr w:rsidR="008E4EBD" w14:paraId="247E649D" w14:textId="77777777">
        <w:tc>
          <w:tcPr>
            <w:tcW w:w="1002" w:type="dxa"/>
            <w:tcBorders>
              <w:top w:val="nil"/>
              <w:left w:val="nil"/>
              <w:bottom w:val="nil"/>
              <w:right w:val="nil"/>
            </w:tcBorders>
          </w:tcPr>
          <w:p w14:paraId="247E6496" w14:textId="77777777" w:rsidR="008E4EBD" w:rsidRDefault="00483AC6">
            <w:pPr>
              <w:pStyle w:val="Compact"/>
              <w:jc w:val="center"/>
            </w:pPr>
            <w:r>
              <w:t>C</w:t>
            </w:r>
          </w:p>
        </w:tc>
        <w:tc>
          <w:tcPr>
            <w:tcW w:w="716" w:type="dxa"/>
            <w:tcBorders>
              <w:top w:val="nil"/>
              <w:left w:val="nil"/>
              <w:bottom w:val="nil"/>
              <w:right w:val="nil"/>
            </w:tcBorders>
          </w:tcPr>
          <w:p w14:paraId="247E6497" w14:textId="77777777" w:rsidR="008E4EBD" w:rsidRDefault="00483AC6">
            <w:pPr>
              <w:pStyle w:val="Compact"/>
              <w:jc w:val="center"/>
            </w:pPr>
            <w:r>
              <w:t>0.4</w:t>
            </w:r>
          </w:p>
        </w:tc>
        <w:tc>
          <w:tcPr>
            <w:tcW w:w="716" w:type="dxa"/>
            <w:tcBorders>
              <w:top w:val="nil"/>
              <w:left w:val="nil"/>
              <w:bottom w:val="nil"/>
              <w:right w:val="nil"/>
            </w:tcBorders>
          </w:tcPr>
          <w:p w14:paraId="247E6498" w14:textId="77777777" w:rsidR="008E4EBD" w:rsidRDefault="00483AC6">
            <w:pPr>
              <w:pStyle w:val="Compact"/>
              <w:jc w:val="center"/>
            </w:pPr>
            <w:r>
              <w:t>0.8</w:t>
            </w:r>
          </w:p>
        </w:tc>
        <w:tc>
          <w:tcPr>
            <w:tcW w:w="2149" w:type="dxa"/>
            <w:tcBorders>
              <w:top w:val="nil"/>
              <w:left w:val="nil"/>
              <w:bottom w:val="nil"/>
              <w:right w:val="nil"/>
            </w:tcBorders>
          </w:tcPr>
          <w:p w14:paraId="247E6499" w14:textId="77777777" w:rsidR="008E4EBD" w:rsidRDefault="00483AC6">
            <w:pPr>
              <w:pStyle w:val="Compact"/>
              <w:jc w:val="center"/>
            </w:pPr>
            <w:r>
              <w:t>1.020</w:t>
            </w:r>
          </w:p>
        </w:tc>
        <w:tc>
          <w:tcPr>
            <w:tcW w:w="1432" w:type="dxa"/>
            <w:tcBorders>
              <w:top w:val="nil"/>
              <w:left w:val="nil"/>
              <w:bottom w:val="nil"/>
              <w:right w:val="nil"/>
            </w:tcBorders>
          </w:tcPr>
          <w:p w14:paraId="247E649A" w14:textId="77777777" w:rsidR="008E4EBD" w:rsidRDefault="00483AC6">
            <w:pPr>
              <w:pStyle w:val="Compact"/>
              <w:jc w:val="center"/>
            </w:pPr>
            <w:r>
              <w:t>1.253</w:t>
            </w:r>
          </w:p>
        </w:tc>
        <w:tc>
          <w:tcPr>
            <w:tcW w:w="1432" w:type="dxa"/>
            <w:tcBorders>
              <w:top w:val="nil"/>
              <w:left w:val="nil"/>
              <w:bottom w:val="nil"/>
              <w:right w:val="nil"/>
            </w:tcBorders>
          </w:tcPr>
          <w:p w14:paraId="247E649B" w14:textId="77777777" w:rsidR="008E4EBD" w:rsidRDefault="00483AC6">
            <w:pPr>
              <w:pStyle w:val="Compact"/>
              <w:jc w:val="center"/>
            </w:pPr>
            <w:r>
              <w:t>0.946</w:t>
            </w:r>
          </w:p>
        </w:tc>
        <w:tc>
          <w:tcPr>
            <w:tcW w:w="1579" w:type="dxa"/>
            <w:tcBorders>
              <w:top w:val="nil"/>
              <w:left w:val="nil"/>
              <w:bottom w:val="nil"/>
              <w:right w:val="nil"/>
            </w:tcBorders>
          </w:tcPr>
          <w:p w14:paraId="247E649C" w14:textId="77777777" w:rsidR="008E4EBD" w:rsidRDefault="00483AC6">
            <w:pPr>
              <w:pStyle w:val="Compact"/>
              <w:jc w:val="center"/>
            </w:pPr>
            <w:r>
              <w:t>0.911</w:t>
            </w:r>
          </w:p>
        </w:tc>
      </w:tr>
      <w:tr w:rsidR="008E4EBD" w14:paraId="247E64A5" w14:textId="77777777">
        <w:tc>
          <w:tcPr>
            <w:tcW w:w="1002" w:type="dxa"/>
            <w:tcBorders>
              <w:top w:val="nil"/>
              <w:left w:val="nil"/>
              <w:bottom w:val="nil"/>
              <w:right w:val="nil"/>
            </w:tcBorders>
          </w:tcPr>
          <w:p w14:paraId="247E649E" w14:textId="77777777" w:rsidR="008E4EBD" w:rsidRDefault="00483AC6">
            <w:pPr>
              <w:pStyle w:val="Compact"/>
              <w:jc w:val="center"/>
            </w:pPr>
            <w:r>
              <w:t>C</w:t>
            </w:r>
          </w:p>
        </w:tc>
        <w:tc>
          <w:tcPr>
            <w:tcW w:w="716" w:type="dxa"/>
            <w:tcBorders>
              <w:top w:val="nil"/>
              <w:left w:val="nil"/>
              <w:bottom w:val="nil"/>
              <w:right w:val="nil"/>
            </w:tcBorders>
          </w:tcPr>
          <w:p w14:paraId="247E649F" w14:textId="77777777" w:rsidR="008E4EBD" w:rsidRDefault="00483AC6">
            <w:pPr>
              <w:pStyle w:val="Compact"/>
              <w:jc w:val="center"/>
            </w:pPr>
            <w:r>
              <w:t>0.8</w:t>
            </w:r>
          </w:p>
        </w:tc>
        <w:tc>
          <w:tcPr>
            <w:tcW w:w="716" w:type="dxa"/>
            <w:tcBorders>
              <w:top w:val="nil"/>
              <w:left w:val="nil"/>
              <w:bottom w:val="nil"/>
              <w:right w:val="nil"/>
            </w:tcBorders>
          </w:tcPr>
          <w:p w14:paraId="247E64A0" w14:textId="77777777" w:rsidR="008E4EBD" w:rsidRDefault="00483AC6">
            <w:pPr>
              <w:pStyle w:val="Compact"/>
              <w:jc w:val="center"/>
            </w:pPr>
            <w:r>
              <w:t>0.4</w:t>
            </w:r>
          </w:p>
        </w:tc>
        <w:tc>
          <w:tcPr>
            <w:tcW w:w="2149" w:type="dxa"/>
            <w:tcBorders>
              <w:top w:val="nil"/>
              <w:left w:val="nil"/>
              <w:bottom w:val="nil"/>
              <w:right w:val="nil"/>
            </w:tcBorders>
          </w:tcPr>
          <w:p w14:paraId="247E64A1" w14:textId="77777777" w:rsidR="008E4EBD" w:rsidRDefault="00483AC6">
            <w:pPr>
              <w:pStyle w:val="Compact"/>
              <w:jc w:val="center"/>
            </w:pPr>
            <w:r>
              <w:t>1.033</w:t>
            </w:r>
          </w:p>
        </w:tc>
        <w:tc>
          <w:tcPr>
            <w:tcW w:w="1432" w:type="dxa"/>
            <w:tcBorders>
              <w:top w:val="nil"/>
              <w:left w:val="nil"/>
              <w:bottom w:val="nil"/>
              <w:right w:val="nil"/>
            </w:tcBorders>
          </w:tcPr>
          <w:p w14:paraId="247E64A2" w14:textId="77777777" w:rsidR="008E4EBD" w:rsidRDefault="00483AC6">
            <w:pPr>
              <w:pStyle w:val="Compact"/>
              <w:jc w:val="center"/>
            </w:pPr>
            <w:r>
              <w:t>0.725</w:t>
            </w:r>
          </w:p>
        </w:tc>
        <w:tc>
          <w:tcPr>
            <w:tcW w:w="1432" w:type="dxa"/>
            <w:tcBorders>
              <w:top w:val="nil"/>
              <w:left w:val="nil"/>
              <w:bottom w:val="nil"/>
              <w:right w:val="nil"/>
            </w:tcBorders>
          </w:tcPr>
          <w:p w14:paraId="247E64A3" w14:textId="77777777" w:rsidR="008E4EBD" w:rsidRDefault="00483AC6">
            <w:pPr>
              <w:pStyle w:val="Compact"/>
              <w:jc w:val="center"/>
            </w:pPr>
            <w:r>
              <w:t>0.678</w:t>
            </w:r>
          </w:p>
        </w:tc>
        <w:tc>
          <w:tcPr>
            <w:tcW w:w="1579" w:type="dxa"/>
            <w:tcBorders>
              <w:top w:val="nil"/>
              <w:left w:val="nil"/>
              <w:bottom w:val="nil"/>
              <w:right w:val="nil"/>
            </w:tcBorders>
          </w:tcPr>
          <w:p w14:paraId="247E64A4" w14:textId="77777777" w:rsidR="008E4EBD" w:rsidRDefault="00483AC6">
            <w:pPr>
              <w:pStyle w:val="Compact"/>
              <w:jc w:val="center"/>
            </w:pPr>
            <w:r>
              <w:t>0.652</w:t>
            </w:r>
          </w:p>
        </w:tc>
      </w:tr>
      <w:tr w:rsidR="008E4EBD" w14:paraId="247E64AD" w14:textId="77777777">
        <w:tc>
          <w:tcPr>
            <w:tcW w:w="1002" w:type="dxa"/>
            <w:tcBorders>
              <w:top w:val="nil"/>
              <w:left w:val="nil"/>
              <w:bottom w:val="single" w:sz="12" w:space="0" w:color="auto"/>
              <w:right w:val="nil"/>
            </w:tcBorders>
          </w:tcPr>
          <w:p w14:paraId="247E64A6" w14:textId="77777777" w:rsidR="008E4EBD" w:rsidRDefault="00483AC6">
            <w:pPr>
              <w:pStyle w:val="Compact"/>
              <w:jc w:val="center"/>
            </w:pPr>
            <w:r>
              <w:t>C</w:t>
            </w:r>
          </w:p>
        </w:tc>
        <w:tc>
          <w:tcPr>
            <w:tcW w:w="716" w:type="dxa"/>
            <w:tcBorders>
              <w:top w:val="nil"/>
              <w:left w:val="nil"/>
              <w:bottom w:val="single" w:sz="12" w:space="0" w:color="auto"/>
              <w:right w:val="nil"/>
            </w:tcBorders>
          </w:tcPr>
          <w:p w14:paraId="247E64A7" w14:textId="77777777" w:rsidR="008E4EBD" w:rsidRDefault="00483AC6">
            <w:pPr>
              <w:pStyle w:val="Compact"/>
              <w:jc w:val="center"/>
            </w:pPr>
            <w:r>
              <w:t>0.8</w:t>
            </w:r>
          </w:p>
        </w:tc>
        <w:tc>
          <w:tcPr>
            <w:tcW w:w="716" w:type="dxa"/>
            <w:tcBorders>
              <w:top w:val="nil"/>
              <w:left w:val="nil"/>
              <w:bottom w:val="single" w:sz="12" w:space="0" w:color="auto"/>
              <w:right w:val="nil"/>
            </w:tcBorders>
          </w:tcPr>
          <w:p w14:paraId="247E64A8" w14:textId="77777777" w:rsidR="008E4EBD" w:rsidRDefault="00483AC6">
            <w:pPr>
              <w:pStyle w:val="Compact"/>
              <w:jc w:val="center"/>
            </w:pPr>
            <w:r>
              <w:t>0.8</w:t>
            </w:r>
          </w:p>
        </w:tc>
        <w:tc>
          <w:tcPr>
            <w:tcW w:w="2149" w:type="dxa"/>
            <w:tcBorders>
              <w:top w:val="nil"/>
              <w:left w:val="nil"/>
              <w:bottom w:val="single" w:sz="12" w:space="0" w:color="auto"/>
              <w:right w:val="nil"/>
            </w:tcBorders>
          </w:tcPr>
          <w:p w14:paraId="247E64A9" w14:textId="77777777" w:rsidR="008E4EBD" w:rsidRDefault="00483AC6">
            <w:pPr>
              <w:pStyle w:val="Compact"/>
              <w:jc w:val="center"/>
            </w:pPr>
            <w:r>
              <w:t>1.036</w:t>
            </w:r>
          </w:p>
        </w:tc>
        <w:tc>
          <w:tcPr>
            <w:tcW w:w="1432" w:type="dxa"/>
            <w:tcBorders>
              <w:top w:val="nil"/>
              <w:left w:val="nil"/>
              <w:bottom w:val="single" w:sz="12" w:space="0" w:color="auto"/>
              <w:right w:val="nil"/>
            </w:tcBorders>
          </w:tcPr>
          <w:p w14:paraId="247E64AA" w14:textId="77777777" w:rsidR="008E4EBD" w:rsidRDefault="00483AC6">
            <w:pPr>
              <w:pStyle w:val="Compact"/>
              <w:jc w:val="center"/>
            </w:pPr>
            <w:r>
              <w:t>0.880</w:t>
            </w:r>
          </w:p>
        </w:tc>
        <w:tc>
          <w:tcPr>
            <w:tcW w:w="1432" w:type="dxa"/>
            <w:tcBorders>
              <w:top w:val="nil"/>
              <w:left w:val="nil"/>
              <w:bottom w:val="single" w:sz="12" w:space="0" w:color="auto"/>
              <w:right w:val="nil"/>
            </w:tcBorders>
          </w:tcPr>
          <w:p w14:paraId="247E64AB" w14:textId="77777777" w:rsidR="008E4EBD" w:rsidRDefault="00483AC6">
            <w:pPr>
              <w:pStyle w:val="Compact"/>
              <w:jc w:val="center"/>
            </w:pPr>
            <w:r>
              <w:t>0.698</w:t>
            </w:r>
          </w:p>
        </w:tc>
        <w:tc>
          <w:tcPr>
            <w:tcW w:w="1579" w:type="dxa"/>
            <w:tcBorders>
              <w:top w:val="nil"/>
              <w:left w:val="nil"/>
              <w:bottom w:val="single" w:sz="12" w:space="0" w:color="auto"/>
              <w:right w:val="nil"/>
            </w:tcBorders>
          </w:tcPr>
          <w:p w14:paraId="247E64AC" w14:textId="77777777" w:rsidR="008E4EBD" w:rsidRDefault="00483AC6">
            <w:pPr>
              <w:pStyle w:val="Compact"/>
              <w:jc w:val="center"/>
            </w:pPr>
            <w:r>
              <w:t>0.671</w:t>
            </w:r>
          </w:p>
        </w:tc>
      </w:tr>
    </w:tbl>
    <w:p w14:paraId="247E64AE" w14:textId="42E66CB3" w:rsidR="008E4EBD" w:rsidRDefault="00483AC6">
      <w:pPr>
        <w:pStyle w:val="BodyText"/>
      </w:pPr>
      <w:r>
        <w:rPr>
          <w:i/>
        </w:rPr>
        <w:t>Note:</w:t>
      </w:r>
      <w:r>
        <w:t xml:space="preserve"> Monte Carlo standard errors </w:t>
      </w:r>
      <w:r w:rsidR="006D0744">
        <w:t>range from 0.009 to</w:t>
      </w:r>
      <w:r>
        <w:t xml:space="preserve"> 0.020 (Annex Table A.2).</w:t>
      </w:r>
    </w:p>
    <w:p w14:paraId="247E64AF" w14:textId="0467A758" w:rsidR="008E4EBD" w:rsidRDefault="00483AC6">
      <w:pPr>
        <w:pStyle w:val="BodyText"/>
      </w:pPr>
      <w:r>
        <w:t xml:space="preserve">Group A confirms the theoretical claim of Section 11.1: when the area effects are independent over time, autocorrelated sampling errors create no information about a missing area-year. With known β, the oracle BLUP collapses to the synthetic prediction and its theoretical bound is A = 1, regardless of ρ_e. The reported Synthetic (UFH) column uses β estimated from the pooled UFH fit, which explains its small sampling variation around that bound. MFH-full correctly learns that there is essentially nothing to </w:t>
      </w:r>
      <w:r>
        <w:t>borrow (ρ_u ≈ 0), paying only a small estimation premium (1.031–1.034). MFH-diag, however, is actively harmful: its spurious ρ_u manufactures fictitious borrowing from the observed years, driving the MSE up to 1.346 at ρ_e = 0.8, 33 percent worse than simply using the feasible synthetic prediction. An analyst who upgraded from UFH to MFH precisely in order to handle missing area-years, but kept the default diagonal D_i, would be worse off than if no borrowing had been attempted.</w:t>
      </w:r>
    </w:p>
    <w:p w14:paraId="247E64B0" w14:textId="77777777" w:rsidR="008E4EBD" w:rsidRDefault="00483AC6">
      <w:pPr>
        <w:pStyle w:val="BodyText"/>
      </w:pPr>
      <w:r>
        <w:t xml:space="preserve">Group B reproduces the gains from genuine persistence: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=0.8</m:t>
        </m:r>
      </m:oMath>
      <w:r>
        <w:t xml:space="preserve"> the conditional predictor reduces the MSE by 38 percent relative to synthetic prediction (0.636 versus 1.031), nearly attaining the oracle bound (0.611). Group C shows that these gains survive sampling-error autocorrelation only if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correctly specified: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=0.8</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MFH-full attains 0.698 against the oracle’s 0.671, while MFH-diag retains barely half the achievable improvement (0.880), and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=0.4</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MFH-diag is again worse than synthetic prediction (1.253 versus 1.020) even though genuine borrowing opportunities exist. </w:t>
      </w:r>
      <w:r>
        <w:lastRenderedPageBreak/>
        <w:t xml:space="preserve">The pattern follows directly from the partitioned predictor: the information about the missing year flows only through </w:t>
      </w:r>
      <m:oMath>
        <m:sSub>
          <m:sSubPr>
            <m:ctrlPr>
              <w:rPr>
                <w:rFonts w:ascii="Cambria Math" w:hAnsi="Cambria Math"/>
              </w:rPr>
            </m:ctrlPr>
          </m:sSubPr>
          <m:e>
            <m:r>
              <w:rPr>
                <w:rFonts w:ascii="Cambria Math" w:hAnsi="Cambria Math"/>
              </w:rPr>
              <m:t>C</m:t>
            </m:r>
          </m:e>
          <m:sub>
            <m:r>
              <m:rPr>
                <m:nor/>
              </m:rPr>
              <m:t>mo</m:t>
            </m:r>
          </m:sub>
        </m:sSub>
        <m:r>
          <w:rPr>
            <w:rFonts w:ascii="Cambria Math" w:hAnsi="Cambria Math"/>
          </w:rPr>
          <m:t>=</m:t>
        </m:r>
        <m:sSub>
          <m:sSubPr>
            <m:ctrlPr>
              <w:rPr>
                <w:rFonts w:ascii="Cambria Math" w:hAnsi="Cambria Math"/>
              </w:rPr>
            </m:ctrlPr>
          </m:sSubPr>
          <m:e>
            <m:r>
              <w:rPr>
                <w:rFonts w:ascii="Cambria Math" w:hAnsi="Cambria Math"/>
              </w:rPr>
              <m:t>G</m:t>
            </m:r>
          </m:e>
          <m:sub>
            <m:r>
              <m:rPr>
                <m:nor/>
              </m:rPr>
              <m:t>mo</m:t>
            </m:r>
          </m:sub>
        </m:sSub>
      </m:oMath>
      <w:r>
        <w:t xml:space="preserve">, but the weights </w:t>
      </w:r>
      <m:oMath>
        <m:sSub>
          <m:sSubPr>
            <m:ctrlPr>
              <w:rPr>
                <w:rFonts w:ascii="Cambria Math" w:hAnsi="Cambria Math"/>
              </w:rPr>
            </m:ctrlPr>
          </m:sSubPr>
          <m:e>
            <m:r>
              <w:rPr>
                <w:rFonts w:ascii="Cambria Math" w:hAnsi="Cambria Math"/>
              </w:rPr>
              <m:t>C</m:t>
            </m:r>
          </m:e>
          <m:sub>
            <m:r>
              <m:rPr>
                <m:nor/>
              </m:rPr>
              <m:t>mo</m:t>
            </m:r>
          </m:sub>
        </m:sSub>
        <m:sSubSup>
          <m:sSubSupPr>
            <m:ctrlPr>
              <w:rPr>
                <w:rFonts w:ascii="Cambria Math" w:hAnsi="Cambria Math"/>
              </w:rPr>
            </m:ctrlPr>
          </m:sSubSup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up>
            <m:r>
              <w:rPr>
                <w:rFonts w:ascii="Cambria Math" w:hAnsi="Cambria Math"/>
              </w:rPr>
              <m:t>-1</m:t>
            </m:r>
          </m:sup>
        </m:sSubSup>
      </m:oMath>
      <w:r>
        <w:t xml:space="preserve"> are computed through </w:t>
      </w: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G</m:t>
            </m:r>
          </m:e>
          <m:sub>
            <m:r>
              <m:rPr>
                <m:nor/>
              </m: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w:r>
        <w:t xml:space="preserve">, and a misspecified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w:r>
        <w:t xml:space="preserve"> corrupts both the estimate of </w:t>
      </w:r>
      <m:oMath>
        <m:r>
          <w:rPr>
            <w:rFonts w:ascii="Cambria Math" w:hAnsi="Cambria Math"/>
          </w:rPr>
          <m:t>G</m:t>
        </m:r>
      </m:oMath>
      <w:r>
        <w:t xml:space="preserve"> and the inversion. For poverty mapping, the implication is direct: when area effects persist over time, direct estimates from earlier survey rounds carry substantial information about current-period parameters for areas missed by the current survey—but harvesting that information requires the sampling-error covariance, not just the area-effect covariance, to be specified correctly.</w:t>
      </w:r>
    </w:p>
    <w:p w14:paraId="247E64B1" w14:textId="77777777" w:rsidR="008E4EBD" w:rsidRDefault="00483AC6">
      <w:pPr>
        <w:pStyle w:val="Heading2"/>
      </w:pPr>
      <w:bookmarkStart w:id="19" w:name="impact-on-the-point-estimates-themselves"/>
      <w:r>
        <w:t>11.5. Impact on the point estimates themselves</w:t>
      </w:r>
      <w:bookmarkEnd w:id="19"/>
    </w:p>
    <w:p w14:paraId="247E64B2" w14:textId="298EC066" w:rsidR="008E4EBD" w:rsidRDefault="00483AC6">
      <w:pPr>
        <w:pStyle w:val="FirstParagraph"/>
      </w:pPr>
      <w:r>
        <w:t xml:space="preserve">The MSE comparisons above can obscure the most practical question: do the </w:t>
      </w:r>
      <w:r>
        <w:rPr>
          <w:i/>
        </w:rPr>
        <w:t>published numbers</w:t>
      </w:r>
      <w:r>
        <w:t xml:space="preserve"> actually change when the sampling-error covariance is mismodeled? They do, and the pattern is instructive. For every feasible predictor</w:t>
      </w:r>
      <w:r w:rsidR="009C18C8">
        <w:t>,</w:t>
      </w:r>
      <w:r>
        <w:t xml:space="preserve"> we compute the absolute deviation of its point prediction from the oracle BLUP for the same area-year, </w:t>
      </w:r>
      <m:oMath>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m:rPr>
                <m:nor/>
              </m:rPr>
              <m:t>it</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m:rPr>
                <m:nor/>
              </m:rPr>
              <m:t>it</m:t>
            </m:r>
          </m:sub>
          <m:sup>
            <m:r>
              <m:rPr>
                <m:nor/>
              </m:rPr>
              <m:t>oracle</m:t>
            </m:r>
          </m:sup>
        </m:sSubSup>
        <m:r>
          <w:rPr>
            <w:rFonts w:ascii="Cambria Math" w:hAnsi="Cambria Math"/>
          </w:rPr>
          <m:t>|</m:t>
        </m:r>
      </m:oMath>
      <w:r>
        <w:t>, pooled across all relevant cells and replications. Tables 3 and 4 report the mean and the 90th percentile of these deviations for observed and missing area-years</w:t>
      </w:r>
      <w:r w:rsidR="009C18C8">
        <w:t>,</w:t>
      </w:r>
      <w:r>
        <w:t xml:space="preserve"> respectively.</w:t>
      </w:r>
    </w:p>
    <w:p w14:paraId="247E64B3" w14:textId="77777777" w:rsidR="008E4EBD" w:rsidRDefault="00483AC6">
      <w:pPr>
        <w:pStyle w:val="BodyText"/>
      </w:pPr>
      <w:r>
        <w:t>Table 3—Absolute Deviation of Point Predictions from the Oracle BLUP, Observed Area-Years (Mean, with 90th Percentile in Parentheses)</w:t>
      </w:r>
    </w:p>
    <w:tbl>
      <w:tblPr>
        <w:tblStyle w:val="Table"/>
        <w:tblW w:w="9026" w:type="dxa"/>
        <w:tblLayout w:type="fixed"/>
        <w:tblLook w:val="07E0" w:firstRow="1" w:lastRow="1" w:firstColumn="1" w:lastColumn="1" w:noHBand="1" w:noVBand="1"/>
      </w:tblPr>
      <w:tblGrid>
        <w:gridCol w:w="915"/>
        <w:gridCol w:w="654"/>
        <w:gridCol w:w="654"/>
        <w:gridCol w:w="1700"/>
        <w:gridCol w:w="1700"/>
        <w:gridCol w:w="1700"/>
        <w:gridCol w:w="1703"/>
      </w:tblGrid>
      <w:tr w:rsidR="008E4EBD" w14:paraId="247E64BB" w14:textId="77777777">
        <w:tc>
          <w:tcPr>
            <w:tcW w:w="915" w:type="dxa"/>
            <w:tcBorders>
              <w:top w:val="single" w:sz="12" w:space="0" w:color="auto"/>
              <w:left w:val="nil"/>
              <w:bottom w:val="single" w:sz="4" w:space="0" w:color="auto"/>
              <w:right w:val="nil"/>
            </w:tcBorders>
            <w:vAlign w:val="bottom"/>
          </w:tcPr>
          <w:p w14:paraId="247E64B4" w14:textId="77777777" w:rsidR="008E4EBD" w:rsidRDefault="00483AC6">
            <w:pPr>
              <w:pStyle w:val="Compact"/>
              <w:jc w:val="center"/>
            </w:pPr>
            <w:r>
              <w:rPr>
                <w:b/>
                <w:bCs/>
              </w:rPr>
              <w:t>Group</w:t>
            </w:r>
          </w:p>
        </w:tc>
        <w:tc>
          <w:tcPr>
            <w:tcW w:w="654" w:type="dxa"/>
            <w:tcBorders>
              <w:top w:val="single" w:sz="12" w:space="0" w:color="auto"/>
              <w:left w:val="nil"/>
              <w:bottom w:val="single" w:sz="4" w:space="0" w:color="auto"/>
              <w:right w:val="nil"/>
            </w:tcBorders>
            <w:vAlign w:val="bottom"/>
          </w:tcPr>
          <w:p w14:paraId="247E64B5"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654" w:type="dxa"/>
            <w:tcBorders>
              <w:top w:val="single" w:sz="12" w:space="0" w:color="auto"/>
              <w:left w:val="nil"/>
              <w:bottom w:val="single" w:sz="4" w:space="0" w:color="auto"/>
              <w:right w:val="nil"/>
            </w:tcBorders>
            <w:vAlign w:val="bottom"/>
          </w:tcPr>
          <w:p w14:paraId="247E64B6"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1700" w:type="dxa"/>
            <w:tcBorders>
              <w:top w:val="single" w:sz="12" w:space="0" w:color="auto"/>
              <w:left w:val="nil"/>
              <w:bottom w:val="single" w:sz="4" w:space="0" w:color="auto"/>
              <w:right w:val="nil"/>
            </w:tcBorders>
            <w:vAlign w:val="bottom"/>
          </w:tcPr>
          <w:p w14:paraId="247E64B7" w14:textId="77777777" w:rsidR="008E4EBD" w:rsidRDefault="00483AC6">
            <w:pPr>
              <w:pStyle w:val="Compact"/>
              <w:jc w:val="center"/>
            </w:pPr>
            <w:r>
              <w:rPr>
                <w:b/>
                <w:bCs/>
              </w:rPr>
              <w:t>Synthetic</w:t>
            </w:r>
          </w:p>
        </w:tc>
        <w:tc>
          <w:tcPr>
            <w:tcW w:w="1700" w:type="dxa"/>
            <w:tcBorders>
              <w:top w:val="single" w:sz="12" w:space="0" w:color="auto"/>
              <w:left w:val="nil"/>
              <w:bottom w:val="single" w:sz="4" w:space="0" w:color="auto"/>
              <w:right w:val="nil"/>
            </w:tcBorders>
            <w:vAlign w:val="bottom"/>
          </w:tcPr>
          <w:p w14:paraId="247E64B8" w14:textId="77777777" w:rsidR="008E4EBD" w:rsidRDefault="00483AC6">
            <w:pPr>
              <w:pStyle w:val="Compact"/>
              <w:jc w:val="center"/>
            </w:pPr>
            <w:r>
              <w:rPr>
                <w:b/>
                <w:bCs/>
              </w:rPr>
              <w:t>UFH</w:t>
            </w:r>
          </w:p>
        </w:tc>
        <w:tc>
          <w:tcPr>
            <w:tcW w:w="1700" w:type="dxa"/>
            <w:tcBorders>
              <w:top w:val="single" w:sz="12" w:space="0" w:color="auto"/>
              <w:left w:val="nil"/>
              <w:bottom w:val="single" w:sz="4" w:space="0" w:color="auto"/>
              <w:right w:val="nil"/>
            </w:tcBorders>
            <w:vAlign w:val="bottom"/>
          </w:tcPr>
          <w:p w14:paraId="247E64B9" w14:textId="77777777" w:rsidR="008E4EBD" w:rsidRDefault="00483AC6">
            <w:pPr>
              <w:pStyle w:val="Compact"/>
              <w:jc w:val="center"/>
            </w:pPr>
            <w:r>
              <w:rPr>
                <w:b/>
                <w:bCs/>
              </w:rPr>
              <w:t>MFH-diag</w:t>
            </w:r>
          </w:p>
        </w:tc>
        <w:tc>
          <w:tcPr>
            <w:tcW w:w="1703" w:type="dxa"/>
            <w:tcBorders>
              <w:top w:val="single" w:sz="12" w:space="0" w:color="auto"/>
              <w:left w:val="nil"/>
              <w:bottom w:val="single" w:sz="4" w:space="0" w:color="auto"/>
              <w:right w:val="nil"/>
            </w:tcBorders>
            <w:vAlign w:val="bottom"/>
          </w:tcPr>
          <w:p w14:paraId="247E64BA" w14:textId="77777777" w:rsidR="008E4EBD" w:rsidRDefault="00483AC6">
            <w:pPr>
              <w:pStyle w:val="Compact"/>
              <w:jc w:val="center"/>
            </w:pPr>
            <w:r>
              <w:rPr>
                <w:b/>
                <w:bCs/>
              </w:rPr>
              <w:t>MFH-full</w:t>
            </w:r>
          </w:p>
        </w:tc>
      </w:tr>
      <w:tr w:rsidR="008E4EBD" w14:paraId="247E64C3" w14:textId="77777777">
        <w:tc>
          <w:tcPr>
            <w:tcW w:w="915" w:type="dxa"/>
            <w:tcBorders>
              <w:top w:val="nil"/>
              <w:left w:val="nil"/>
              <w:bottom w:val="nil"/>
              <w:right w:val="nil"/>
            </w:tcBorders>
          </w:tcPr>
          <w:p w14:paraId="247E64BC" w14:textId="77777777" w:rsidR="008E4EBD" w:rsidRDefault="00483AC6">
            <w:pPr>
              <w:pStyle w:val="Compact"/>
              <w:jc w:val="center"/>
            </w:pPr>
            <w:r>
              <w:t>—</w:t>
            </w:r>
          </w:p>
        </w:tc>
        <w:tc>
          <w:tcPr>
            <w:tcW w:w="654" w:type="dxa"/>
            <w:tcBorders>
              <w:top w:val="nil"/>
              <w:left w:val="nil"/>
              <w:bottom w:val="nil"/>
              <w:right w:val="nil"/>
            </w:tcBorders>
          </w:tcPr>
          <w:p w14:paraId="247E64BD" w14:textId="77777777" w:rsidR="008E4EBD" w:rsidRDefault="00483AC6">
            <w:pPr>
              <w:pStyle w:val="Compact"/>
              <w:jc w:val="center"/>
            </w:pPr>
            <w:r>
              <w:t>0.0</w:t>
            </w:r>
          </w:p>
        </w:tc>
        <w:tc>
          <w:tcPr>
            <w:tcW w:w="654" w:type="dxa"/>
            <w:tcBorders>
              <w:top w:val="nil"/>
              <w:left w:val="nil"/>
              <w:bottom w:val="nil"/>
              <w:right w:val="nil"/>
            </w:tcBorders>
          </w:tcPr>
          <w:p w14:paraId="247E64BE" w14:textId="77777777" w:rsidR="008E4EBD" w:rsidRDefault="00483AC6">
            <w:pPr>
              <w:pStyle w:val="Compact"/>
              <w:jc w:val="center"/>
            </w:pPr>
            <w:r>
              <w:t>0.0</w:t>
            </w:r>
          </w:p>
        </w:tc>
        <w:tc>
          <w:tcPr>
            <w:tcW w:w="1700" w:type="dxa"/>
            <w:tcBorders>
              <w:top w:val="nil"/>
              <w:left w:val="nil"/>
              <w:bottom w:val="nil"/>
              <w:right w:val="nil"/>
            </w:tcBorders>
          </w:tcPr>
          <w:p w14:paraId="247E64BF" w14:textId="77777777" w:rsidR="008E4EBD" w:rsidRDefault="00483AC6">
            <w:pPr>
              <w:pStyle w:val="Compact"/>
              <w:jc w:val="center"/>
            </w:pPr>
            <w:r>
              <w:t>0.571 (1.182)</w:t>
            </w:r>
          </w:p>
        </w:tc>
        <w:tc>
          <w:tcPr>
            <w:tcW w:w="1700" w:type="dxa"/>
            <w:tcBorders>
              <w:top w:val="nil"/>
              <w:left w:val="nil"/>
              <w:bottom w:val="nil"/>
              <w:right w:val="nil"/>
            </w:tcBorders>
          </w:tcPr>
          <w:p w14:paraId="247E64C0" w14:textId="77777777" w:rsidR="008E4EBD" w:rsidRDefault="00483AC6">
            <w:pPr>
              <w:pStyle w:val="Compact"/>
              <w:jc w:val="center"/>
            </w:pPr>
            <w:r>
              <w:t>0.063 (0.134)</w:t>
            </w:r>
          </w:p>
        </w:tc>
        <w:tc>
          <w:tcPr>
            <w:tcW w:w="1700" w:type="dxa"/>
            <w:tcBorders>
              <w:top w:val="nil"/>
              <w:left w:val="nil"/>
              <w:bottom w:val="nil"/>
              <w:right w:val="nil"/>
            </w:tcBorders>
          </w:tcPr>
          <w:p w14:paraId="247E64C1" w14:textId="77777777" w:rsidR="008E4EBD" w:rsidRDefault="00483AC6">
            <w:pPr>
              <w:pStyle w:val="Compact"/>
              <w:jc w:val="center"/>
            </w:pPr>
            <w:r>
              <w:t>0.082 (0.176)</w:t>
            </w:r>
          </w:p>
        </w:tc>
        <w:tc>
          <w:tcPr>
            <w:tcW w:w="1703" w:type="dxa"/>
            <w:tcBorders>
              <w:top w:val="nil"/>
              <w:left w:val="nil"/>
              <w:bottom w:val="nil"/>
              <w:right w:val="nil"/>
            </w:tcBorders>
          </w:tcPr>
          <w:p w14:paraId="247E64C2" w14:textId="77777777" w:rsidR="008E4EBD" w:rsidRDefault="00483AC6">
            <w:pPr>
              <w:pStyle w:val="Compact"/>
              <w:jc w:val="center"/>
            </w:pPr>
            <w:r>
              <w:t>0.082 (0.176)</w:t>
            </w:r>
          </w:p>
        </w:tc>
      </w:tr>
      <w:tr w:rsidR="008E4EBD" w14:paraId="247E64CB" w14:textId="77777777">
        <w:tc>
          <w:tcPr>
            <w:tcW w:w="915" w:type="dxa"/>
            <w:tcBorders>
              <w:top w:val="nil"/>
              <w:left w:val="nil"/>
              <w:bottom w:val="nil"/>
              <w:right w:val="nil"/>
            </w:tcBorders>
          </w:tcPr>
          <w:p w14:paraId="247E64C4" w14:textId="77777777" w:rsidR="008E4EBD" w:rsidRDefault="00483AC6">
            <w:pPr>
              <w:pStyle w:val="Compact"/>
              <w:jc w:val="center"/>
            </w:pPr>
            <w:r>
              <w:t>A</w:t>
            </w:r>
          </w:p>
        </w:tc>
        <w:tc>
          <w:tcPr>
            <w:tcW w:w="654" w:type="dxa"/>
            <w:tcBorders>
              <w:top w:val="nil"/>
              <w:left w:val="nil"/>
              <w:bottom w:val="nil"/>
              <w:right w:val="nil"/>
            </w:tcBorders>
          </w:tcPr>
          <w:p w14:paraId="247E64C5" w14:textId="77777777" w:rsidR="008E4EBD" w:rsidRDefault="00483AC6">
            <w:pPr>
              <w:pStyle w:val="Compact"/>
              <w:jc w:val="center"/>
            </w:pPr>
            <w:r>
              <w:t>0.0</w:t>
            </w:r>
          </w:p>
        </w:tc>
        <w:tc>
          <w:tcPr>
            <w:tcW w:w="654" w:type="dxa"/>
            <w:tcBorders>
              <w:top w:val="nil"/>
              <w:left w:val="nil"/>
              <w:bottom w:val="nil"/>
              <w:right w:val="nil"/>
            </w:tcBorders>
          </w:tcPr>
          <w:p w14:paraId="247E64C6" w14:textId="77777777" w:rsidR="008E4EBD" w:rsidRDefault="00483AC6">
            <w:pPr>
              <w:pStyle w:val="Compact"/>
              <w:jc w:val="center"/>
            </w:pPr>
            <w:r>
              <w:t>0.4</w:t>
            </w:r>
          </w:p>
        </w:tc>
        <w:tc>
          <w:tcPr>
            <w:tcW w:w="1700" w:type="dxa"/>
            <w:tcBorders>
              <w:top w:val="nil"/>
              <w:left w:val="nil"/>
              <w:bottom w:val="nil"/>
              <w:right w:val="nil"/>
            </w:tcBorders>
          </w:tcPr>
          <w:p w14:paraId="247E64C7" w14:textId="77777777" w:rsidR="008E4EBD" w:rsidRDefault="00483AC6">
            <w:pPr>
              <w:pStyle w:val="Compact"/>
              <w:jc w:val="center"/>
            </w:pPr>
            <w:r>
              <w:t>0.587 (1.213)</w:t>
            </w:r>
          </w:p>
        </w:tc>
        <w:tc>
          <w:tcPr>
            <w:tcW w:w="1700" w:type="dxa"/>
            <w:tcBorders>
              <w:top w:val="nil"/>
              <w:left w:val="nil"/>
              <w:bottom w:val="nil"/>
              <w:right w:val="nil"/>
            </w:tcBorders>
          </w:tcPr>
          <w:p w14:paraId="247E64C8" w14:textId="77777777" w:rsidR="008E4EBD" w:rsidRDefault="00483AC6">
            <w:pPr>
              <w:pStyle w:val="Compact"/>
              <w:jc w:val="center"/>
            </w:pPr>
            <w:r>
              <w:t>0.149 (0.310)</w:t>
            </w:r>
          </w:p>
        </w:tc>
        <w:tc>
          <w:tcPr>
            <w:tcW w:w="1700" w:type="dxa"/>
            <w:tcBorders>
              <w:top w:val="nil"/>
              <w:left w:val="nil"/>
              <w:bottom w:val="nil"/>
              <w:right w:val="nil"/>
            </w:tcBorders>
          </w:tcPr>
          <w:p w14:paraId="247E64C9" w14:textId="77777777" w:rsidR="008E4EBD" w:rsidRDefault="00483AC6">
            <w:pPr>
              <w:pStyle w:val="Compact"/>
              <w:jc w:val="center"/>
            </w:pPr>
            <w:r>
              <w:t>0.259 (0.547)</w:t>
            </w:r>
          </w:p>
        </w:tc>
        <w:tc>
          <w:tcPr>
            <w:tcW w:w="1703" w:type="dxa"/>
            <w:tcBorders>
              <w:top w:val="nil"/>
              <w:left w:val="nil"/>
              <w:bottom w:val="nil"/>
              <w:right w:val="nil"/>
            </w:tcBorders>
          </w:tcPr>
          <w:p w14:paraId="247E64CA" w14:textId="77777777" w:rsidR="008E4EBD" w:rsidRDefault="00483AC6">
            <w:pPr>
              <w:pStyle w:val="Compact"/>
              <w:jc w:val="center"/>
            </w:pPr>
            <w:r>
              <w:t>0.089 (0.189)</w:t>
            </w:r>
          </w:p>
        </w:tc>
      </w:tr>
      <w:tr w:rsidR="008E4EBD" w14:paraId="247E64D3" w14:textId="77777777">
        <w:tc>
          <w:tcPr>
            <w:tcW w:w="915" w:type="dxa"/>
            <w:tcBorders>
              <w:top w:val="nil"/>
              <w:left w:val="nil"/>
              <w:bottom w:val="nil"/>
              <w:right w:val="nil"/>
            </w:tcBorders>
          </w:tcPr>
          <w:p w14:paraId="247E64CC" w14:textId="77777777" w:rsidR="008E4EBD" w:rsidRDefault="00483AC6">
            <w:pPr>
              <w:pStyle w:val="Compact"/>
              <w:jc w:val="center"/>
            </w:pPr>
            <w:r>
              <w:t>A</w:t>
            </w:r>
          </w:p>
        </w:tc>
        <w:tc>
          <w:tcPr>
            <w:tcW w:w="654" w:type="dxa"/>
            <w:tcBorders>
              <w:top w:val="nil"/>
              <w:left w:val="nil"/>
              <w:bottom w:val="nil"/>
              <w:right w:val="nil"/>
            </w:tcBorders>
          </w:tcPr>
          <w:p w14:paraId="247E64CD" w14:textId="77777777" w:rsidR="008E4EBD" w:rsidRDefault="00483AC6">
            <w:pPr>
              <w:pStyle w:val="Compact"/>
              <w:jc w:val="center"/>
            </w:pPr>
            <w:r>
              <w:t>0.0</w:t>
            </w:r>
          </w:p>
        </w:tc>
        <w:tc>
          <w:tcPr>
            <w:tcW w:w="654" w:type="dxa"/>
            <w:tcBorders>
              <w:top w:val="nil"/>
              <w:left w:val="nil"/>
              <w:bottom w:val="nil"/>
              <w:right w:val="nil"/>
            </w:tcBorders>
          </w:tcPr>
          <w:p w14:paraId="247E64CE" w14:textId="77777777" w:rsidR="008E4EBD" w:rsidRDefault="00483AC6">
            <w:pPr>
              <w:pStyle w:val="Compact"/>
              <w:jc w:val="center"/>
            </w:pPr>
            <w:r>
              <w:t>0.8</w:t>
            </w:r>
          </w:p>
        </w:tc>
        <w:tc>
          <w:tcPr>
            <w:tcW w:w="1700" w:type="dxa"/>
            <w:tcBorders>
              <w:top w:val="nil"/>
              <w:left w:val="nil"/>
              <w:bottom w:val="nil"/>
              <w:right w:val="nil"/>
            </w:tcBorders>
          </w:tcPr>
          <w:p w14:paraId="247E64CF" w14:textId="77777777" w:rsidR="008E4EBD" w:rsidRDefault="00483AC6">
            <w:pPr>
              <w:pStyle w:val="Compact"/>
              <w:jc w:val="center"/>
            </w:pPr>
            <w:r>
              <w:t>0.641 (1.322)</w:t>
            </w:r>
          </w:p>
        </w:tc>
        <w:tc>
          <w:tcPr>
            <w:tcW w:w="1700" w:type="dxa"/>
            <w:tcBorders>
              <w:top w:val="nil"/>
              <w:left w:val="nil"/>
              <w:bottom w:val="nil"/>
              <w:right w:val="nil"/>
            </w:tcBorders>
          </w:tcPr>
          <w:p w14:paraId="247E64D0" w14:textId="77777777" w:rsidR="008E4EBD" w:rsidRDefault="00483AC6">
            <w:pPr>
              <w:pStyle w:val="Compact"/>
              <w:jc w:val="center"/>
            </w:pPr>
            <w:r>
              <w:t>0.297 (0.615)</w:t>
            </w:r>
          </w:p>
        </w:tc>
        <w:tc>
          <w:tcPr>
            <w:tcW w:w="1700" w:type="dxa"/>
            <w:tcBorders>
              <w:top w:val="nil"/>
              <w:left w:val="nil"/>
              <w:bottom w:val="nil"/>
              <w:right w:val="nil"/>
            </w:tcBorders>
          </w:tcPr>
          <w:p w14:paraId="247E64D1" w14:textId="77777777" w:rsidR="008E4EBD" w:rsidRDefault="00483AC6">
            <w:pPr>
              <w:pStyle w:val="Compact"/>
              <w:jc w:val="center"/>
            </w:pPr>
            <w:r>
              <w:t>0.541 (1.126)</w:t>
            </w:r>
          </w:p>
        </w:tc>
        <w:tc>
          <w:tcPr>
            <w:tcW w:w="1703" w:type="dxa"/>
            <w:tcBorders>
              <w:top w:val="nil"/>
              <w:left w:val="nil"/>
              <w:bottom w:val="nil"/>
              <w:right w:val="nil"/>
            </w:tcBorders>
          </w:tcPr>
          <w:p w14:paraId="247E64D2" w14:textId="77777777" w:rsidR="008E4EBD" w:rsidRDefault="00483AC6">
            <w:pPr>
              <w:pStyle w:val="Compact"/>
              <w:jc w:val="center"/>
            </w:pPr>
            <w:r>
              <w:t>0.096 (0.199)</w:t>
            </w:r>
          </w:p>
        </w:tc>
      </w:tr>
      <w:tr w:rsidR="008E4EBD" w14:paraId="247E64DB" w14:textId="77777777">
        <w:tc>
          <w:tcPr>
            <w:tcW w:w="915" w:type="dxa"/>
            <w:tcBorders>
              <w:top w:val="nil"/>
              <w:left w:val="nil"/>
              <w:bottom w:val="nil"/>
              <w:right w:val="nil"/>
            </w:tcBorders>
          </w:tcPr>
          <w:p w14:paraId="247E64D4" w14:textId="77777777" w:rsidR="008E4EBD" w:rsidRDefault="00483AC6">
            <w:pPr>
              <w:pStyle w:val="Compact"/>
              <w:jc w:val="center"/>
            </w:pPr>
            <w:r>
              <w:t>B</w:t>
            </w:r>
          </w:p>
        </w:tc>
        <w:tc>
          <w:tcPr>
            <w:tcW w:w="654" w:type="dxa"/>
            <w:tcBorders>
              <w:top w:val="nil"/>
              <w:left w:val="nil"/>
              <w:bottom w:val="nil"/>
              <w:right w:val="nil"/>
            </w:tcBorders>
          </w:tcPr>
          <w:p w14:paraId="247E64D5" w14:textId="77777777" w:rsidR="008E4EBD" w:rsidRDefault="00483AC6">
            <w:pPr>
              <w:pStyle w:val="Compact"/>
              <w:jc w:val="center"/>
            </w:pPr>
            <w:r>
              <w:t>0.4</w:t>
            </w:r>
          </w:p>
        </w:tc>
        <w:tc>
          <w:tcPr>
            <w:tcW w:w="654" w:type="dxa"/>
            <w:tcBorders>
              <w:top w:val="nil"/>
              <w:left w:val="nil"/>
              <w:bottom w:val="nil"/>
              <w:right w:val="nil"/>
            </w:tcBorders>
          </w:tcPr>
          <w:p w14:paraId="247E64D6" w14:textId="77777777" w:rsidR="008E4EBD" w:rsidRDefault="00483AC6">
            <w:pPr>
              <w:pStyle w:val="Compact"/>
              <w:jc w:val="center"/>
            </w:pPr>
            <w:r>
              <w:t>0.0</w:t>
            </w:r>
          </w:p>
        </w:tc>
        <w:tc>
          <w:tcPr>
            <w:tcW w:w="1700" w:type="dxa"/>
            <w:tcBorders>
              <w:top w:val="nil"/>
              <w:left w:val="nil"/>
              <w:bottom w:val="nil"/>
              <w:right w:val="nil"/>
            </w:tcBorders>
          </w:tcPr>
          <w:p w14:paraId="247E64D7" w14:textId="77777777" w:rsidR="008E4EBD" w:rsidRDefault="00483AC6">
            <w:pPr>
              <w:pStyle w:val="Compact"/>
              <w:jc w:val="center"/>
            </w:pPr>
            <w:r>
              <w:t>0.585 (1.212)</w:t>
            </w:r>
          </w:p>
        </w:tc>
        <w:tc>
          <w:tcPr>
            <w:tcW w:w="1700" w:type="dxa"/>
            <w:tcBorders>
              <w:top w:val="nil"/>
              <w:left w:val="nil"/>
              <w:bottom w:val="nil"/>
              <w:right w:val="nil"/>
            </w:tcBorders>
          </w:tcPr>
          <w:p w14:paraId="247E64D8" w14:textId="77777777" w:rsidR="008E4EBD" w:rsidRDefault="00483AC6">
            <w:pPr>
              <w:pStyle w:val="Compact"/>
              <w:jc w:val="center"/>
            </w:pPr>
            <w:r>
              <w:t>0.143 (0.300)</w:t>
            </w:r>
          </w:p>
        </w:tc>
        <w:tc>
          <w:tcPr>
            <w:tcW w:w="1700" w:type="dxa"/>
            <w:tcBorders>
              <w:top w:val="nil"/>
              <w:left w:val="nil"/>
              <w:bottom w:val="nil"/>
              <w:right w:val="nil"/>
            </w:tcBorders>
          </w:tcPr>
          <w:p w14:paraId="247E64D9" w14:textId="77777777" w:rsidR="008E4EBD" w:rsidRDefault="00483AC6">
            <w:pPr>
              <w:pStyle w:val="Compact"/>
              <w:jc w:val="center"/>
            </w:pPr>
            <w:r>
              <w:t>0.081 (0.176)</w:t>
            </w:r>
          </w:p>
        </w:tc>
        <w:tc>
          <w:tcPr>
            <w:tcW w:w="1703" w:type="dxa"/>
            <w:tcBorders>
              <w:top w:val="nil"/>
              <w:left w:val="nil"/>
              <w:bottom w:val="nil"/>
              <w:right w:val="nil"/>
            </w:tcBorders>
          </w:tcPr>
          <w:p w14:paraId="247E64DA" w14:textId="77777777" w:rsidR="008E4EBD" w:rsidRDefault="00483AC6">
            <w:pPr>
              <w:pStyle w:val="Compact"/>
              <w:jc w:val="center"/>
            </w:pPr>
            <w:r>
              <w:t>0.081 (0.176)</w:t>
            </w:r>
          </w:p>
        </w:tc>
      </w:tr>
      <w:tr w:rsidR="008E4EBD" w14:paraId="247E64E3" w14:textId="77777777">
        <w:tc>
          <w:tcPr>
            <w:tcW w:w="915" w:type="dxa"/>
            <w:tcBorders>
              <w:top w:val="nil"/>
              <w:left w:val="nil"/>
              <w:bottom w:val="nil"/>
              <w:right w:val="nil"/>
            </w:tcBorders>
          </w:tcPr>
          <w:p w14:paraId="247E64DC" w14:textId="77777777" w:rsidR="008E4EBD" w:rsidRDefault="00483AC6">
            <w:pPr>
              <w:pStyle w:val="Compact"/>
              <w:jc w:val="center"/>
            </w:pPr>
            <w:r>
              <w:t>B</w:t>
            </w:r>
          </w:p>
        </w:tc>
        <w:tc>
          <w:tcPr>
            <w:tcW w:w="654" w:type="dxa"/>
            <w:tcBorders>
              <w:top w:val="nil"/>
              <w:left w:val="nil"/>
              <w:bottom w:val="nil"/>
              <w:right w:val="nil"/>
            </w:tcBorders>
          </w:tcPr>
          <w:p w14:paraId="247E64DD" w14:textId="77777777" w:rsidR="008E4EBD" w:rsidRDefault="00483AC6">
            <w:pPr>
              <w:pStyle w:val="Compact"/>
              <w:jc w:val="center"/>
            </w:pPr>
            <w:r>
              <w:t>0.8</w:t>
            </w:r>
          </w:p>
        </w:tc>
        <w:tc>
          <w:tcPr>
            <w:tcW w:w="654" w:type="dxa"/>
            <w:tcBorders>
              <w:top w:val="nil"/>
              <w:left w:val="nil"/>
              <w:bottom w:val="nil"/>
              <w:right w:val="nil"/>
            </w:tcBorders>
          </w:tcPr>
          <w:p w14:paraId="247E64DE" w14:textId="77777777" w:rsidR="008E4EBD" w:rsidRDefault="00483AC6">
            <w:pPr>
              <w:pStyle w:val="Compact"/>
              <w:jc w:val="center"/>
            </w:pPr>
            <w:r>
              <w:t>0.0</w:t>
            </w:r>
          </w:p>
        </w:tc>
        <w:tc>
          <w:tcPr>
            <w:tcW w:w="1700" w:type="dxa"/>
            <w:tcBorders>
              <w:top w:val="nil"/>
              <w:left w:val="nil"/>
              <w:bottom w:val="nil"/>
              <w:right w:val="nil"/>
            </w:tcBorders>
          </w:tcPr>
          <w:p w14:paraId="247E64DF" w14:textId="77777777" w:rsidR="008E4EBD" w:rsidRDefault="00483AC6">
            <w:pPr>
              <w:pStyle w:val="Compact"/>
              <w:jc w:val="center"/>
            </w:pPr>
            <w:r>
              <w:t>0.638 (1.316)</w:t>
            </w:r>
          </w:p>
        </w:tc>
        <w:tc>
          <w:tcPr>
            <w:tcW w:w="1700" w:type="dxa"/>
            <w:tcBorders>
              <w:top w:val="nil"/>
              <w:left w:val="nil"/>
              <w:bottom w:val="nil"/>
              <w:right w:val="nil"/>
            </w:tcBorders>
          </w:tcPr>
          <w:p w14:paraId="247E64E0" w14:textId="77777777" w:rsidR="008E4EBD" w:rsidRDefault="00483AC6">
            <w:pPr>
              <w:pStyle w:val="Compact"/>
              <w:jc w:val="center"/>
            </w:pPr>
            <w:r>
              <w:t>0.290 (0.604)</w:t>
            </w:r>
          </w:p>
        </w:tc>
        <w:tc>
          <w:tcPr>
            <w:tcW w:w="1700" w:type="dxa"/>
            <w:tcBorders>
              <w:top w:val="nil"/>
              <w:left w:val="nil"/>
              <w:bottom w:val="nil"/>
              <w:right w:val="nil"/>
            </w:tcBorders>
          </w:tcPr>
          <w:p w14:paraId="247E64E1" w14:textId="77777777" w:rsidR="008E4EBD" w:rsidRDefault="00483AC6">
            <w:pPr>
              <w:pStyle w:val="Compact"/>
              <w:jc w:val="center"/>
            </w:pPr>
            <w:r>
              <w:t>0.082 (0.178)</w:t>
            </w:r>
          </w:p>
        </w:tc>
        <w:tc>
          <w:tcPr>
            <w:tcW w:w="1703" w:type="dxa"/>
            <w:tcBorders>
              <w:top w:val="nil"/>
              <w:left w:val="nil"/>
              <w:bottom w:val="nil"/>
              <w:right w:val="nil"/>
            </w:tcBorders>
          </w:tcPr>
          <w:p w14:paraId="247E64E2" w14:textId="77777777" w:rsidR="008E4EBD" w:rsidRDefault="00483AC6">
            <w:pPr>
              <w:pStyle w:val="Compact"/>
              <w:jc w:val="center"/>
            </w:pPr>
            <w:r>
              <w:t>0.082 (0.178)</w:t>
            </w:r>
          </w:p>
        </w:tc>
      </w:tr>
      <w:tr w:rsidR="008E4EBD" w14:paraId="247E64EB" w14:textId="77777777">
        <w:tc>
          <w:tcPr>
            <w:tcW w:w="915" w:type="dxa"/>
            <w:tcBorders>
              <w:top w:val="nil"/>
              <w:left w:val="nil"/>
              <w:bottom w:val="nil"/>
              <w:right w:val="nil"/>
            </w:tcBorders>
          </w:tcPr>
          <w:p w14:paraId="247E64E4" w14:textId="77777777" w:rsidR="008E4EBD" w:rsidRDefault="00483AC6">
            <w:pPr>
              <w:pStyle w:val="Compact"/>
              <w:jc w:val="center"/>
            </w:pPr>
            <w:r>
              <w:t>C</w:t>
            </w:r>
          </w:p>
        </w:tc>
        <w:tc>
          <w:tcPr>
            <w:tcW w:w="654" w:type="dxa"/>
            <w:tcBorders>
              <w:top w:val="nil"/>
              <w:left w:val="nil"/>
              <w:bottom w:val="nil"/>
              <w:right w:val="nil"/>
            </w:tcBorders>
          </w:tcPr>
          <w:p w14:paraId="247E64E5" w14:textId="77777777" w:rsidR="008E4EBD" w:rsidRDefault="00483AC6">
            <w:pPr>
              <w:pStyle w:val="Compact"/>
              <w:jc w:val="center"/>
            </w:pPr>
            <w:r>
              <w:t>0.4</w:t>
            </w:r>
          </w:p>
        </w:tc>
        <w:tc>
          <w:tcPr>
            <w:tcW w:w="654" w:type="dxa"/>
            <w:tcBorders>
              <w:top w:val="nil"/>
              <w:left w:val="nil"/>
              <w:bottom w:val="nil"/>
              <w:right w:val="nil"/>
            </w:tcBorders>
          </w:tcPr>
          <w:p w14:paraId="247E64E6" w14:textId="77777777" w:rsidR="008E4EBD" w:rsidRDefault="00483AC6">
            <w:pPr>
              <w:pStyle w:val="Compact"/>
              <w:jc w:val="center"/>
            </w:pPr>
            <w:r>
              <w:t>0.4</w:t>
            </w:r>
          </w:p>
        </w:tc>
        <w:tc>
          <w:tcPr>
            <w:tcW w:w="1700" w:type="dxa"/>
            <w:tcBorders>
              <w:top w:val="nil"/>
              <w:left w:val="nil"/>
              <w:bottom w:val="nil"/>
              <w:right w:val="nil"/>
            </w:tcBorders>
          </w:tcPr>
          <w:p w14:paraId="247E64E7" w14:textId="77777777" w:rsidR="008E4EBD" w:rsidRDefault="00483AC6">
            <w:pPr>
              <w:pStyle w:val="Compact"/>
              <w:jc w:val="center"/>
            </w:pPr>
            <w:r>
              <w:t>0.572 (1.183)</w:t>
            </w:r>
          </w:p>
        </w:tc>
        <w:tc>
          <w:tcPr>
            <w:tcW w:w="1700" w:type="dxa"/>
            <w:tcBorders>
              <w:top w:val="nil"/>
              <w:left w:val="nil"/>
              <w:bottom w:val="nil"/>
              <w:right w:val="nil"/>
            </w:tcBorders>
          </w:tcPr>
          <w:p w14:paraId="247E64E8" w14:textId="77777777" w:rsidR="008E4EBD" w:rsidRDefault="00483AC6">
            <w:pPr>
              <w:pStyle w:val="Compact"/>
              <w:jc w:val="center"/>
            </w:pPr>
            <w:r>
              <w:t>0.077 (0.163)</w:t>
            </w:r>
          </w:p>
        </w:tc>
        <w:tc>
          <w:tcPr>
            <w:tcW w:w="1700" w:type="dxa"/>
            <w:tcBorders>
              <w:top w:val="nil"/>
              <w:left w:val="nil"/>
              <w:bottom w:val="nil"/>
              <w:right w:val="nil"/>
            </w:tcBorders>
          </w:tcPr>
          <w:p w14:paraId="247E64E9" w14:textId="77777777" w:rsidR="008E4EBD" w:rsidRDefault="00483AC6">
            <w:pPr>
              <w:pStyle w:val="Compact"/>
              <w:jc w:val="center"/>
            </w:pPr>
            <w:r>
              <w:t>0.235 (0.491)</w:t>
            </w:r>
          </w:p>
        </w:tc>
        <w:tc>
          <w:tcPr>
            <w:tcW w:w="1703" w:type="dxa"/>
            <w:tcBorders>
              <w:top w:val="nil"/>
              <w:left w:val="nil"/>
              <w:bottom w:val="nil"/>
              <w:right w:val="nil"/>
            </w:tcBorders>
          </w:tcPr>
          <w:p w14:paraId="247E64EA" w14:textId="77777777" w:rsidR="008E4EBD" w:rsidRDefault="00483AC6">
            <w:pPr>
              <w:pStyle w:val="Compact"/>
              <w:jc w:val="center"/>
            </w:pPr>
            <w:r>
              <w:t>0.087 (0.185)</w:t>
            </w:r>
          </w:p>
        </w:tc>
      </w:tr>
      <w:tr w:rsidR="008E4EBD" w14:paraId="247E64F3" w14:textId="77777777">
        <w:tc>
          <w:tcPr>
            <w:tcW w:w="915" w:type="dxa"/>
            <w:tcBorders>
              <w:top w:val="nil"/>
              <w:left w:val="nil"/>
              <w:bottom w:val="nil"/>
              <w:right w:val="nil"/>
            </w:tcBorders>
          </w:tcPr>
          <w:p w14:paraId="247E64EC" w14:textId="77777777" w:rsidR="008E4EBD" w:rsidRDefault="00483AC6">
            <w:pPr>
              <w:pStyle w:val="Compact"/>
              <w:jc w:val="center"/>
            </w:pPr>
            <w:r>
              <w:t>C</w:t>
            </w:r>
          </w:p>
        </w:tc>
        <w:tc>
          <w:tcPr>
            <w:tcW w:w="654" w:type="dxa"/>
            <w:tcBorders>
              <w:top w:val="nil"/>
              <w:left w:val="nil"/>
              <w:bottom w:val="nil"/>
              <w:right w:val="nil"/>
            </w:tcBorders>
          </w:tcPr>
          <w:p w14:paraId="247E64ED" w14:textId="77777777" w:rsidR="008E4EBD" w:rsidRDefault="00483AC6">
            <w:pPr>
              <w:pStyle w:val="Compact"/>
              <w:jc w:val="center"/>
            </w:pPr>
            <w:r>
              <w:t>0.4</w:t>
            </w:r>
          </w:p>
        </w:tc>
        <w:tc>
          <w:tcPr>
            <w:tcW w:w="654" w:type="dxa"/>
            <w:tcBorders>
              <w:top w:val="nil"/>
              <w:left w:val="nil"/>
              <w:bottom w:val="nil"/>
              <w:right w:val="nil"/>
            </w:tcBorders>
          </w:tcPr>
          <w:p w14:paraId="247E64EE" w14:textId="77777777" w:rsidR="008E4EBD" w:rsidRDefault="00483AC6">
            <w:pPr>
              <w:pStyle w:val="Compact"/>
              <w:jc w:val="center"/>
            </w:pPr>
            <w:r>
              <w:t>0.8</w:t>
            </w:r>
          </w:p>
        </w:tc>
        <w:tc>
          <w:tcPr>
            <w:tcW w:w="1700" w:type="dxa"/>
            <w:tcBorders>
              <w:top w:val="nil"/>
              <w:left w:val="nil"/>
              <w:bottom w:val="nil"/>
              <w:right w:val="nil"/>
            </w:tcBorders>
          </w:tcPr>
          <w:p w14:paraId="247E64EF" w14:textId="77777777" w:rsidR="008E4EBD" w:rsidRDefault="00483AC6">
            <w:pPr>
              <w:pStyle w:val="Compact"/>
              <w:jc w:val="center"/>
            </w:pPr>
            <w:r>
              <w:t>0.600 (1.238)</w:t>
            </w:r>
          </w:p>
        </w:tc>
        <w:tc>
          <w:tcPr>
            <w:tcW w:w="1700" w:type="dxa"/>
            <w:tcBorders>
              <w:top w:val="nil"/>
              <w:left w:val="nil"/>
              <w:bottom w:val="nil"/>
              <w:right w:val="nil"/>
            </w:tcBorders>
          </w:tcPr>
          <w:p w14:paraId="247E64F0" w14:textId="77777777" w:rsidR="008E4EBD" w:rsidRDefault="00483AC6">
            <w:pPr>
              <w:pStyle w:val="Compact"/>
              <w:jc w:val="center"/>
            </w:pPr>
            <w:r>
              <w:t>0.197 (0.408)</w:t>
            </w:r>
          </w:p>
        </w:tc>
        <w:tc>
          <w:tcPr>
            <w:tcW w:w="1700" w:type="dxa"/>
            <w:tcBorders>
              <w:top w:val="nil"/>
              <w:left w:val="nil"/>
              <w:bottom w:val="nil"/>
              <w:right w:val="nil"/>
            </w:tcBorders>
          </w:tcPr>
          <w:p w14:paraId="247E64F1" w14:textId="77777777" w:rsidR="008E4EBD" w:rsidRDefault="00483AC6">
            <w:pPr>
              <w:pStyle w:val="Compact"/>
              <w:jc w:val="center"/>
            </w:pPr>
            <w:r>
              <w:t>0.504 (1.040)</w:t>
            </w:r>
          </w:p>
        </w:tc>
        <w:tc>
          <w:tcPr>
            <w:tcW w:w="1703" w:type="dxa"/>
            <w:tcBorders>
              <w:top w:val="nil"/>
              <w:left w:val="nil"/>
              <w:bottom w:val="nil"/>
              <w:right w:val="nil"/>
            </w:tcBorders>
          </w:tcPr>
          <w:p w14:paraId="247E64F2" w14:textId="77777777" w:rsidR="008E4EBD" w:rsidRDefault="00483AC6">
            <w:pPr>
              <w:pStyle w:val="Compact"/>
              <w:jc w:val="center"/>
            </w:pPr>
            <w:r>
              <w:t>0.095 (0.200)</w:t>
            </w:r>
          </w:p>
        </w:tc>
      </w:tr>
      <w:tr w:rsidR="008E4EBD" w14:paraId="247E64FB" w14:textId="77777777">
        <w:tc>
          <w:tcPr>
            <w:tcW w:w="915" w:type="dxa"/>
            <w:tcBorders>
              <w:top w:val="nil"/>
              <w:left w:val="nil"/>
              <w:bottom w:val="nil"/>
              <w:right w:val="nil"/>
            </w:tcBorders>
          </w:tcPr>
          <w:p w14:paraId="247E64F4" w14:textId="77777777" w:rsidR="008E4EBD" w:rsidRDefault="00483AC6">
            <w:pPr>
              <w:pStyle w:val="Compact"/>
              <w:jc w:val="center"/>
            </w:pPr>
            <w:r>
              <w:t>C</w:t>
            </w:r>
          </w:p>
        </w:tc>
        <w:tc>
          <w:tcPr>
            <w:tcW w:w="654" w:type="dxa"/>
            <w:tcBorders>
              <w:top w:val="nil"/>
              <w:left w:val="nil"/>
              <w:bottom w:val="nil"/>
              <w:right w:val="nil"/>
            </w:tcBorders>
          </w:tcPr>
          <w:p w14:paraId="247E64F5" w14:textId="77777777" w:rsidR="008E4EBD" w:rsidRDefault="00483AC6">
            <w:pPr>
              <w:pStyle w:val="Compact"/>
              <w:jc w:val="center"/>
            </w:pPr>
            <w:r>
              <w:t>0.8</w:t>
            </w:r>
          </w:p>
        </w:tc>
        <w:tc>
          <w:tcPr>
            <w:tcW w:w="654" w:type="dxa"/>
            <w:tcBorders>
              <w:top w:val="nil"/>
              <w:left w:val="nil"/>
              <w:bottom w:val="nil"/>
              <w:right w:val="nil"/>
            </w:tcBorders>
          </w:tcPr>
          <w:p w14:paraId="247E64F6" w14:textId="77777777" w:rsidR="008E4EBD" w:rsidRDefault="00483AC6">
            <w:pPr>
              <w:pStyle w:val="Compact"/>
              <w:jc w:val="center"/>
            </w:pPr>
            <w:r>
              <w:t>0.4</w:t>
            </w:r>
          </w:p>
        </w:tc>
        <w:tc>
          <w:tcPr>
            <w:tcW w:w="1700" w:type="dxa"/>
            <w:tcBorders>
              <w:top w:val="nil"/>
              <w:left w:val="nil"/>
              <w:bottom w:val="nil"/>
              <w:right w:val="nil"/>
            </w:tcBorders>
          </w:tcPr>
          <w:p w14:paraId="247E64F7" w14:textId="77777777" w:rsidR="008E4EBD" w:rsidRDefault="00483AC6">
            <w:pPr>
              <w:pStyle w:val="Compact"/>
              <w:jc w:val="center"/>
            </w:pPr>
            <w:r>
              <w:t>0.599 (1.237)</w:t>
            </w:r>
          </w:p>
        </w:tc>
        <w:tc>
          <w:tcPr>
            <w:tcW w:w="1700" w:type="dxa"/>
            <w:tcBorders>
              <w:top w:val="nil"/>
              <w:left w:val="nil"/>
              <w:bottom w:val="nil"/>
              <w:right w:val="nil"/>
            </w:tcBorders>
          </w:tcPr>
          <w:p w14:paraId="247E64F8" w14:textId="77777777" w:rsidR="008E4EBD" w:rsidRDefault="00483AC6">
            <w:pPr>
              <w:pStyle w:val="Compact"/>
              <w:jc w:val="center"/>
            </w:pPr>
            <w:r>
              <w:t>0.192 (0.408)</w:t>
            </w:r>
          </w:p>
        </w:tc>
        <w:tc>
          <w:tcPr>
            <w:tcW w:w="1700" w:type="dxa"/>
            <w:tcBorders>
              <w:top w:val="nil"/>
              <w:left w:val="nil"/>
              <w:bottom w:val="nil"/>
              <w:right w:val="nil"/>
            </w:tcBorders>
          </w:tcPr>
          <w:p w14:paraId="247E64F9" w14:textId="77777777" w:rsidR="008E4EBD" w:rsidRDefault="00483AC6">
            <w:pPr>
              <w:pStyle w:val="Compact"/>
              <w:jc w:val="center"/>
            </w:pPr>
            <w:r>
              <w:t>0.191 (0.407)</w:t>
            </w:r>
          </w:p>
        </w:tc>
        <w:tc>
          <w:tcPr>
            <w:tcW w:w="1703" w:type="dxa"/>
            <w:tcBorders>
              <w:top w:val="nil"/>
              <w:left w:val="nil"/>
              <w:bottom w:val="nil"/>
              <w:right w:val="nil"/>
            </w:tcBorders>
          </w:tcPr>
          <w:p w14:paraId="247E64FA" w14:textId="77777777" w:rsidR="008E4EBD" w:rsidRDefault="00483AC6">
            <w:pPr>
              <w:pStyle w:val="Compact"/>
              <w:jc w:val="center"/>
            </w:pPr>
            <w:r>
              <w:t>0.087 (0.187)</w:t>
            </w:r>
          </w:p>
        </w:tc>
      </w:tr>
      <w:tr w:rsidR="008E4EBD" w14:paraId="247E6503" w14:textId="77777777">
        <w:tc>
          <w:tcPr>
            <w:tcW w:w="915" w:type="dxa"/>
            <w:tcBorders>
              <w:top w:val="nil"/>
              <w:left w:val="nil"/>
              <w:bottom w:val="single" w:sz="12" w:space="0" w:color="auto"/>
              <w:right w:val="nil"/>
            </w:tcBorders>
          </w:tcPr>
          <w:p w14:paraId="247E64FC" w14:textId="77777777" w:rsidR="008E4EBD" w:rsidRDefault="00483AC6">
            <w:pPr>
              <w:pStyle w:val="Compact"/>
              <w:jc w:val="center"/>
            </w:pPr>
            <w:r>
              <w:t>C</w:t>
            </w:r>
          </w:p>
        </w:tc>
        <w:tc>
          <w:tcPr>
            <w:tcW w:w="654" w:type="dxa"/>
            <w:tcBorders>
              <w:top w:val="nil"/>
              <w:left w:val="nil"/>
              <w:bottom w:val="single" w:sz="12" w:space="0" w:color="auto"/>
              <w:right w:val="nil"/>
            </w:tcBorders>
          </w:tcPr>
          <w:p w14:paraId="247E64FD" w14:textId="77777777" w:rsidR="008E4EBD" w:rsidRDefault="00483AC6">
            <w:pPr>
              <w:pStyle w:val="Compact"/>
              <w:jc w:val="center"/>
            </w:pPr>
            <w:r>
              <w:t>0.8</w:t>
            </w:r>
          </w:p>
        </w:tc>
        <w:tc>
          <w:tcPr>
            <w:tcW w:w="654" w:type="dxa"/>
            <w:tcBorders>
              <w:top w:val="nil"/>
              <w:left w:val="nil"/>
              <w:bottom w:val="single" w:sz="12" w:space="0" w:color="auto"/>
              <w:right w:val="nil"/>
            </w:tcBorders>
          </w:tcPr>
          <w:p w14:paraId="247E64FE" w14:textId="77777777" w:rsidR="008E4EBD" w:rsidRDefault="00483AC6">
            <w:pPr>
              <w:pStyle w:val="Compact"/>
              <w:jc w:val="center"/>
            </w:pPr>
            <w:r>
              <w:t>0.8</w:t>
            </w:r>
          </w:p>
        </w:tc>
        <w:tc>
          <w:tcPr>
            <w:tcW w:w="1700" w:type="dxa"/>
            <w:tcBorders>
              <w:top w:val="nil"/>
              <w:left w:val="nil"/>
              <w:bottom w:val="single" w:sz="12" w:space="0" w:color="auto"/>
              <w:right w:val="nil"/>
            </w:tcBorders>
          </w:tcPr>
          <w:p w14:paraId="247E64FF" w14:textId="77777777" w:rsidR="008E4EBD" w:rsidRDefault="00483AC6">
            <w:pPr>
              <w:pStyle w:val="Compact"/>
              <w:jc w:val="center"/>
            </w:pPr>
            <w:r>
              <w:t>0.579 (1.198)</w:t>
            </w:r>
          </w:p>
        </w:tc>
        <w:tc>
          <w:tcPr>
            <w:tcW w:w="1700" w:type="dxa"/>
            <w:tcBorders>
              <w:top w:val="nil"/>
              <w:left w:val="nil"/>
              <w:bottom w:val="single" w:sz="12" w:space="0" w:color="auto"/>
              <w:right w:val="nil"/>
            </w:tcBorders>
          </w:tcPr>
          <w:p w14:paraId="247E6500" w14:textId="77777777" w:rsidR="008E4EBD" w:rsidRDefault="00483AC6">
            <w:pPr>
              <w:pStyle w:val="Compact"/>
              <w:jc w:val="center"/>
            </w:pPr>
            <w:r>
              <w:t>0.131 (0.278)</w:t>
            </w:r>
          </w:p>
        </w:tc>
        <w:tc>
          <w:tcPr>
            <w:tcW w:w="1700" w:type="dxa"/>
            <w:tcBorders>
              <w:top w:val="nil"/>
              <w:left w:val="nil"/>
              <w:bottom w:val="single" w:sz="12" w:space="0" w:color="auto"/>
              <w:right w:val="nil"/>
            </w:tcBorders>
          </w:tcPr>
          <w:p w14:paraId="247E6501" w14:textId="77777777" w:rsidR="008E4EBD" w:rsidRDefault="00483AC6">
            <w:pPr>
              <w:pStyle w:val="Compact"/>
              <w:jc w:val="center"/>
            </w:pPr>
            <w:r>
              <w:t>0.376 (0.786)</w:t>
            </w:r>
          </w:p>
        </w:tc>
        <w:tc>
          <w:tcPr>
            <w:tcW w:w="1703" w:type="dxa"/>
            <w:tcBorders>
              <w:top w:val="nil"/>
              <w:left w:val="nil"/>
              <w:bottom w:val="single" w:sz="12" w:space="0" w:color="auto"/>
              <w:right w:val="nil"/>
            </w:tcBorders>
          </w:tcPr>
          <w:p w14:paraId="247E6502" w14:textId="77777777" w:rsidR="008E4EBD" w:rsidRDefault="00483AC6">
            <w:pPr>
              <w:pStyle w:val="Compact"/>
              <w:jc w:val="center"/>
            </w:pPr>
            <w:r>
              <w:t>0.091 (0.195)</w:t>
            </w:r>
          </w:p>
        </w:tc>
      </w:tr>
    </w:tbl>
    <w:p w14:paraId="247E6504" w14:textId="77777777" w:rsidR="008E4EBD" w:rsidRDefault="00483AC6">
      <w:pPr>
        <w:pStyle w:val="BodyText"/>
      </w:pPr>
      <w:r>
        <w:t>Table 4—Absolute Deviation of Point Predictions from the Oracle BLUP, Missing Area-Years (Mean, with 90th Percentile in Parentheses)</w:t>
      </w:r>
    </w:p>
    <w:tbl>
      <w:tblPr>
        <w:tblStyle w:val="Table"/>
        <w:tblW w:w="9026" w:type="dxa"/>
        <w:tblLayout w:type="fixed"/>
        <w:tblLook w:val="07E0" w:firstRow="1" w:lastRow="1" w:firstColumn="1" w:lastColumn="1" w:noHBand="1" w:noVBand="1"/>
      </w:tblPr>
      <w:tblGrid>
        <w:gridCol w:w="1089"/>
        <w:gridCol w:w="778"/>
        <w:gridCol w:w="778"/>
        <w:gridCol w:w="2334"/>
        <w:gridCol w:w="2023"/>
        <w:gridCol w:w="2024"/>
      </w:tblGrid>
      <w:tr w:rsidR="008E4EBD" w14:paraId="247E650B" w14:textId="77777777">
        <w:tc>
          <w:tcPr>
            <w:tcW w:w="1089" w:type="dxa"/>
            <w:tcBorders>
              <w:top w:val="single" w:sz="12" w:space="0" w:color="auto"/>
              <w:left w:val="nil"/>
              <w:bottom w:val="single" w:sz="4" w:space="0" w:color="auto"/>
              <w:right w:val="nil"/>
            </w:tcBorders>
            <w:vAlign w:val="bottom"/>
          </w:tcPr>
          <w:p w14:paraId="247E6505" w14:textId="77777777" w:rsidR="008E4EBD" w:rsidRDefault="00483AC6">
            <w:pPr>
              <w:pStyle w:val="Compact"/>
              <w:jc w:val="center"/>
            </w:pPr>
            <w:r>
              <w:rPr>
                <w:b/>
                <w:bCs/>
              </w:rPr>
              <w:t>Group</w:t>
            </w:r>
          </w:p>
        </w:tc>
        <w:tc>
          <w:tcPr>
            <w:tcW w:w="778" w:type="dxa"/>
            <w:tcBorders>
              <w:top w:val="single" w:sz="12" w:space="0" w:color="auto"/>
              <w:left w:val="nil"/>
              <w:bottom w:val="single" w:sz="4" w:space="0" w:color="auto"/>
              <w:right w:val="nil"/>
            </w:tcBorders>
            <w:vAlign w:val="bottom"/>
          </w:tcPr>
          <w:p w14:paraId="247E6506"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778" w:type="dxa"/>
            <w:tcBorders>
              <w:top w:val="single" w:sz="12" w:space="0" w:color="auto"/>
              <w:left w:val="nil"/>
              <w:bottom w:val="single" w:sz="4" w:space="0" w:color="auto"/>
              <w:right w:val="nil"/>
            </w:tcBorders>
            <w:vAlign w:val="bottom"/>
          </w:tcPr>
          <w:p w14:paraId="247E6507"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2334" w:type="dxa"/>
            <w:tcBorders>
              <w:top w:val="single" w:sz="12" w:space="0" w:color="auto"/>
              <w:left w:val="nil"/>
              <w:bottom w:val="single" w:sz="4" w:space="0" w:color="auto"/>
              <w:right w:val="nil"/>
            </w:tcBorders>
            <w:vAlign w:val="bottom"/>
          </w:tcPr>
          <w:p w14:paraId="247E6508" w14:textId="77777777" w:rsidR="008E4EBD" w:rsidRDefault="00483AC6">
            <w:pPr>
              <w:pStyle w:val="Compact"/>
              <w:jc w:val="center"/>
            </w:pPr>
            <w:r>
              <w:rPr>
                <w:b/>
                <w:bCs/>
              </w:rPr>
              <w:t>Synthetic (UFH)</w:t>
            </w:r>
          </w:p>
        </w:tc>
        <w:tc>
          <w:tcPr>
            <w:tcW w:w="2023" w:type="dxa"/>
            <w:tcBorders>
              <w:top w:val="single" w:sz="12" w:space="0" w:color="auto"/>
              <w:left w:val="nil"/>
              <w:bottom w:val="single" w:sz="4" w:space="0" w:color="auto"/>
              <w:right w:val="nil"/>
            </w:tcBorders>
            <w:vAlign w:val="bottom"/>
          </w:tcPr>
          <w:p w14:paraId="247E6509" w14:textId="77777777" w:rsidR="008E4EBD" w:rsidRDefault="00483AC6">
            <w:pPr>
              <w:pStyle w:val="Compact"/>
              <w:jc w:val="center"/>
            </w:pPr>
            <w:r>
              <w:rPr>
                <w:b/>
                <w:bCs/>
              </w:rPr>
              <w:t>MFH-diag</w:t>
            </w:r>
          </w:p>
        </w:tc>
        <w:tc>
          <w:tcPr>
            <w:tcW w:w="2024" w:type="dxa"/>
            <w:tcBorders>
              <w:top w:val="single" w:sz="12" w:space="0" w:color="auto"/>
              <w:left w:val="nil"/>
              <w:bottom w:val="single" w:sz="4" w:space="0" w:color="auto"/>
              <w:right w:val="nil"/>
            </w:tcBorders>
            <w:vAlign w:val="bottom"/>
          </w:tcPr>
          <w:p w14:paraId="247E650A" w14:textId="77777777" w:rsidR="008E4EBD" w:rsidRDefault="00483AC6">
            <w:pPr>
              <w:pStyle w:val="Compact"/>
              <w:jc w:val="center"/>
            </w:pPr>
            <w:r>
              <w:rPr>
                <w:b/>
                <w:bCs/>
              </w:rPr>
              <w:t>MFH-full</w:t>
            </w:r>
          </w:p>
        </w:tc>
      </w:tr>
      <w:tr w:rsidR="008E4EBD" w14:paraId="247E6512" w14:textId="77777777">
        <w:tc>
          <w:tcPr>
            <w:tcW w:w="1089" w:type="dxa"/>
            <w:tcBorders>
              <w:top w:val="nil"/>
              <w:left w:val="nil"/>
              <w:bottom w:val="nil"/>
              <w:right w:val="nil"/>
            </w:tcBorders>
          </w:tcPr>
          <w:p w14:paraId="247E650C" w14:textId="77777777" w:rsidR="008E4EBD" w:rsidRDefault="00483AC6">
            <w:pPr>
              <w:pStyle w:val="Compact"/>
              <w:jc w:val="center"/>
            </w:pPr>
            <w:r>
              <w:t>—</w:t>
            </w:r>
          </w:p>
        </w:tc>
        <w:tc>
          <w:tcPr>
            <w:tcW w:w="778" w:type="dxa"/>
            <w:tcBorders>
              <w:top w:val="nil"/>
              <w:left w:val="nil"/>
              <w:bottom w:val="nil"/>
              <w:right w:val="nil"/>
            </w:tcBorders>
          </w:tcPr>
          <w:p w14:paraId="247E650D" w14:textId="77777777" w:rsidR="008E4EBD" w:rsidRDefault="00483AC6">
            <w:pPr>
              <w:pStyle w:val="Compact"/>
              <w:jc w:val="center"/>
            </w:pPr>
            <w:r>
              <w:t>0.0</w:t>
            </w:r>
          </w:p>
        </w:tc>
        <w:tc>
          <w:tcPr>
            <w:tcW w:w="778" w:type="dxa"/>
            <w:tcBorders>
              <w:top w:val="nil"/>
              <w:left w:val="nil"/>
              <w:bottom w:val="nil"/>
              <w:right w:val="nil"/>
            </w:tcBorders>
          </w:tcPr>
          <w:p w14:paraId="247E650E" w14:textId="77777777" w:rsidR="008E4EBD" w:rsidRDefault="00483AC6">
            <w:pPr>
              <w:pStyle w:val="Compact"/>
              <w:jc w:val="center"/>
            </w:pPr>
            <w:r>
              <w:t>0.0</w:t>
            </w:r>
          </w:p>
        </w:tc>
        <w:tc>
          <w:tcPr>
            <w:tcW w:w="2334" w:type="dxa"/>
            <w:tcBorders>
              <w:top w:val="nil"/>
              <w:left w:val="nil"/>
              <w:bottom w:val="nil"/>
              <w:right w:val="nil"/>
            </w:tcBorders>
          </w:tcPr>
          <w:p w14:paraId="247E650F" w14:textId="77777777" w:rsidR="008E4EBD" w:rsidRDefault="00483AC6">
            <w:pPr>
              <w:pStyle w:val="Compact"/>
              <w:jc w:val="center"/>
            </w:pPr>
            <w:r>
              <w:t>0.094 (0.198)</w:t>
            </w:r>
          </w:p>
        </w:tc>
        <w:tc>
          <w:tcPr>
            <w:tcW w:w="2023" w:type="dxa"/>
            <w:tcBorders>
              <w:top w:val="nil"/>
              <w:left w:val="nil"/>
              <w:bottom w:val="nil"/>
              <w:right w:val="nil"/>
            </w:tcBorders>
          </w:tcPr>
          <w:p w14:paraId="247E6510" w14:textId="77777777" w:rsidR="008E4EBD" w:rsidRDefault="00483AC6">
            <w:pPr>
              <w:pStyle w:val="Compact"/>
              <w:jc w:val="center"/>
            </w:pPr>
            <w:r>
              <w:t>0.130 (0.279)</w:t>
            </w:r>
          </w:p>
        </w:tc>
        <w:tc>
          <w:tcPr>
            <w:tcW w:w="2024" w:type="dxa"/>
            <w:tcBorders>
              <w:top w:val="nil"/>
              <w:left w:val="nil"/>
              <w:bottom w:val="nil"/>
              <w:right w:val="nil"/>
            </w:tcBorders>
          </w:tcPr>
          <w:p w14:paraId="247E6511" w14:textId="77777777" w:rsidR="008E4EBD" w:rsidRDefault="00483AC6">
            <w:pPr>
              <w:pStyle w:val="Compact"/>
              <w:jc w:val="center"/>
            </w:pPr>
            <w:r>
              <w:t>0.130 (0.279)</w:t>
            </w:r>
          </w:p>
        </w:tc>
      </w:tr>
      <w:tr w:rsidR="008E4EBD" w14:paraId="247E6519" w14:textId="77777777">
        <w:tc>
          <w:tcPr>
            <w:tcW w:w="1089" w:type="dxa"/>
            <w:tcBorders>
              <w:top w:val="nil"/>
              <w:left w:val="nil"/>
              <w:bottom w:val="nil"/>
              <w:right w:val="nil"/>
            </w:tcBorders>
          </w:tcPr>
          <w:p w14:paraId="247E6513" w14:textId="77777777" w:rsidR="008E4EBD" w:rsidRDefault="00483AC6">
            <w:pPr>
              <w:pStyle w:val="Compact"/>
              <w:jc w:val="center"/>
            </w:pPr>
            <w:r>
              <w:t>A</w:t>
            </w:r>
          </w:p>
        </w:tc>
        <w:tc>
          <w:tcPr>
            <w:tcW w:w="778" w:type="dxa"/>
            <w:tcBorders>
              <w:top w:val="nil"/>
              <w:left w:val="nil"/>
              <w:bottom w:val="nil"/>
              <w:right w:val="nil"/>
            </w:tcBorders>
          </w:tcPr>
          <w:p w14:paraId="247E6514" w14:textId="77777777" w:rsidR="008E4EBD" w:rsidRDefault="00483AC6">
            <w:pPr>
              <w:pStyle w:val="Compact"/>
              <w:jc w:val="center"/>
            </w:pPr>
            <w:r>
              <w:t>0.0</w:t>
            </w:r>
          </w:p>
        </w:tc>
        <w:tc>
          <w:tcPr>
            <w:tcW w:w="778" w:type="dxa"/>
            <w:tcBorders>
              <w:top w:val="nil"/>
              <w:left w:val="nil"/>
              <w:bottom w:val="nil"/>
              <w:right w:val="nil"/>
            </w:tcBorders>
          </w:tcPr>
          <w:p w14:paraId="247E6515" w14:textId="77777777" w:rsidR="008E4EBD" w:rsidRDefault="00483AC6">
            <w:pPr>
              <w:pStyle w:val="Compact"/>
              <w:jc w:val="center"/>
            </w:pPr>
            <w:r>
              <w:t>0.4</w:t>
            </w:r>
          </w:p>
        </w:tc>
        <w:tc>
          <w:tcPr>
            <w:tcW w:w="2334" w:type="dxa"/>
            <w:tcBorders>
              <w:top w:val="nil"/>
              <w:left w:val="nil"/>
              <w:bottom w:val="nil"/>
              <w:right w:val="nil"/>
            </w:tcBorders>
          </w:tcPr>
          <w:p w14:paraId="247E6516" w14:textId="77777777" w:rsidR="008E4EBD" w:rsidRDefault="00483AC6">
            <w:pPr>
              <w:pStyle w:val="Compact"/>
              <w:jc w:val="center"/>
            </w:pPr>
            <w:r>
              <w:t>0.102 (0.213)</w:t>
            </w:r>
          </w:p>
        </w:tc>
        <w:tc>
          <w:tcPr>
            <w:tcW w:w="2023" w:type="dxa"/>
            <w:tcBorders>
              <w:top w:val="nil"/>
              <w:left w:val="nil"/>
              <w:bottom w:val="nil"/>
              <w:right w:val="nil"/>
            </w:tcBorders>
          </w:tcPr>
          <w:p w14:paraId="247E6517" w14:textId="77777777" w:rsidR="008E4EBD" w:rsidRDefault="00483AC6">
            <w:pPr>
              <w:pStyle w:val="Compact"/>
              <w:jc w:val="center"/>
            </w:pPr>
            <w:r>
              <w:t>0.236 (0.508)</w:t>
            </w:r>
          </w:p>
        </w:tc>
        <w:tc>
          <w:tcPr>
            <w:tcW w:w="2024" w:type="dxa"/>
            <w:tcBorders>
              <w:top w:val="nil"/>
              <w:left w:val="nil"/>
              <w:bottom w:val="nil"/>
              <w:right w:val="nil"/>
            </w:tcBorders>
          </w:tcPr>
          <w:p w14:paraId="247E6518" w14:textId="77777777" w:rsidR="008E4EBD" w:rsidRDefault="00483AC6">
            <w:pPr>
              <w:pStyle w:val="Compact"/>
              <w:jc w:val="center"/>
            </w:pPr>
            <w:r>
              <w:t>0.136 (0.288)</w:t>
            </w:r>
          </w:p>
        </w:tc>
      </w:tr>
      <w:tr w:rsidR="008E4EBD" w14:paraId="247E6520" w14:textId="77777777">
        <w:tc>
          <w:tcPr>
            <w:tcW w:w="1089" w:type="dxa"/>
            <w:tcBorders>
              <w:top w:val="nil"/>
              <w:left w:val="nil"/>
              <w:bottom w:val="nil"/>
              <w:right w:val="nil"/>
            </w:tcBorders>
          </w:tcPr>
          <w:p w14:paraId="247E651A" w14:textId="77777777" w:rsidR="008E4EBD" w:rsidRDefault="00483AC6">
            <w:pPr>
              <w:pStyle w:val="Compact"/>
              <w:jc w:val="center"/>
            </w:pPr>
            <w:r>
              <w:t>A</w:t>
            </w:r>
          </w:p>
        </w:tc>
        <w:tc>
          <w:tcPr>
            <w:tcW w:w="778" w:type="dxa"/>
            <w:tcBorders>
              <w:top w:val="nil"/>
              <w:left w:val="nil"/>
              <w:bottom w:val="nil"/>
              <w:right w:val="nil"/>
            </w:tcBorders>
          </w:tcPr>
          <w:p w14:paraId="247E651B" w14:textId="77777777" w:rsidR="008E4EBD" w:rsidRDefault="00483AC6">
            <w:pPr>
              <w:pStyle w:val="Compact"/>
              <w:jc w:val="center"/>
            </w:pPr>
            <w:r>
              <w:t>0.0</w:t>
            </w:r>
          </w:p>
        </w:tc>
        <w:tc>
          <w:tcPr>
            <w:tcW w:w="778" w:type="dxa"/>
            <w:tcBorders>
              <w:top w:val="nil"/>
              <w:left w:val="nil"/>
              <w:bottom w:val="nil"/>
              <w:right w:val="nil"/>
            </w:tcBorders>
          </w:tcPr>
          <w:p w14:paraId="247E651C" w14:textId="77777777" w:rsidR="008E4EBD" w:rsidRDefault="00483AC6">
            <w:pPr>
              <w:pStyle w:val="Compact"/>
              <w:jc w:val="center"/>
            </w:pPr>
            <w:r>
              <w:t>0.8</w:t>
            </w:r>
          </w:p>
        </w:tc>
        <w:tc>
          <w:tcPr>
            <w:tcW w:w="2334" w:type="dxa"/>
            <w:tcBorders>
              <w:top w:val="nil"/>
              <w:left w:val="nil"/>
              <w:bottom w:val="nil"/>
              <w:right w:val="nil"/>
            </w:tcBorders>
          </w:tcPr>
          <w:p w14:paraId="247E651D" w14:textId="77777777" w:rsidR="008E4EBD" w:rsidRDefault="00483AC6">
            <w:pPr>
              <w:pStyle w:val="Compact"/>
              <w:jc w:val="center"/>
            </w:pPr>
            <w:r>
              <w:t>0.110 (0.225)</w:t>
            </w:r>
          </w:p>
        </w:tc>
        <w:tc>
          <w:tcPr>
            <w:tcW w:w="2023" w:type="dxa"/>
            <w:tcBorders>
              <w:top w:val="nil"/>
              <w:left w:val="nil"/>
              <w:bottom w:val="nil"/>
              <w:right w:val="nil"/>
            </w:tcBorders>
          </w:tcPr>
          <w:p w14:paraId="247E651E" w14:textId="77777777" w:rsidR="008E4EBD" w:rsidRDefault="00483AC6">
            <w:pPr>
              <w:pStyle w:val="Compact"/>
              <w:jc w:val="center"/>
            </w:pPr>
            <w:r>
              <w:t>0.456 (0.948)</w:t>
            </w:r>
          </w:p>
        </w:tc>
        <w:tc>
          <w:tcPr>
            <w:tcW w:w="2024" w:type="dxa"/>
            <w:tcBorders>
              <w:top w:val="nil"/>
              <w:left w:val="nil"/>
              <w:bottom w:val="nil"/>
              <w:right w:val="nil"/>
            </w:tcBorders>
          </w:tcPr>
          <w:p w14:paraId="247E651F" w14:textId="77777777" w:rsidR="008E4EBD" w:rsidRDefault="00483AC6">
            <w:pPr>
              <w:pStyle w:val="Compact"/>
              <w:jc w:val="center"/>
            </w:pPr>
            <w:r>
              <w:t>0.144 (0.303)</w:t>
            </w:r>
          </w:p>
        </w:tc>
      </w:tr>
      <w:tr w:rsidR="008E4EBD" w14:paraId="247E6527" w14:textId="77777777">
        <w:tc>
          <w:tcPr>
            <w:tcW w:w="1089" w:type="dxa"/>
            <w:tcBorders>
              <w:top w:val="nil"/>
              <w:left w:val="nil"/>
              <w:bottom w:val="nil"/>
              <w:right w:val="nil"/>
            </w:tcBorders>
          </w:tcPr>
          <w:p w14:paraId="247E6521" w14:textId="77777777" w:rsidR="008E4EBD" w:rsidRDefault="00483AC6">
            <w:pPr>
              <w:pStyle w:val="Compact"/>
              <w:jc w:val="center"/>
            </w:pPr>
            <w:r>
              <w:t>B</w:t>
            </w:r>
          </w:p>
        </w:tc>
        <w:tc>
          <w:tcPr>
            <w:tcW w:w="778" w:type="dxa"/>
            <w:tcBorders>
              <w:top w:val="nil"/>
              <w:left w:val="nil"/>
              <w:bottom w:val="nil"/>
              <w:right w:val="nil"/>
            </w:tcBorders>
          </w:tcPr>
          <w:p w14:paraId="247E6522" w14:textId="77777777" w:rsidR="008E4EBD" w:rsidRDefault="00483AC6">
            <w:pPr>
              <w:pStyle w:val="Compact"/>
              <w:jc w:val="center"/>
            </w:pPr>
            <w:r>
              <w:t>0.4</w:t>
            </w:r>
          </w:p>
        </w:tc>
        <w:tc>
          <w:tcPr>
            <w:tcW w:w="778" w:type="dxa"/>
            <w:tcBorders>
              <w:top w:val="nil"/>
              <w:left w:val="nil"/>
              <w:bottom w:val="nil"/>
              <w:right w:val="nil"/>
            </w:tcBorders>
          </w:tcPr>
          <w:p w14:paraId="247E6523" w14:textId="77777777" w:rsidR="008E4EBD" w:rsidRDefault="00483AC6">
            <w:pPr>
              <w:pStyle w:val="Compact"/>
              <w:jc w:val="center"/>
            </w:pPr>
            <w:r>
              <w:t>0.0</w:t>
            </w:r>
          </w:p>
        </w:tc>
        <w:tc>
          <w:tcPr>
            <w:tcW w:w="2334" w:type="dxa"/>
            <w:tcBorders>
              <w:top w:val="nil"/>
              <w:left w:val="nil"/>
              <w:bottom w:val="nil"/>
              <w:right w:val="nil"/>
            </w:tcBorders>
          </w:tcPr>
          <w:p w14:paraId="247E6524" w14:textId="77777777" w:rsidR="008E4EBD" w:rsidRDefault="00483AC6">
            <w:pPr>
              <w:pStyle w:val="Compact"/>
              <w:jc w:val="center"/>
            </w:pPr>
            <w:r>
              <w:t>0.254 (0.523)</w:t>
            </w:r>
          </w:p>
        </w:tc>
        <w:tc>
          <w:tcPr>
            <w:tcW w:w="2023" w:type="dxa"/>
            <w:tcBorders>
              <w:top w:val="nil"/>
              <w:left w:val="nil"/>
              <w:bottom w:val="nil"/>
              <w:right w:val="nil"/>
            </w:tcBorders>
          </w:tcPr>
          <w:p w14:paraId="247E6525" w14:textId="77777777" w:rsidR="008E4EBD" w:rsidRDefault="00483AC6">
            <w:pPr>
              <w:pStyle w:val="Compact"/>
              <w:jc w:val="center"/>
            </w:pPr>
            <w:r>
              <w:t>0.128 (0.272)</w:t>
            </w:r>
          </w:p>
        </w:tc>
        <w:tc>
          <w:tcPr>
            <w:tcW w:w="2024" w:type="dxa"/>
            <w:tcBorders>
              <w:top w:val="nil"/>
              <w:left w:val="nil"/>
              <w:bottom w:val="nil"/>
              <w:right w:val="nil"/>
            </w:tcBorders>
          </w:tcPr>
          <w:p w14:paraId="247E6526" w14:textId="77777777" w:rsidR="008E4EBD" w:rsidRDefault="00483AC6">
            <w:pPr>
              <w:pStyle w:val="Compact"/>
              <w:jc w:val="center"/>
            </w:pPr>
            <w:r>
              <w:t>0.128 (0.272)</w:t>
            </w:r>
          </w:p>
        </w:tc>
      </w:tr>
      <w:tr w:rsidR="008E4EBD" w14:paraId="247E652E" w14:textId="77777777">
        <w:tc>
          <w:tcPr>
            <w:tcW w:w="1089" w:type="dxa"/>
            <w:tcBorders>
              <w:top w:val="nil"/>
              <w:left w:val="nil"/>
              <w:bottom w:val="nil"/>
              <w:right w:val="nil"/>
            </w:tcBorders>
          </w:tcPr>
          <w:p w14:paraId="247E6528" w14:textId="77777777" w:rsidR="008E4EBD" w:rsidRDefault="00483AC6">
            <w:pPr>
              <w:pStyle w:val="Compact"/>
              <w:jc w:val="center"/>
            </w:pPr>
            <w:r>
              <w:t>B</w:t>
            </w:r>
          </w:p>
        </w:tc>
        <w:tc>
          <w:tcPr>
            <w:tcW w:w="778" w:type="dxa"/>
            <w:tcBorders>
              <w:top w:val="nil"/>
              <w:left w:val="nil"/>
              <w:bottom w:val="nil"/>
              <w:right w:val="nil"/>
            </w:tcBorders>
          </w:tcPr>
          <w:p w14:paraId="247E6529" w14:textId="77777777" w:rsidR="008E4EBD" w:rsidRDefault="00483AC6">
            <w:pPr>
              <w:pStyle w:val="Compact"/>
              <w:jc w:val="center"/>
            </w:pPr>
            <w:r>
              <w:t>0.8</w:t>
            </w:r>
          </w:p>
        </w:tc>
        <w:tc>
          <w:tcPr>
            <w:tcW w:w="778" w:type="dxa"/>
            <w:tcBorders>
              <w:top w:val="nil"/>
              <w:left w:val="nil"/>
              <w:bottom w:val="nil"/>
              <w:right w:val="nil"/>
            </w:tcBorders>
          </w:tcPr>
          <w:p w14:paraId="247E652A" w14:textId="77777777" w:rsidR="008E4EBD" w:rsidRDefault="00483AC6">
            <w:pPr>
              <w:pStyle w:val="Compact"/>
              <w:jc w:val="center"/>
            </w:pPr>
            <w:r>
              <w:t>0.0</w:t>
            </w:r>
          </w:p>
        </w:tc>
        <w:tc>
          <w:tcPr>
            <w:tcW w:w="2334" w:type="dxa"/>
            <w:tcBorders>
              <w:top w:val="nil"/>
              <w:left w:val="nil"/>
              <w:bottom w:val="nil"/>
              <w:right w:val="nil"/>
            </w:tcBorders>
          </w:tcPr>
          <w:p w14:paraId="247E652B" w14:textId="77777777" w:rsidR="008E4EBD" w:rsidRDefault="00483AC6">
            <w:pPr>
              <w:pStyle w:val="Compact"/>
              <w:jc w:val="center"/>
            </w:pPr>
            <w:r>
              <w:t>0.509 (1.040)</w:t>
            </w:r>
          </w:p>
        </w:tc>
        <w:tc>
          <w:tcPr>
            <w:tcW w:w="2023" w:type="dxa"/>
            <w:tcBorders>
              <w:top w:val="nil"/>
              <w:left w:val="nil"/>
              <w:bottom w:val="nil"/>
              <w:right w:val="nil"/>
            </w:tcBorders>
          </w:tcPr>
          <w:p w14:paraId="247E652C" w14:textId="77777777" w:rsidR="008E4EBD" w:rsidRDefault="00483AC6">
            <w:pPr>
              <w:pStyle w:val="Compact"/>
              <w:jc w:val="center"/>
            </w:pPr>
            <w:r>
              <w:t>0.114 (0.248)</w:t>
            </w:r>
          </w:p>
        </w:tc>
        <w:tc>
          <w:tcPr>
            <w:tcW w:w="2024" w:type="dxa"/>
            <w:tcBorders>
              <w:top w:val="nil"/>
              <w:left w:val="nil"/>
              <w:bottom w:val="nil"/>
              <w:right w:val="nil"/>
            </w:tcBorders>
          </w:tcPr>
          <w:p w14:paraId="247E652D" w14:textId="77777777" w:rsidR="008E4EBD" w:rsidRDefault="00483AC6">
            <w:pPr>
              <w:pStyle w:val="Compact"/>
              <w:jc w:val="center"/>
            </w:pPr>
            <w:r>
              <w:t>0.114 (0.248)</w:t>
            </w:r>
          </w:p>
        </w:tc>
      </w:tr>
      <w:tr w:rsidR="008E4EBD" w14:paraId="247E6535" w14:textId="77777777">
        <w:tc>
          <w:tcPr>
            <w:tcW w:w="1089" w:type="dxa"/>
            <w:tcBorders>
              <w:top w:val="nil"/>
              <w:left w:val="nil"/>
              <w:bottom w:val="nil"/>
              <w:right w:val="nil"/>
            </w:tcBorders>
          </w:tcPr>
          <w:p w14:paraId="247E652F" w14:textId="77777777" w:rsidR="008E4EBD" w:rsidRDefault="00483AC6">
            <w:pPr>
              <w:pStyle w:val="Compact"/>
              <w:jc w:val="center"/>
            </w:pPr>
            <w:r>
              <w:t>C</w:t>
            </w:r>
          </w:p>
        </w:tc>
        <w:tc>
          <w:tcPr>
            <w:tcW w:w="778" w:type="dxa"/>
            <w:tcBorders>
              <w:top w:val="nil"/>
              <w:left w:val="nil"/>
              <w:bottom w:val="nil"/>
              <w:right w:val="nil"/>
            </w:tcBorders>
          </w:tcPr>
          <w:p w14:paraId="247E6530" w14:textId="77777777" w:rsidR="008E4EBD" w:rsidRDefault="00483AC6">
            <w:pPr>
              <w:pStyle w:val="Compact"/>
              <w:jc w:val="center"/>
            </w:pPr>
            <w:r>
              <w:t>0.4</w:t>
            </w:r>
          </w:p>
        </w:tc>
        <w:tc>
          <w:tcPr>
            <w:tcW w:w="778" w:type="dxa"/>
            <w:tcBorders>
              <w:top w:val="nil"/>
              <w:left w:val="nil"/>
              <w:bottom w:val="nil"/>
              <w:right w:val="nil"/>
            </w:tcBorders>
          </w:tcPr>
          <w:p w14:paraId="247E6531" w14:textId="77777777" w:rsidR="008E4EBD" w:rsidRDefault="00483AC6">
            <w:pPr>
              <w:pStyle w:val="Compact"/>
              <w:jc w:val="center"/>
            </w:pPr>
            <w:r>
              <w:t>0.4</w:t>
            </w:r>
          </w:p>
        </w:tc>
        <w:tc>
          <w:tcPr>
            <w:tcW w:w="2334" w:type="dxa"/>
            <w:tcBorders>
              <w:top w:val="nil"/>
              <w:left w:val="nil"/>
              <w:bottom w:val="nil"/>
              <w:right w:val="nil"/>
            </w:tcBorders>
          </w:tcPr>
          <w:p w14:paraId="247E6532" w14:textId="77777777" w:rsidR="008E4EBD" w:rsidRDefault="00483AC6">
            <w:pPr>
              <w:pStyle w:val="Compact"/>
              <w:jc w:val="center"/>
            </w:pPr>
            <w:r>
              <w:t>0.252 (0.521)</w:t>
            </w:r>
          </w:p>
        </w:tc>
        <w:tc>
          <w:tcPr>
            <w:tcW w:w="2023" w:type="dxa"/>
            <w:tcBorders>
              <w:top w:val="nil"/>
              <w:left w:val="nil"/>
              <w:bottom w:val="nil"/>
              <w:right w:val="nil"/>
            </w:tcBorders>
          </w:tcPr>
          <w:p w14:paraId="247E6533" w14:textId="77777777" w:rsidR="008E4EBD" w:rsidRDefault="00483AC6">
            <w:pPr>
              <w:pStyle w:val="Compact"/>
              <w:jc w:val="center"/>
            </w:pPr>
            <w:r>
              <w:t>0.233 (0.495)</w:t>
            </w:r>
          </w:p>
        </w:tc>
        <w:tc>
          <w:tcPr>
            <w:tcW w:w="2024" w:type="dxa"/>
            <w:tcBorders>
              <w:top w:val="nil"/>
              <w:left w:val="nil"/>
              <w:bottom w:val="nil"/>
              <w:right w:val="nil"/>
            </w:tcBorders>
          </w:tcPr>
          <w:p w14:paraId="247E6534" w14:textId="77777777" w:rsidR="008E4EBD" w:rsidRDefault="00483AC6">
            <w:pPr>
              <w:pStyle w:val="Compact"/>
              <w:jc w:val="center"/>
            </w:pPr>
            <w:r>
              <w:t>0.130 (0.275)</w:t>
            </w:r>
          </w:p>
        </w:tc>
      </w:tr>
      <w:tr w:rsidR="008E4EBD" w14:paraId="247E653C" w14:textId="77777777">
        <w:tc>
          <w:tcPr>
            <w:tcW w:w="1089" w:type="dxa"/>
            <w:tcBorders>
              <w:top w:val="nil"/>
              <w:left w:val="nil"/>
              <w:bottom w:val="nil"/>
              <w:right w:val="nil"/>
            </w:tcBorders>
          </w:tcPr>
          <w:p w14:paraId="247E6536" w14:textId="77777777" w:rsidR="008E4EBD" w:rsidRDefault="00483AC6">
            <w:pPr>
              <w:pStyle w:val="Compact"/>
              <w:jc w:val="center"/>
            </w:pPr>
            <w:r>
              <w:lastRenderedPageBreak/>
              <w:t>C</w:t>
            </w:r>
          </w:p>
        </w:tc>
        <w:tc>
          <w:tcPr>
            <w:tcW w:w="778" w:type="dxa"/>
            <w:tcBorders>
              <w:top w:val="nil"/>
              <w:left w:val="nil"/>
              <w:bottom w:val="nil"/>
              <w:right w:val="nil"/>
            </w:tcBorders>
          </w:tcPr>
          <w:p w14:paraId="247E6537" w14:textId="77777777" w:rsidR="008E4EBD" w:rsidRDefault="00483AC6">
            <w:pPr>
              <w:pStyle w:val="Compact"/>
              <w:jc w:val="center"/>
            </w:pPr>
            <w:r>
              <w:t>0.4</w:t>
            </w:r>
          </w:p>
        </w:tc>
        <w:tc>
          <w:tcPr>
            <w:tcW w:w="778" w:type="dxa"/>
            <w:tcBorders>
              <w:top w:val="nil"/>
              <w:left w:val="nil"/>
              <w:bottom w:val="nil"/>
              <w:right w:val="nil"/>
            </w:tcBorders>
          </w:tcPr>
          <w:p w14:paraId="247E6538" w14:textId="77777777" w:rsidR="008E4EBD" w:rsidRDefault="00483AC6">
            <w:pPr>
              <w:pStyle w:val="Compact"/>
              <w:jc w:val="center"/>
            </w:pPr>
            <w:r>
              <w:t>0.8</w:t>
            </w:r>
          </w:p>
        </w:tc>
        <w:tc>
          <w:tcPr>
            <w:tcW w:w="2334" w:type="dxa"/>
            <w:tcBorders>
              <w:top w:val="nil"/>
              <w:left w:val="nil"/>
              <w:bottom w:val="nil"/>
              <w:right w:val="nil"/>
            </w:tcBorders>
          </w:tcPr>
          <w:p w14:paraId="247E6539" w14:textId="77777777" w:rsidR="008E4EBD" w:rsidRDefault="00483AC6">
            <w:pPr>
              <w:pStyle w:val="Compact"/>
              <w:jc w:val="center"/>
            </w:pPr>
            <w:r>
              <w:t>0.260 (0.538)</w:t>
            </w:r>
          </w:p>
        </w:tc>
        <w:tc>
          <w:tcPr>
            <w:tcW w:w="2023" w:type="dxa"/>
            <w:tcBorders>
              <w:top w:val="nil"/>
              <w:left w:val="nil"/>
              <w:bottom w:val="nil"/>
              <w:right w:val="nil"/>
            </w:tcBorders>
          </w:tcPr>
          <w:p w14:paraId="247E653A" w14:textId="77777777" w:rsidR="008E4EBD" w:rsidRDefault="00483AC6">
            <w:pPr>
              <w:pStyle w:val="Compact"/>
              <w:jc w:val="center"/>
            </w:pPr>
            <w:r>
              <w:t>0.459 (0.960)</w:t>
            </w:r>
          </w:p>
        </w:tc>
        <w:tc>
          <w:tcPr>
            <w:tcW w:w="2024" w:type="dxa"/>
            <w:tcBorders>
              <w:top w:val="nil"/>
              <w:left w:val="nil"/>
              <w:bottom w:val="nil"/>
              <w:right w:val="nil"/>
            </w:tcBorders>
          </w:tcPr>
          <w:p w14:paraId="247E653B" w14:textId="77777777" w:rsidR="008E4EBD" w:rsidRDefault="00483AC6">
            <w:pPr>
              <w:pStyle w:val="Compact"/>
              <w:jc w:val="center"/>
            </w:pPr>
            <w:r>
              <w:t>0.136 (0.285)</w:t>
            </w:r>
          </w:p>
        </w:tc>
      </w:tr>
      <w:tr w:rsidR="008E4EBD" w14:paraId="247E6543" w14:textId="77777777">
        <w:tc>
          <w:tcPr>
            <w:tcW w:w="1089" w:type="dxa"/>
            <w:tcBorders>
              <w:top w:val="nil"/>
              <w:left w:val="nil"/>
              <w:bottom w:val="nil"/>
              <w:right w:val="nil"/>
            </w:tcBorders>
          </w:tcPr>
          <w:p w14:paraId="247E653D" w14:textId="77777777" w:rsidR="008E4EBD" w:rsidRDefault="00483AC6">
            <w:pPr>
              <w:pStyle w:val="Compact"/>
              <w:jc w:val="center"/>
            </w:pPr>
            <w:r>
              <w:t>C</w:t>
            </w:r>
          </w:p>
        </w:tc>
        <w:tc>
          <w:tcPr>
            <w:tcW w:w="778" w:type="dxa"/>
            <w:tcBorders>
              <w:top w:val="nil"/>
              <w:left w:val="nil"/>
              <w:bottom w:val="nil"/>
              <w:right w:val="nil"/>
            </w:tcBorders>
          </w:tcPr>
          <w:p w14:paraId="247E653E" w14:textId="77777777" w:rsidR="008E4EBD" w:rsidRDefault="00483AC6">
            <w:pPr>
              <w:pStyle w:val="Compact"/>
              <w:jc w:val="center"/>
            </w:pPr>
            <w:r>
              <w:t>0.8</w:t>
            </w:r>
          </w:p>
        </w:tc>
        <w:tc>
          <w:tcPr>
            <w:tcW w:w="778" w:type="dxa"/>
            <w:tcBorders>
              <w:top w:val="nil"/>
              <w:left w:val="nil"/>
              <w:bottom w:val="nil"/>
              <w:right w:val="nil"/>
            </w:tcBorders>
          </w:tcPr>
          <w:p w14:paraId="247E653F" w14:textId="77777777" w:rsidR="008E4EBD" w:rsidRDefault="00483AC6">
            <w:pPr>
              <w:pStyle w:val="Compact"/>
              <w:jc w:val="center"/>
            </w:pPr>
            <w:r>
              <w:t>0.4</w:t>
            </w:r>
          </w:p>
        </w:tc>
        <w:tc>
          <w:tcPr>
            <w:tcW w:w="2334" w:type="dxa"/>
            <w:tcBorders>
              <w:top w:val="nil"/>
              <w:left w:val="nil"/>
              <w:bottom w:val="nil"/>
              <w:right w:val="nil"/>
            </w:tcBorders>
          </w:tcPr>
          <w:p w14:paraId="247E6540" w14:textId="77777777" w:rsidR="008E4EBD" w:rsidRDefault="00483AC6">
            <w:pPr>
              <w:pStyle w:val="Compact"/>
              <w:jc w:val="center"/>
            </w:pPr>
            <w:r>
              <w:t>0.484 (0.990)</w:t>
            </w:r>
          </w:p>
        </w:tc>
        <w:tc>
          <w:tcPr>
            <w:tcW w:w="2023" w:type="dxa"/>
            <w:tcBorders>
              <w:top w:val="nil"/>
              <w:left w:val="nil"/>
              <w:bottom w:val="nil"/>
              <w:right w:val="nil"/>
            </w:tcBorders>
          </w:tcPr>
          <w:p w14:paraId="247E6541" w14:textId="77777777" w:rsidR="008E4EBD" w:rsidRDefault="00483AC6">
            <w:pPr>
              <w:pStyle w:val="Compact"/>
              <w:jc w:val="center"/>
            </w:pPr>
            <w:r>
              <w:t>0.210 (0.443)</w:t>
            </w:r>
          </w:p>
        </w:tc>
        <w:tc>
          <w:tcPr>
            <w:tcW w:w="2024" w:type="dxa"/>
            <w:tcBorders>
              <w:top w:val="nil"/>
              <w:left w:val="nil"/>
              <w:bottom w:val="nil"/>
              <w:right w:val="nil"/>
            </w:tcBorders>
          </w:tcPr>
          <w:p w14:paraId="247E6542" w14:textId="77777777" w:rsidR="008E4EBD" w:rsidRDefault="00483AC6">
            <w:pPr>
              <w:pStyle w:val="Compact"/>
              <w:jc w:val="center"/>
            </w:pPr>
            <w:r>
              <w:t>0.115 (0.248)</w:t>
            </w:r>
          </w:p>
        </w:tc>
      </w:tr>
      <w:tr w:rsidR="008E4EBD" w14:paraId="247E654A" w14:textId="77777777">
        <w:tc>
          <w:tcPr>
            <w:tcW w:w="1089" w:type="dxa"/>
            <w:tcBorders>
              <w:top w:val="nil"/>
              <w:left w:val="nil"/>
              <w:bottom w:val="single" w:sz="12" w:space="0" w:color="auto"/>
              <w:right w:val="nil"/>
            </w:tcBorders>
          </w:tcPr>
          <w:p w14:paraId="247E6544" w14:textId="77777777" w:rsidR="008E4EBD" w:rsidRDefault="00483AC6">
            <w:pPr>
              <w:pStyle w:val="Compact"/>
              <w:jc w:val="center"/>
            </w:pPr>
            <w:r>
              <w:t>C</w:t>
            </w:r>
          </w:p>
        </w:tc>
        <w:tc>
          <w:tcPr>
            <w:tcW w:w="778" w:type="dxa"/>
            <w:tcBorders>
              <w:top w:val="nil"/>
              <w:left w:val="nil"/>
              <w:bottom w:val="single" w:sz="12" w:space="0" w:color="auto"/>
              <w:right w:val="nil"/>
            </w:tcBorders>
          </w:tcPr>
          <w:p w14:paraId="247E6545" w14:textId="77777777" w:rsidR="008E4EBD" w:rsidRDefault="00483AC6">
            <w:pPr>
              <w:pStyle w:val="Compact"/>
              <w:jc w:val="center"/>
            </w:pPr>
            <w:r>
              <w:t>0.8</w:t>
            </w:r>
          </w:p>
        </w:tc>
        <w:tc>
          <w:tcPr>
            <w:tcW w:w="778" w:type="dxa"/>
            <w:tcBorders>
              <w:top w:val="nil"/>
              <w:left w:val="nil"/>
              <w:bottom w:val="single" w:sz="12" w:space="0" w:color="auto"/>
              <w:right w:val="nil"/>
            </w:tcBorders>
          </w:tcPr>
          <w:p w14:paraId="247E6546" w14:textId="77777777" w:rsidR="008E4EBD" w:rsidRDefault="00483AC6">
            <w:pPr>
              <w:pStyle w:val="Compact"/>
              <w:jc w:val="center"/>
            </w:pPr>
            <w:r>
              <w:t>0.8</w:t>
            </w:r>
          </w:p>
        </w:tc>
        <w:tc>
          <w:tcPr>
            <w:tcW w:w="2334" w:type="dxa"/>
            <w:tcBorders>
              <w:top w:val="nil"/>
              <w:left w:val="nil"/>
              <w:bottom w:val="single" w:sz="12" w:space="0" w:color="auto"/>
              <w:right w:val="nil"/>
            </w:tcBorders>
          </w:tcPr>
          <w:p w14:paraId="247E6547" w14:textId="77777777" w:rsidR="008E4EBD" w:rsidRDefault="00483AC6">
            <w:pPr>
              <w:pStyle w:val="Compact"/>
              <w:jc w:val="center"/>
            </w:pPr>
            <w:r>
              <w:t>0.474 (0.978)</w:t>
            </w:r>
          </w:p>
        </w:tc>
        <w:tc>
          <w:tcPr>
            <w:tcW w:w="2023" w:type="dxa"/>
            <w:tcBorders>
              <w:top w:val="nil"/>
              <w:left w:val="nil"/>
              <w:bottom w:val="single" w:sz="12" w:space="0" w:color="auto"/>
              <w:right w:val="nil"/>
            </w:tcBorders>
          </w:tcPr>
          <w:p w14:paraId="247E6548" w14:textId="77777777" w:rsidR="008E4EBD" w:rsidRDefault="00483AC6">
            <w:pPr>
              <w:pStyle w:val="Compact"/>
              <w:jc w:val="center"/>
            </w:pPr>
            <w:r>
              <w:t>0.363 (0.747)</w:t>
            </w:r>
          </w:p>
        </w:tc>
        <w:tc>
          <w:tcPr>
            <w:tcW w:w="2024" w:type="dxa"/>
            <w:tcBorders>
              <w:top w:val="nil"/>
              <w:left w:val="nil"/>
              <w:bottom w:val="single" w:sz="12" w:space="0" w:color="auto"/>
              <w:right w:val="nil"/>
            </w:tcBorders>
          </w:tcPr>
          <w:p w14:paraId="247E6549" w14:textId="77777777" w:rsidR="008E4EBD" w:rsidRDefault="00483AC6">
            <w:pPr>
              <w:pStyle w:val="Compact"/>
              <w:jc w:val="center"/>
            </w:pPr>
            <w:r>
              <w:t>0.117 (0.247)</w:t>
            </w:r>
          </w:p>
        </w:tc>
      </w:tr>
    </w:tbl>
    <w:p w14:paraId="247E654B" w14:textId="58CCD6AB" w:rsidR="008E4EBD" w:rsidRDefault="00483AC6">
      <w:pPr>
        <w:pStyle w:val="BodyText"/>
      </w:pPr>
      <w:r>
        <w:t xml:space="preserve">Three observations follow. First, the misspecification leaves the aggregate level of the map essentially untouched: the mean prediction bias of every shrinkage estimator is below 0.005 </w:t>
      </w:r>
      <w:r w:rsidR="009C18C8">
        <w:t>across all scenarios, consistent with the result in</w:t>
      </w:r>
      <w:r>
        <w:t xml:space="preserve"> Section 5 that prediction unbiasedness survives covariance misspecification. The damage is invisible in aggregate diagnostics. Second, the individual point estimates move materially.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the MFH-diag point prediction for an observed area-year differs from the true BLUP by 0.54 on average—more than half a standard deviation of the area effect (</w:t>
      </w:r>
      <m:oMath>
        <m:r>
          <w:rPr>
            <w:rFonts w:ascii="Cambria Math" w:hAnsi="Cambria Math"/>
          </w:rPr>
          <m:t>A</m:t>
        </m:r>
        <m:r>
          <w:rPr>
            <w:rFonts w:ascii="Cambria Math" w:hAnsi="Cambria Math"/>
          </w:rPr>
          <m:t>=1</m:t>
        </m:r>
      </m:oMath>
      <w:r>
        <w:t>)—and by more than 1.13 for one area-year in ten. UFH differs by 0.30 on average. MFH-full stays within 0.10 of the oracle in every scenario, indistinguishable from the pure parameter-estimation noise visible in the baseline (0.08). For missing area-years</w:t>
      </w:r>
      <w:r w:rsidR="009C18C8">
        <w:t>,</w:t>
      </w:r>
      <w:r>
        <w:t xml:space="preserve"> the same pattern </w:t>
      </w:r>
      <w:proofErr w:type="gramStart"/>
      <w:r>
        <w:t>holds:</w:t>
      </w:r>
      <w:proofErr w:type="gramEnd"/>
      <w:r>
        <w:t xml:space="preserve">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=0.4</m:t>
        </m:r>
      </m:oMath>
      <w:r>
        <w:t xml:space="preserve">,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the MFH-diag prediction sits 0.46 from the true BLUP on average against 0.14 for MFH-full. Third, the model upgrade can move the numbers in the wrong direction: at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UFH point estimates are </w:t>
      </w:r>
      <w:r>
        <w:rPr>
          <w:i/>
        </w:rPr>
        <w:t>closer</w:t>
      </w:r>
      <w:r>
        <w:t xml:space="preserve"> to the oracle (0.13) than MFH-diag’s (0.38)—switching from UFH to a multivariate model while keeping the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default pushes the published estimates further from the optimal ones. For poverty mapping</w:t>
      </w:r>
      <w:r w:rsidR="009C18C8">
        <w:t>,</w:t>
      </w:r>
      <w:r>
        <w:t xml:space="preserve"> these magnitudes matter directly: point estimates of this kind drive area rankings, eligibility thresholds, and budget allocations, and area-specific shifts of half a standard deviation—uncorrelated with any aggregate diagnostic—can reorder areas around any policy cutoff.</w:t>
      </w:r>
    </w:p>
    <w:p w14:paraId="247E654C" w14:textId="77777777" w:rsidR="008E4EBD" w:rsidRDefault="00483AC6">
      <w:pPr>
        <w:pStyle w:val="BodyText"/>
      </w:pPr>
      <w:r>
        <w:t xml:space="preserve">These results also answer a question of internal consistency. The Fay–Herriot tradition treats the diagonal of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as known </w:t>
      </w:r>
      <w:r>
        <w:rPr>
          <w:i/>
        </w:rPr>
        <w:t>because the survey design supplies it</w:t>
      </w:r>
      <w:r>
        <w:t xml:space="preserve">. If empirical analysis of the same design—rotation patterns, overlapping primary sampling units, shared interview waves—shows that the sampling errors are autocorrelated, then setting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m:t>
        </m:r>
      </m:oMath>
      <w:r>
        <w:t xml:space="preserve"> is not a neutral simplification; it is a working model that contradicts design information the analyst has already accepted as known on the diagonal. The estimates in Annex Table A.3 show what the contradiction costs: the likelihood, denied the true source of the cross-year correlation, relocates it into the area effects, and every prediction weight built on </w:t>
      </w:r>
      <m:oMath>
        <m:acc>
          <m:accPr>
            <m:ctrlPr>
              <w:rPr>
                <w:rFonts w:ascii="Cambria Math" w:hAnsi="Cambria Math"/>
              </w:rPr>
            </m:ctrlPr>
          </m:accPr>
          <m:e>
            <m:r>
              <w:rPr>
                <w:rFonts w:ascii="Cambria Math" w:hAnsi="Cambria Math"/>
              </w:rPr>
              <m:t>G</m:t>
            </m:r>
          </m:e>
        </m:acc>
      </m:oMath>
      <w:r>
        <w:t xml:space="preserve"> inherits the error. The consistent practice is to carry the design information through in full: if the design implies sampling-error covariances, they belong in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exactly as the sampling variances do.</w:t>
      </w:r>
    </w:p>
    <w:p w14:paraId="247E654D" w14:textId="77777777" w:rsidR="008E4EBD" w:rsidRDefault="00483AC6">
      <w:pPr>
        <w:pStyle w:val="Heading1"/>
      </w:pPr>
      <w:bookmarkStart w:id="20" w:name="implications-for-practice"/>
      <w:r>
        <w:t>12. Implications for practice</w:t>
      </w:r>
      <w:bookmarkEnd w:id="20"/>
    </w:p>
    <w:p w14:paraId="247E654E" w14:textId="77777777" w:rsidR="008E4EBD" w:rsidRDefault="00483AC6">
      <w:pPr>
        <w:pStyle w:val="Heading2"/>
      </w:pPr>
      <w:bookmarkStart w:id="21" w:name="Xbd7eb046e5e18c708c7b345183d2261cd01fd30"/>
      <w:r>
        <w:t>12.1. Reporting uncertainty for observed and missing area-years</w:t>
      </w:r>
      <w:bookmarkEnd w:id="21"/>
    </w:p>
    <w:p w14:paraId="247E654F" w14:textId="77777777" w:rsidR="008E4EBD" w:rsidRDefault="00483AC6">
      <w:pPr>
        <w:pStyle w:val="FirstParagraph"/>
      </w:pPr>
      <w:r>
        <w:t>The distinction between observed and missing direct estimates should be reflected in uncertainty reporting. For a known covariance matrix, the conditional prediction variance for a missing target has the form</w:t>
      </w:r>
    </w:p>
    <w:p w14:paraId="247E6550" w14:textId="77777777" w:rsidR="008E4EBD" w:rsidRDefault="00483AC6">
      <w:pPr>
        <w:pStyle w:val="BodyText"/>
        <w:spacing w:before="0" w:after="160" w:line="240" w:lineRule="atLeast"/>
        <w:jc w:val="center"/>
      </w:pPr>
      <m:oMathPara>
        <m:oMathParaPr>
          <m:jc m:val="center"/>
        </m:oMathParaPr>
        <m:oMath>
          <m:r>
            <m:rPr>
              <m:nor/>
            </m:rPr>
            <m:t>Var</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m</m:t>
              </m:r>
            </m:sub>
          </m:sSub>
          <m:r>
            <w:rPr>
              <w:rFonts w:ascii="Cambria Math" w:hAnsi="Cambria Math"/>
            </w:rPr>
            <m:t>)=</m:t>
          </m:r>
          <m:r>
            <m:rPr>
              <m:nor/>
            </m:rPr>
            <m:t>Var</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C</m:t>
              </m:r>
            </m:e>
            <m:sub>
              <m:r>
                <m:rPr>
                  <m:nor/>
                </m:rPr>
                <m:t>mo</m:t>
              </m:r>
            </m:sub>
          </m:sSub>
          <m:sSubSup>
            <m:sSubSupPr>
              <m:ctrlPr>
                <w:rPr>
                  <w:rFonts w:ascii="Cambria Math" w:hAnsi="Cambria Math"/>
                </w:rPr>
              </m:ctrlPr>
            </m:sSubSupPr>
            <m:e>
              <m:r>
                <w:rPr>
                  <w:rFonts w:ascii="Cambria Math" w:hAnsi="Cambria Math"/>
                </w:rPr>
                <m:t>V</m:t>
              </m:r>
            </m:e>
            <m:sub>
              <m:r>
                <m:rPr>
                  <m:nor/>
                </m:rPr>
                <m:t>oo</m:t>
              </m:r>
            </m:sub>
            <m:sup>
              <m:r>
                <w:rPr>
                  <w:rFonts w:ascii="Cambria Math" w:hAnsi="Cambria Math"/>
                </w:rPr>
                <m:t>-1</m:t>
              </m:r>
            </m:sup>
          </m:sSubSup>
          <m:sSub>
            <m:sSubPr>
              <m:ctrlPr>
                <w:rPr>
                  <w:rFonts w:ascii="Cambria Math" w:hAnsi="Cambria Math"/>
                </w:rPr>
              </m:ctrlPr>
            </m:sSubPr>
            <m:e>
              <m:r>
                <w:rPr>
                  <w:rFonts w:ascii="Cambria Math" w:hAnsi="Cambria Math"/>
                </w:rPr>
                <m:t>C</m:t>
              </m:r>
            </m:e>
            <m:sub>
              <m:r>
                <m:rPr>
                  <m:nor/>
                </m:rPr>
                <m:t>om</m:t>
              </m:r>
            </m:sub>
          </m:sSub>
          <m:r>
            <w:rPr>
              <w:rFonts w:ascii="Cambria Math" w:hAnsi="Cambria Math"/>
            </w:rPr>
            <m:t>+</m:t>
          </m:r>
          <m:r>
            <m:rPr>
              <m:nor/>
            </m:rPr>
            <m:t>(β-estimation component)</m:t>
          </m:r>
          <m:r>
            <w:rPr>
              <w:rFonts w:ascii="Cambria Math" w:hAnsi="Cambria Math"/>
            </w:rPr>
            <m:t>,</m:t>
          </m:r>
        </m:oMath>
      </m:oMathPara>
    </w:p>
    <w:p w14:paraId="247E6551" w14:textId="77777777" w:rsidR="008E4EBD" w:rsidRDefault="00483AC6">
      <w:pPr>
        <w:pStyle w:val="BodyText"/>
      </w:pPr>
      <w:r>
        <w:t xml:space="preserve">so the reduction below the synthetic-prediction variance </w:t>
      </w:r>
      <m:oMath>
        <m:r>
          <m:rPr>
            <m:nor/>
          </m:rPr>
          <m:t>Var</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oMath>
      <w:r>
        <w:t xml:space="preserve"> is exactly the explained covariance term </w:t>
      </w:r>
      <m:oMath>
        <m:sSub>
          <m:sSubPr>
            <m:ctrlPr>
              <w:rPr>
                <w:rFonts w:ascii="Cambria Math" w:hAnsi="Cambria Math"/>
              </w:rPr>
            </m:ctrlPr>
          </m:sSubPr>
          <m:e>
            <m:r>
              <w:rPr>
                <w:rFonts w:ascii="Cambria Math" w:hAnsi="Cambria Math"/>
              </w:rPr>
              <m:t>C</m:t>
            </m:r>
          </m:e>
          <m:sub>
            <m:r>
              <m:rPr>
                <m:nor/>
              </m:rPr>
              <m:t>mo</m:t>
            </m:r>
          </m:sub>
        </m:sSub>
        <m:sSubSup>
          <m:sSubSupPr>
            <m:ctrlPr>
              <w:rPr>
                <w:rFonts w:ascii="Cambria Math" w:hAnsi="Cambria Math"/>
              </w:rPr>
            </m:ctrlPr>
          </m:sSubSupPr>
          <m:e>
            <m:r>
              <w:rPr>
                <w:rFonts w:ascii="Cambria Math" w:hAnsi="Cambria Math"/>
              </w:rPr>
              <m:t>V</m:t>
            </m:r>
          </m:e>
          <m:sub>
            <m:r>
              <m:rPr>
                <m:nor/>
              </m:rPr>
              <m:t>oo</m:t>
            </m:r>
          </m:sub>
          <m:sup>
            <m:r>
              <w:rPr>
                <w:rFonts w:ascii="Cambria Math" w:hAnsi="Cambria Math"/>
              </w:rPr>
              <m:t>-1</m:t>
            </m:r>
          </m:sup>
        </m:sSubSup>
        <m:sSub>
          <m:sSubPr>
            <m:ctrlPr>
              <w:rPr>
                <w:rFonts w:ascii="Cambria Math" w:hAnsi="Cambria Math"/>
              </w:rPr>
            </m:ctrlPr>
          </m:sSubPr>
          <m:e>
            <m:r>
              <w:rPr>
                <w:rFonts w:ascii="Cambria Math" w:hAnsi="Cambria Math"/>
              </w:rPr>
              <m:t>C</m:t>
            </m:r>
          </m:e>
          <m:sub>
            <m:r>
              <m:rPr>
                <m:nor/>
              </m:rPr>
              <m:t>om</m:t>
            </m:r>
          </m:sub>
        </m:sSub>
      </m:oMath>
      <w:r>
        <w:t xml:space="preserve">. When covariance parameters are estimated, the EBLUP MSE includes additional terms from variance-component estimation, analogous to the </w:t>
      </w:r>
      <m:oMath>
        <m:sSub>
          <m:sSubPr>
            <m:ctrlPr>
              <w:rPr>
                <w:rFonts w:ascii="Cambria Math" w:hAnsi="Cambria Math"/>
              </w:rPr>
            </m:ctrlPr>
          </m:sSubPr>
          <m:e>
            <m:r>
              <w:rPr>
                <w:rFonts w:ascii="Cambria Math" w:hAnsi="Cambria Math"/>
              </w:rPr>
              <m:t>g</m:t>
            </m:r>
          </m:e>
          <m:sub>
            <m:r>
              <w:rPr>
                <w:rFonts w:ascii="Cambria Math" w:hAnsi="Cambria Math"/>
              </w:rPr>
              <m:t>3</m:t>
            </m:r>
          </m:sub>
        </m:sSub>
      </m:oMath>
      <w:r>
        <w:t xml:space="preserve"> term of Prasad and Rao (1990); analytic </w:t>
      </w:r>
      <w:r>
        <w:lastRenderedPageBreak/>
        <w:t>approximations (Datta and Lahiri, 2000; Datta, Rao, and Smith, 2005) and parametric bootstrap methods (González-Manteiga et al., 2008) are available.</w:t>
      </w:r>
    </w:p>
    <w:p w14:paraId="247E6552" w14:textId="0D20E199" w:rsidR="008E4EBD" w:rsidRDefault="00483AC6">
      <w:pPr>
        <w:pStyle w:val="BodyText"/>
      </w:pPr>
      <w:r>
        <w:t xml:space="preserve">Reported RMSEs and coefficients of variation (CVs) should flag, for each estimate, the information set on which it is based: (i) an observed direct estimate for the same area-year; (ii) temporal or multivariate borrowing from other observed years; (iii) spatial borrowing from other areas; or (iv) purely synthetic prediction. This classification is important for interpretation. A small CV for an area with a direct estimate and a small CV for an area with no direct estimate </w:t>
      </w:r>
      <w:proofErr w:type="gramStart"/>
      <w:r>
        <w:t>do</w:t>
      </w:r>
      <w:proofErr w:type="gramEnd"/>
      <w:r>
        <w:t xml:space="preserve"> not carry the same evidentiary </w:t>
      </w:r>
      <w:r w:rsidR="00530C79">
        <w:t>weight if the latter is heavily model-dependent: the former is anchored in area-specific data, whereas</w:t>
      </w:r>
      <w:r>
        <w:t xml:space="preserve"> the latter inherits the model’s assumptions wholesale. Publications should avoid presenting complete maps as if all area estimates had the same direct empirical support.</w:t>
      </w:r>
    </w:p>
    <w:p w14:paraId="247E6553" w14:textId="77777777" w:rsidR="008E4EBD" w:rsidRDefault="00483AC6">
      <w:pPr>
        <w:pStyle w:val="Heading2"/>
      </w:pPr>
      <w:bookmarkStart w:id="22" w:name="X8618a2869d195aad50115e8c20b78c42d0970b5"/>
      <w:r>
        <w:t>12.2. Implementation steps for MFH with missing area-years</w:t>
      </w:r>
      <w:bookmarkEnd w:id="22"/>
    </w:p>
    <w:p w14:paraId="247E6554" w14:textId="77777777" w:rsidR="008E4EBD" w:rsidRDefault="00483AC6">
      <w:pPr>
        <w:pStyle w:val="FirstParagraph"/>
      </w:pPr>
      <w:r>
        <w:t>Operationally, the MFH estimator with missing area-years can be implemented as follows.</w:t>
      </w:r>
    </w:p>
    <w:p w14:paraId="247E6555" w14:textId="77777777" w:rsidR="008E4EBD" w:rsidRDefault="00483AC6">
      <w:pPr>
        <w:numPr>
          <w:ilvl w:val="0"/>
          <w:numId w:val="3"/>
        </w:numPr>
      </w:pPr>
      <w:r>
        <w:t xml:space="preserve">Stack all available direct estimates into a single observed vector </w:t>
      </w:r>
      <m:oMath>
        <m:sSub>
          <m:sSubPr>
            <m:ctrlPr>
              <w:rPr>
                <w:rFonts w:ascii="Cambria Math" w:hAnsi="Cambria Math"/>
              </w:rPr>
            </m:ctrlPr>
          </m:sSubPr>
          <m:e>
            <m:r>
              <w:rPr>
                <w:rFonts w:ascii="Cambria Math" w:hAnsi="Cambria Math"/>
              </w:rPr>
              <m:t>y</m:t>
            </m:r>
          </m:e>
          <m:sub>
            <m:r>
              <w:rPr>
                <w:rFonts w:ascii="Cambria Math" w:hAnsi="Cambria Math"/>
              </w:rPr>
              <m:t>o</m:t>
            </m:r>
          </m:sub>
        </m:sSub>
      </m:oMath>
      <w:r>
        <w:t>. Exclude missing area-years from this vector; do not treat them as zeros or as direct estimates with arbitrarily large variance unless the software formulation explicitly justifies that approximation.</w:t>
      </w:r>
    </w:p>
    <w:p w14:paraId="247E6556" w14:textId="77777777" w:rsidR="008E4EBD" w:rsidRDefault="00483AC6">
      <w:pPr>
        <w:numPr>
          <w:ilvl w:val="0"/>
          <w:numId w:val="3"/>
        </w:numPr>
      </w:pPr>
      <w:r>
        <w:t xml:space="preserve">Build the corresponding observed design matrix </w:t>
      </w:r>
      <m:oMath>
        <m:sSub>
          <m:sSubPr>
            <m:ctrlPr>
              <w:rPr>
                <w:rFonts w:ascii="Cambria Math" w:hAnsi="Cambria Math"/>
              </w:rPr>
            </m:ctrlPr>
          </m:sSubPr>
          <m:e>
            <m:r>
              <w:rPr>
                <w:rFonts w:ascii="Cambria Math" w:hAnsi="Cambria Math"/>
              </w:rPr>
              <m:t>X</m:t>
            </m:r>
          </m:e>
          <m:sub>
            <m:r>
              <w:rPr>
                <w:rFonts w:ascii="Cambria Math" w:hAnsi="Cambria Math"/>
              </w:rPr>
              <m:t>o</m:t>
            </m:r>
          </m:sub>
        </m:sSub>
      </m:oMath>
      <w:r>
        <w:t xml:space="preserve">, and build </w:t>
      </w:r>
      <m:oMath>
        <m:sSub>
          <m:sSubPr>
            <m:ctrlPr>
              <w:rPr>
                <w:rFonts w:ascii="Cambria Math" w:hAnsi="Cambria Math"/>
              </w:rPr>
            </m:ctrlPr>
          </m:sSubPr>
          <m:e>
            <m:r>
              <w:rPr>
                <w:rFonts w:ascii="Cambria Math" w:hAnsi="Cambria Math"/>
              </w:rPr>
              <m:t>X</m:t>
            </m:r>
          </m:e>
          <m:sub>
            <m:r>
              <w:rPr>
                <w:rFonts w:ascii="Cambria Math" w:hAnsi="Cambria Math"/>
              </w:rPr>
              <m:t>m</m:t>
            </m:r>
          </m:sub>
        </m:sSub>
      </m:oMath>
      <w:r>
        <w:t xml:space="preserve"> for the area-years to be predicted but not observed.</w:t>
      </w:r>
    </w:p>
    <w:p w14:paraId="247E6557" w14:textId="77777777" w:rsidR="008E4EBD" w:rsidRDefault="00483AC6">
      <w:pPr>
        <w:numPr>
          <w:ilvl w:val="0"/>
          <w:numId w:val="3"/>
        </w:numPr>
      </w:pPr>
      <w:r>
        <w:t xml:space="preserve">Specify the covariance model for the area effects and sampling errors. This determines </w:t>
      </w:r>
      <m:oMath>
        <m:r>
          <m:rPr>
            <m:nor/>
          </m:rPr>
          <m:t>Var</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m:t>
        </m:r>
      </m:oMath>
      <w:r>
        <w:t xml:space="preserve"> and </w:t>
      </w:r>
      <m:oMath>
        <m:r>
          <m:rPr>
            <m:nor/>
          </m:rPr>
          <m:t>Cov</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m:t>
        </m:r>
      </m:oMath>
      <w:r>
        <w:t>; parsimonious structures (AR(1) in time, conditional or simultaneous autoregressive structures in space) keep the parameter count manageable.</w:t>
      </w:r>
    </w:p>
    <w:p w14:paraId="247E6558" w14:textId="77777777" w:rsidR="008E4EBD" w:rsidRDefault="00483AC6">
      <w:pPr>
        <w:numPr>
          <w:ilvl w:val="0"/>
          <w:numId w:val="3"/>
        </w:numPr>
      </w:pPr>
      <w:r>
        <w:t xml:space="preserve">Obtain the sampling-error covariance matrix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including its off-diagonal elements, from the survey design wherever possible. In repeated surveys, rotating panels, or designs that reuse primary sampling units, the sampling covariances between direct estimates for the same area in different years can be computed or estimated by the same design-based methods used for the sampling variances. Supplying these covariances to the model is the multivariate analog of the standard convention of treating the </w:t>
      </w:r>
      <m:oMath>
        <m:sSub>
          <m:sSubPr>
            <m:ctrlPr>
              <w:rPr>
                <w:rFonts w:ascii="Cambria Math" w:hAnsi="Cambria Math"/>
              </w:rPr>
            </m:ctrlPr>
          </m:sSubPr>
          <m:e>
            <m:r>
              <w:rPr>
                <w:rFonts w:ascii="Cambria Math" w:hAnsi="Cambria Math"/>
              </w:rPr>
              <m:t>D</m:t>
            </m:r>
          </m:e>
          <m:sub>
            <m:r>
              <m:rPr>
                <m:nor/>
              </m:rPr>
              <m:t>it</m:t>
            </m:r>
          </m:sub>
        </m:sSub>
      </m:oMath>
      <w:r>
        <w:t xml:space="preserve"> as known; defaulting to a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when the design induces correlation is a covariance misspecification that the model cannot repair by estimating </w:t>
      </w:r>
      <m:oMath>
        <m:r>
          <w:rPr>
            <w:rFonts w:ascii="Cambria Math" w:hAnsi="Cambria Math"/>
          </w:rPr>
          <m:t>G</m:t>
        </m:r>
      </m:oMath>
      <w:r>
        <w:t>, however flexibly (Section 11.3).</w:t>
      </w:r>
    </w:p>
    <w:p w14:paraId="247E6559" w14:textId="77777777" w:rsidR="008E4EBD" w:rsidRDefault="00483AC6">
      <w:pPr>
        <w:numPr>
          <w:ilvl w:val="0"/>
          <w:numId w:val="3"/>
        </w:numPr>
      </w:pPr>
      <w:r>
        <w:t xml:space="preserve">Estimate </w:t>
      </w:r>
      <m:oMath>
        <m:r>
          <w:rPr>
            <w:rFonts w:ascii="Cambria Math" w:hAnsi="Cambria Math"/>
          </w:rPr>
          <m:t>β</m:t>
        </m:r>
      </m:oMath>
      <w:r>
        <w:t xml:space="preserve"> by GLS using only observed direct estimates: </w:t>
      </w:r>
      <m:oMath>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w:rPr>
            <w:rFonts w:ascii="Cambria Math" w:hAnsi="Cambria Math"/>
          </w:rPr>
          <m:t>'</m:t>
        </m:r>
        <m:sSubSup>
          <m:sSubSupPr>
            <m:ctrlPr>
              <w:rPr>
                <w:rFonts w:ascii="Cambria Math" w:hAnsi="Cambria Math"/>
              </w:rPr>
            </m:ctrlPr>
          </m:sSubSupPr>
          <m:e>
            <m:r>
              <w:rPr>
                <w:rFonts w:ascii="Cambria Math" w:hAnsi="Cambria Math"/>
              </w:rPr>
              <m:t>V</m:t>
            </m:r>
          </m:e>
          <m:sub>
            <m:r>
              <m:rPr>
                <m:nor/>
              </m:rPr>
              <m:t>oo</m:t>
            </m:r>
          </m:sub>
          <m:sup>
            <m: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o</m:t>
            </m:r>
          </m:sub>
        </m:sSub>
        <m:sSup>
          <m:sSupPr>
            <m:ctrlPr>
              <w:rPr>
                <w:rFonts w:ascii="Cambria Math" w:hAnsi="Cambria Math"/>
              </w:rPr>
            </m:ctrlPr>
          </m:sSupPr>
          <m:e>
            <m:r>
              <w:rPr>
                <w:rFonts w:ascii="Cambria Math" w:hAnsi="Cambria Math"/>
              </w:rPr>
              <m:t>)</m:t>
            </m:r>
          </m:e>
          <m:sup>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o</m:t>
            </m:r>
          </m:sub>
        </m:sSub>
        <m:r>
          <w:rPr>
            <w:rFonts w:ascii="Cambria Math" w:hAnsi="Cambria Math"/>
          </w:rPr>
          <m:t>'</m:t>
        </m:r>
        <m:sSubSup>
          <m:sSubSupPr>
            <m:ctrlPr>
              <w:rPr>
                <w:rFonts w:ascii="Cambria Math" w:hAnsi="Cambria Math"/>
              </w:rPr>
            </m:ctrlPr>
          </m:sSubSupPr>
          <m:e>
            <m:r>
              <w:rPr>
                <w:rFonts w:ascii="Cambria Math" w:hAnsi="Cambria Math"/>
              </w:rPr>
              <m:t>V</m:t>
            </m:r>
          </m:e>
          <m:sub>
            <m:r>
              <m:rPr>
                <m:nor/>
              </m:rPr>
              <m:t>oo</m:t>
            </m:r>
          </m:sub>
          <m:sup>
            <m:r>
              <w:rPr>
                <w:rFonts w:ascii="Cambria Math" w:hAnsi="Cambria Math"/>
              </w:rPr>
              <m:t>-1</m:t>
            </m:r>
          </m:sup>
        </m:sSubSup>
        <m:sSub>
          <m:sSubPr>
            <m:ctrlPr>
              <w:rPr>
                <w:rFonts w:ascii="Cambria Math" w:hAnsi="Cambria Math"/>
              </w:rPr>
            </m:ctrlPr>
          </m:sSubPr>
          <m:e>
            <m:r>
              <w:rPr>
                <w:rFonts w:ascii="Cambria Math" w:hAnsi="Cambria Math"/>
              </w:rPr>
              <m:t>y</m:t>
            </m:r>
          </m:e>
          <m:sub>
            <m:r>
              <w:rPr>
                <w:rFonts w:ascii="Cambria Math" w:hAnsi="Cambria Math"/>
              </w:rPr>
              <m:t>o</m:t>
            </m:r>
          </m:sub>
        </m:sSub>
      </m:oMath>
      <w:r>
        <w:t>.</w:t>
      </w:r>
    </w:p>
    <w:p w14:paraId="247E655A" w14:textId="77777777" w:rsidR="008E4EBD" w:rsidRDefault="00483AC6">
      <w:pPr>
        <w:numPr>
          <w:ilvl w:val="0"/>
          <w:numId w:val="3"/>
        </w:numPr>
      </w:pPr>
      <w:r>
        <w:t>Estimate unknown variance and covariance parameters by ML, REML, method of moments, or a structured covariance estimator, depending on the design and data limitations.</w:t>
      </w:r>
    </w:p>
    <w:p w14:paraId="247E655B" w14:textId="77777777" w:rsidR="008E4EBD" w:rsidRDefault="00483AC6">
      <w:pPr>
        <w:numPr>
          <w:ilvl w:val="0"/>
          <w:numId w:val="3"/>
        </w:numPr>
      </w:pPr>
      <w:r>
        <w:t xml:space="preserve">Compute the EBLUP for missing targets as </w:t>
      </w:r>
      <m:oMath>
        <m:sSub>
          <m:sSubPr>
            <m:ctrlPr>
              <w:rPr>
                <w:rFonts w:ascii="Cambria Math" w:hAnsi="Cambria Math"/>
              </w:rPr>
            </m:ctrlPr>
          </m:sSubPr>
          <m:e>
            <m:r>
              <w:rPr>
                <w:rFonts w:ascii="Cambria Math" w:hAnsi="Cambria Math"/>
              </w:rPr>
              <m:t>X</m:t>
            </m:r>
          </m:e>
          <m:sub>
            <m:r>
              <w:rPr>
                <w:rFonts w:ascii="Cambria Math" w:hAnsi="Cambria Math"/>
              </w:rPr>
              <m:t>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r>
              <w:rPr>
                <w:rFonts w:ascii="Cambria Math" w:hAnsi="Cambria Math"/>
              </w:rPr>
              <m:t>C</m:t>
            </m:r>
          </m:e>
          <m:sub>
            <m:r>
              <m:rPr>
                <m:nor/>
              </m:rPr>
              <m:t>mo</m:t>
            </m:r>
          </m:sub>
        </m:sSub>
        <m:sSubSup>
          <m:sSubSupPr>
            <m:ctrlPr>
              <w:rPr>
                <w:rFonts w:ascii="Cambria Math" w:hAnsi="Cambria Math"/>
              </w:rPr>
            </m:ctrlPr>
          </m:sSubSupPr>
          <m:e>
            <m:r>
              <w:rPr>
                <w:rFonts w:ascii="Cambria Math" w:hAnsi="Cambria Math"/>
              </w:rPr>
              <m:t>V</m:t>
            </m:r>
          </m:e>
          <m:sub>
            <m:r>
              <m:rPr>
                <m:nor/>
              </m:rPr>
              <m:t>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acc>
          <m:accPr>
            <m:ctrlPr>
              <w:rPr>
                <w:rFonts w:ascii="Cambria Math" w:hAnsi="Cambria Math"/>
              </w:rPr>
            </m:ctrlPr>
          </m:accPr>
          <m:e>
            <m:r>
              <w:rPr>
                <w:rFonts w:ascii="Cambria Math" w:hAnsi="Cambria Math"/>
              </w:rPr>
              <m:t>β</m:t>
            </m:r>
          </m:e>
        </m:acc>
        <m:r>
          <w:rPr>
            <w:rFonts w:ascii="Cambria Math" w:hAnsi="Cambria Math"/>
          </w:rPr>
          <m:t>)</m:t>
        </m:r>
      </m:oMath>
      <w:r>
        <w:t>.</w:t>
      </w:r>
    </w:p>
    <w:p w14:paraId="247E655C" w14:textId="77777777" w:rsidR="008E4EBD" w:rsidRDefault="00483AC6">
      <w:pPr>
        <w:numPr>
          <w:ilvl w:val="0"/>
          <w:numId w:val="3"/>
        </w:numPr>
      </w:pPr>
      <w:r>
        <w:t xml:space="preserve">Compute MSEs using an approximation that reflects prediction variance, </w:t>
      </w:r>
      <m:oMath>
        <m:r>
          <w:rPr>
            <w:rFonts w:ascii="Cambria Math" w:hAnsi="Cambria Math"/>
          </w:rPr>
          <m:t>β</m:t>
        </m:r>
      </m:oMath>
      <w:r>
        <w:t xml:space="preserve"> -estimation error, and variance-component estimation error; flag estimates for missing area-years, whose uncertainty and model dependence differ from those of ordinary observed area-years.</w:t>
      </w:r>
    </w:p>
    <w:p w14:paraId="247E655D" w14:textId="77777777" w:rsidR="008E4EBD" w:rsidRDefault="00483AC6">
      <w:pPr>
        <w:pStyle w:val="Heading2"/>
      </w:pPr>
      <w:bookmarkStart w:id="23" w:name="summary-of-estimator-behavior"/>
      <w:r>
        <w:lastRenderedPageBreak/>
        <w:t>12.3. Summary of estimator behavior</w:t>
      </w:r>
      <w:bookmarkEnd w:id="23"/>
    </w:p>
    <w:p w14:paraId="247E655E" w14:textId="23874503" w:rsidR="008E4EBD" w:rsidRDefault="00483AC6">
      <w:pPr>
        <w:pStyle w:val="FirstParagraph"/>
      </w:pPr>
      <w:r>
        <w:t xml:space="preserve">Table 5 </w:t>
      </w:r>
      <w:r w:rsidR="00E308C7">
        <w:t>summarizes the qualitative conclusions from Sections 5–11 in a format</w:t>
      </w:r>
      <w:r>
        <w:t xml:space="preserve"> suitable for guidance documents. “MFH (diag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denotes a multivariate model that estimates the area-effect covariance </w:t>
      </w:r>
      <m:oMath>
        <m:r>
          <w:rPr>
            <w:rFonts w:ascii="Cambria Math" w:hAnsi="Cambria Math"/>
          </w:rPr>
          <m:t>G</m:t>
        </m:r>
      </m:oMath>
      <w:r>
        <w:t xml:space="preserve"> but assumes independent sampling errors; “MFH (full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denotes the same model with the sampling-error covariance, including off-diagonal terms, supplied from the survey design.</w:t>
      </w:r>
    </w:p>
    <w:p w14:paraId="247E655F" w14:textId="77777777" w:rsidR="008E4EBD" w:rsidRDefault="00483AC6">
      <w:pPr>
        <w:pStyle w:val="BodyText"/>
      </w:pPr>
      <w:r>
        <w:t>Table 5—Summary of Estimator Behavior</w:t>
      </w:r>
    </w:p>
    <w:tbl>
      <w:tblPr>
        <w:tblStyle w:val="Table"/>
        <w:tblW w:w="9026" w:type="dxa"/>
        <w:tblLayout w:type="fixed"/>
        <w:tblLook w:val="07E0" w:firstRow="1" w:lastRow="1" w:firstColumn="1" w:lastColumn="1" w:noHBand="1" w:noVBand="1"/>
      </w:tblPr>
      <w:tblGrid>
        <w:gridCol w:w="1805"/>
        <w:gridCol w:w="1805"/>
        <w:gridCol w:w="1805"/>
        <w:gridCol w:w="1805"/>
        <w:gridCol w:w="1806"/>
      </w:tblGrid>
      <w:tr w:rsidR="008E4EBD" w14:paraId="247E6565" w14:textId="77777777">
        <w:tc>
          <w:tcPr>
            <w:tcW w:w="1805" w:type="dxa"/>
            <w:tcBorders>
              <w:top w:val="single" w:sz="12" w:space="0" w:color="auto"/>
              <w:left w:val="nil"/>
              <w:bottom w:val="single" w:sz="4" w:space="0" w:color="auto"/>
              <w:right w:val="nil"/>
            </w:tcBorders>
            <w:vAlign w:val="bottom"/>
          </w:tcPr>
          <w:p w14:paraId="247E6560" w14:textId="77777777" w:rsidR="008E4EBD" w:rsidRDefault="00483AC6">
            <w:pPr>
              <w:pStyle w:val="Compact"/>
              <w:jc w:val="left"/>
            </w:pPr>
            <w:r>
              <w:rPr>
                <w:b/>
                <w:bCs/>
              </w:rPr>
              <w:t>Case</w:t>
            </w:r>
          </w:p>
        </w:tc>
        <w:tc>
          <w:tcPr>
            <w:tcW w:w="1805" w:type="dxa"/>
            <w:tcBorders>
              <w:top w:val="single" w:sz="12" w:space="0" w:color="auto"/>
              <w:left w:val="nil"/>
              <w:bottom w:val="single" w:sz="4" w:space="0" w:color="auto"/>
              <w:right w:val="nil"/>
            </w:tcBorders>
            <w:vAlign w:val="bottom"/>
          </w:tcPr>
          <w:p w14:paraId="247E6561" w14:textId="77777777" w:rsidR="008E4EBD" w:rsidRDefault="00483AC6">
            <w:pPr>
              <w:pStyle w:val="Compact"/>
              <w:jc w:val="left"/>
            </w:pPr>
            <w:r>
              <w:rPr>
                <w:b/>
                <w:bCs/>
              </w:rPr>
              <w:t>UFH</w:t>
            </w:r>
          </w:p>
        </w:tc>
        <w:tc>
          <w:tcPr>
            <w:tcW w:w="1805" w:type="dxa"/>
            <w:tcBorders>
              <w:top w:val="single" w:sz="12" w:space="0" w:color="auto"/>
              <w:left w:val="nil"/>
              <w:bottom w:val="single" w:sz="4" w:space="0" w:color="auto"/>
              <w:right w:val="nil"/>
            </w:tcBorders>
            <w:vAlign w:val="bottom"/>
          </w:tcPr>
          <w:p w14:paraId="247E6562" w14:textId="77777777" w:rsidR="008E4EBD" w:rsidRDefault="00483AC6">
            <w:pPr>
              <w:pStyle w:val="Compact"/>
              <w:jc w:val="left"/>
            </w:pPr>
            <w:r>
              <w:rPr>
                <w:b/>
                <w:bCs/>
              </w:rPr>
              <w:t xml:space="preserve">MFH (diag </w:t>
            </w:r>
            <m:oMath>
              <m:sSub>
                <m:sSubPr>
                  <m:ctrlPr>
                    <w:rPr>
                      <w:rFonts w:ascii="Cambria Math" w:hAnsi="Cambria Math"/>
                    </w:rPr>
                  </m:ctrlPr>
                </m:sSubPr>
                <m:e>
                  <m:r>
                    <w:rPr>
                      <w:rFonts w:ascii="Cambria Math" w:hAnsi="Cambria Math"/>
                    </w:rPr>
                    <m:t>D</m:t>
                  </m:r>
                </m:e>
                <m:sub>
                  <m:r>
                    <w:rPr>
                      <w:rFonts w:ascii="Cambria Math" w:hAnsi="Cambria Math"/>
                    </w:rPr>
                    <m:t>i</m:t>
                  </m:r>
                </m:sub>
              </m:sSub>
            </m:oMath>
            <w:r>
              <w:rPr>
                <w:b/>
                <w:bCs/>
              </w:rPr>
              <w:t>)</w:t>
            </w:r>
          </w:p>
        </w:tc>
        <w:tc>
          <w:tcPr>
            <w:tcW w:w="1805" w:type="dxa"/>
            <w:tcBorders>
              <w:top w:val="single" w:sz="12" w:space="0" w:color="auto"/>
              <w:left w:val="nil"/>
              <w:bottom w:val="single" w:sz="4" w:space="0" w:color="auto"/>
              <w:right w:val="nil"/>
            </w:tcBorders>
            <w:vAlign w:val="bottom"/>
          </w:tcPr>
          <w:p w14:paraId="247E6563" w14:textId="77777777" w:rsidR="008E4EBD" w:rsidRDefault="00483AC6">
            <w:pPr>
              <w:pStyle w:val="Compact"/>
              <w:jc w:val="left"/>
            </w:pPr>
            <w:r>
              <w:rPr>
                <w:b/>
                <w:bCs/>
              </w:rPr>
              <w:t xml:space="preserve">MFH (full </w:t>
            </w:r>
            <m:oMath>
              <m:sSub>
                <m:sSubPr>
                  <m:ctrlPr>
                    <w:rPr>
                      <w:rFonts w:ascii="Cambria Math" w:hAnsi="Cambria Math"/>
                    </w:rPr>
                  </m:ctrlPr>
                </m:sSubPr>
                <m:e>
                  <m:r>
                    <w:rPr>
                      <w:rFonts w:ascii="Cambria Math" w:hAnsi="Cambria Math"/>
                    </w:rPr>
                    <m:t>D</m:t>
                  </m:r>
                </m:e>
                <m:sub>
                  <m:r>
                    <w:rPr>
                      <w:rFonts w:ascii="Cambria Math" w:hAnsi="Cambria Math"/>
                    </w:rPr>
                    <m:t>i</m:t>
                  </m:r>
                </m:sub>
              </m:sSub>
            </m:oMath>
            <w:r>
              <w:rPr>
                <w:b/>
                <w:bCs/>
              </w:rPr>
              <w:t>)</w:t>
            </w:r>
          </w:p>
        </w:tc>
        <w:tc>
          <w:tcPr>
            <w:tcW w:w="1806" w:type="dxa"/>
            <w:tcBorders>
              <w:top w:val="single" w:sz="12" w:space="0" w:color="auto"/>
              <w:left w:val="nil"/>
              <w:bottom w:val="single" w:sz="4" w:space="0" w:color="auto"/>
              <w:right w:val="nil"/>
            </w:tcBorders>
            <w:vAlign w:val="bottom"/>
          </w:tcPr>
          <w:p w14:paraId="247E6564" w14:textId="77777777" w:rsidR="008E4EBD" w:rsidRDefault="00483AC6">
            <w:pPr>
              <w:pStyle w:val="Compact"/>
              <w:jc w:val="left"/>
            </w:pPr>
            <w:r>
              <w:rPr>
                <w:b/>
                <w:bCs/>
              </w:rPr>
              <w:t>Interpretation</w:t>
            </w:r>
          </w:p>
        </w:tc>
      </w:tr>
      <w:tr w:rsidR="008E4EBD" w14:paraId="247E656B" w14:textId="77777777">
        <w:tc>
          <w:tcPr>
            <w:tcW w:w="1805" w:type="dxa"/>
            <w:tcBorders>
              <w:top w:val="nil"/>
              <w:left w:val="nil"/>
              <w:bottom w:val="nil"/>
              <w:right w:val="nil"/>
            </w:tcBorders>
          </w:tcPr>
          <w:p w14:paraId="247E6566" w14:textId="77777777" w:rsidR="008E4EBD" w:rsidRDefault="00483AC6">
            <w:pPr>
              <w:pStyle w:val="Compact"/>
              <w:jc w:val="left"/>
            </w:pPr>
            <w:r>
              <w:t>Direct estimate available; no temporal/spatial dependence</w:t>
            </w:r>
          </w:p>
        </w:tc>
        <w:tc>
          <w:tcPr>
            <w:tcW w:w="1805" w:type="dxa"/>
            <w:tcBorders>
              <w:top w:val="nil"/>
              <w:left w:val="nil"/>
              <w:bottom w:val="nil"/>
              <w:right w:val="nil"/>
            </w:tcBorders>
          </w:tcPr>
          <w:p w14:paraId="247E6567" w14:textId="77777777" w:rsidR="008E4EBD" w:rsidRDefault="00483AC6">
            <w:pPr>
              <w:pStyle w:val="Compact"/>
              <w:jc w:val="left"/>
            </w:pPr>
            <w:r>
              <w:t xml:space="preserve">EBLUP converges to UFH BLUP if </w:t>
            </w:r>
            <m:oMath>
              <m:r>
                <w:rPr>
                  <w:rFonts w:ascii="Cambria Math" w:hAnsi="Cambria Math"/>
                </w:rPr>
                <m:t>A</m:t>
              </m:r>
            </m:oMath>
            <w:r>
              <w:t xml:space="preserve"> is consistently estimated.</w:t>
            </w:r>
          </w:p>
        </w:tc>
        <w:tc>
          <w:tcPr>
            <w:tcW w:w="1805" w:type="dxa"/>
            <w:tcBorders>
              <w:top w:val="nil"/>
              <w:left w:val="nil"/>
              <w:bottom w:val="nil"/>
              <w:right w:val="nil"/>
            </w:tcBorders>
          </w:tcPr>
          <w:p w14:paraId="247E6568" w14:textId="77777777" w:rsidR="008E4EBD" w:rsidRDefault="00483AC6">
            <w:pPr>
              <w:pStyle w:val="Compact"/>
              <w:jc w:val="left"/>
            </w:pPr>
            <w:r>
              <w:t>Also valid; extra structure is estimated as null.</w:t>
            </w:r>
          </w:p>
        </w:tc>
        <w:tc>
          <w:tcPr>
            <w:tcW w:w="1805" w:type="dxa"/>
            <w:tcBorders>
              <w:top w:val="nil"/>
              <w:left w:val="nil"/>
              <w:bottom w:val="nil"/>
              <w:right w:val="nil"/>
            </w:tcBorders>
          </w:tcPr>
          <w:p w14:paraId="247E6569" w14:textId="77777777" w:rsidR="008E4EBD" w:rsidRDefault="00483AC6">
            <w:pPr>
              <w:pStyle w:val="Compact"/>
              <w:jc w:val="left"/>
            </w:pPr>
            <w:r>
              <w:t>Also valid; extra structure is estimated as null.</w:t>
            </w:r>
          </w:p>
        </w:tc>
        <w:tc>
          <w:tcPr>
            <w:tcW w:w="1806" w:type="dxa"/>
            <w:tcBorders>
              <w:top w:val="nil"/>
              <w:left w:val="nil"/>
              <w:bottom w:val="nil"/>
              <w:right w:val="nil"/>
            </w:tcBorders>
          </w:tcPr>
          <w:p w14:paraId="247E656A" w14:textId="77777777" w:rsidR="008E4EBD" w:rsidRDefault="00483AC6">
            <w:pPr>
              <w:pStyle w:val="Compact"/>
              <w:jc w:val="left"/>
            </w:pPr>
            <w:r>
              <w:t>UFH is adequate under its assumptions.</w:t>
            </w:r>
          </w:p>
        </w:tc>
      </w:tr>
      <w:tr w:rsidR="008E4EBD" w14:paraId="247E6571" w14:textId="77777777">
        <w:tc>
          <w:tcPr>
            <w:tcW w:w="1805" w:type="dxa"/>
            <w:tcBorders>
              <w:top w:val="nil"/>
              <w:left w:val="nil"/>
              <w:bottom w:val="nil"/>
              <w:right w:val="nil"/>
            </w:tcBorders>
          </w:tcPr>
          <w:p w14:paraId="247E656C" w14:textId="77777777" w:rsidR="008E4EBD" w:rsidRDefault="00483AC6">
            <w:pPr>
              <w:pStyle w:val="Compact"/>
              <w:jc w:val="left"/>
            </w:pPr>
            <w:r>
              <w:t>Direct estimate available; area effects autocorrelated, sampling errors independent</w:t>
            </w:r>
          </w:p>
        </w:tc>
        <w:tc>
          <w:tcPr>
            <w:tcW w:w="1805" w:type="dxa"/>
            <w:tcBorders>
              <w:top w:val="nil"/>
              <w:left w:val="nil"/>
              <w:bottom w:val="nil"/>
              <w:right w:val="nil"/>
            </w:tcBorders>
          </w:tcPr>
          <w:p w14:paraId="247E656D" w14:textId="77777777" w:rsidR="008E4EBD" w:rsidRDefault="00483AC6">
            <w:pPr>
              <w:pStyle w:val="Compact"/>
              <w:jc w:val="left"/>
            </w:pPr>
            <w:r>
              <w:t>Does not converge to the true BLUP.</w:t>
            </w:r>
          </w:p>
        </w:tc>
        <w:tc>
          <w:tcPr>
            <w:tcW w:w="1805" w:type="dxa"/>
            <w:tcBorders>
              <w:top w:val="nil"/>
              <w:left w:val="nil"/>
              <w:bottom w:val="nil"/>
              <w:right w:val="nil"/>
            </w:tcBorders>
          </w:tcPr>
          <w:p w14:paraId="247E656E" w14:textId="77777777" w:rsidR="008E4EBD" w:rsidRDefault="00483AC6">
            <w:pPr>
              <w:pStyle w:val="Compact"/>
              <w:jc w:val="left"/>
            </w:pPr>
            <w:r>
              <w:t xml:space="preserve">Converges to true BLUP (coincides with full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when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m:t>
              </m:r>
            </m:oMath>
            <w:r>
              <w:t>).</w:t>
            </w:r>
          </w:p>
        </w:tc>
        <w:tc>
          <w:tcPr>
            <w:tcW w:w="1805" w:type="dxa"/>
            <w:tcBorders>
              <w:top w:val="nil"/>
              <w:left w:val="nil"/>
              <w:bottom w:val="nil"/>
              <w:right w:val="nil"/>
            </w:tcBorders>
          </w:tcPr>
          <w:p w14:paraId="247E656F" w14:textId="77777777" w:rsidR="008E4EBD" w:rsidRDefault="00483AC6">
            <w:pPr>
              <w:pStyle w:val="Compact"/>
              <w:jc w:val="left"/>
            </w:pPr>
            <w:r>
              <w:t>Converges to true BLUP.</w:t>
            </w:r>
          </w:p>
        </w:tc>
        <w:tc>
          <w:tcPr>
            <w:tcW w:w="1806" w:type="dxa"/>
            <w:tcBorders>
              <w:top w:val="nil"/>
              <w:left w:val="nil"/>
              <w:bottom w:val="nil"/>
              <w:right w:val="nil"/>
            </w:tcBorders>
          </w:tcPr>
          <w:p w14:paraId="247E6570" w14:textId="77777777" w:rsidR="008E4EBD" w:rsidRDefault="00483AC6">
            <w:pPr>
              <w:pStyle w:val="Compact"/>
              <w:jc w:val="left"/>
            </w:pPr>
            <w:r>
              <w:t xml:space="preserve">Modeling </w:t>
            </w:r>
            <m:oMath>
              <m:r>
                <w:rPr>
                  <w:rFonts w:ascii="Cambria Math" w:hAnsi="Cambria Math"/>
                </w:rPr>
                <m:t>G</m:t>
              </m:r>
            </m:oMath>
            <w:r>
              <w:t xml:space="preserve"> is sufficient when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is truly diagonal.</w:t>
            </w:r>
          </w:p>
        </w:tc>
      </w:tr>
      <w:tr w:rsidR="008E4EBD" w14:paraId="247E6577" w14:textId="77777777">
        <w:tc>
          <w:tcPr>
            <w:tcW w:w="1805" w:type="dxa"/>
            <w:tcBorders>
              <w:top w:val="nil"/>
              <w:left w:val="nil"/>
              <w:bottom w:val="nil"/>
              <w:right w:val="nil"/>
            </w:tcBorders>
          </w:tcPr>
          <w:p w14:paraId="247E6572" w14:textId="77777777" w:rsidR="008E4EBD" w:rsidRDefault="00483AC6">
            <w:pPr>
              <w:pStyle w:val="Compact"/>
              <w:jc w:val="left"/>
            </w:pPr>
            <w:r>
              <w:t>Direct estimate available; sampling errors autocorrelated (rotating panel, overlapping samples)</w:t>
            </w:r>
          </w:p>
        </w:tc>
        <w:tc>
          <w:tcPr>
            <w:tcW w:w="1805" w:type="dxa"/>
            <w:tcBorders>
              <w:top w:val="nil"/>
              <w:left w:val="nil"/>
              <w:bottom w:val="nil"/>
              <w:right w:val="nil"/>
            </w:tcBorders>
          </w:tcPr>
          <w:p w14:paraId="247E6573" w14:textId="77777777" w:rsidR="008E4EBD" w:rsidRDefault="00483AC6">
            <w:pPr>
              <w:pStyle w:val="Compact"/>
              <w:jc w:val="left"/>
            </w:pPr>
            <w:r>
              <w:t xml:space="preserve">Does not converge to the true BLUP; ignores off-diagonal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w:t>
            </w:r>
          </w:p>
        </w:tc>
        <w:tc>
          <w:tcPr>
            <w:tcW w:w="1805" w:type="dxa"/>
            <w:tcBorders>
              <w:top w:val="nil"/>
              <w:left w:val="nil"/>
              <w:bottom w:val="nil"/>
              <w:right w:val="nil"/>
            </w:tcBorders>
          </w:tcPr>
          <w:p w14:paraId="247E6574" w14:textId="77777777" w:rsidR="008E4EBD" w:rsidRDefault="00483AC6">
            <w:pPr>
              <w:pStyle w:val="Compact"/>
              <w:jc w:val="left"/>
            </w:pPr>
            <w:r>
              <w:t xml:space="preserve">Does not converge to the true BLUP; absorbs sampling-error correlation into </w:t>
            </w:r>
            <m:oMath>
              <m:acc>
                <m:accPr>
                  <m:ctrlPr>
                    <w:rPr>
                      <w:rFonts w:ascii="Cambria Math" w:hAnsi="Cambria Math"/>
                    </w:rPr>
                  </m:ctrlPr>
                </m:accPr>
                <m:e>
                  <m:r>
                    <w:rPr>
                      <w:rFonts w:ascii="Cambria Math" w:hAnsi="Cambria Math"/>
                    </w:rPr>
                    <m:t>G</m:t>
                  </m:r>
                </m:e>
              </m:acc>
            </m:oMath>
            <w:r>
              <w:t xml:space="preserve"> and can be </w:t>
            </w:r>
            <w:r>
              <w:rPr>
                <w:i/>
              </w:rPr>
              <w:t>worse</w:t>
            </w:r>
            <w:r>
              <w:t xml:space="preserve"> than UFH.</w:t>
            </w:r>
          </w:p>
        </w:tc>
        <w:tc>
          <w:tcPr>
            <w:tcW w:w="1805" w:type="dxa"/>
            <w:tcBorders>
              <w:top w:val="nil"/>
              <w:left w:val="nil"/>
              <w:bottom w:val="nil"/>
              <w:right w:val="nil"/>
            </w:tcBorders>
          </w:tcPr>
          <w:p w14:paraId="247E6575" w14:textId="77777777" w:rsidR="008E4EBD" w:rsidRDefault="00483AC6">
            <w:pPr>
              <w:pStyle w:val="Compact"/>
              <w:jc w:val="left"/>
            </w:pPr>
            <w:r>
              <w:t>Converges to true BLUP.</w:t>
            </w:r>
          </w:p>
        </w:tc>
        <w:tc>
          <w:tcPr>
            <w:tcW w:w="1806" w:type="dxa"/>
            <w:tcBorders>
              <w:top w:val="nil"/>
              <w:left w:val="nil"/>
              <w:bottom w:val="nil"/>
              <w:right w:val="nil"/>
            </w:tcBorders>
          </w:tcPr>
          <w:p w14:paraId="247E6576" w14:textId="77777777" w:rsidR="008E4EBD" w:rsidRDefault="00483AC6">
            <w:pPr>
              <w:pStyle w:val="Compact"/>
              <w:jc w:val="left"/>
            </w:pPr>
            <w:r>
              <w:t xml:space="preserve">MFH alone is not enough;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must include the design-induced covariance.</w:t>
            </w:r>
          </w:p>
        </w:tc>
      </w:tr>
      <w:tr w:rsidR="008E4EBD" w14:paraId="247E657D" w14:textId="77777777">
        <w:tc>
          <w:tcPr>
            <w:tcW w:w="1805" w:type="dxa"/>
            <w:tcBorders>
              <w:top w:val="nil"/>
              <w:left w:val="nil"/>
              <w:bottom w:val="nil"/>
              <w:right w:val="nil"/>
            </w:tcBorders>
          </w:tcPr>
          <w:p w14:paraId="247E6578" w14:textId="77777777" w:rsidR="008E4EBD" w:rsidRDefault="00483AC6">
            <w:pPr>
              <w:pStyle w:val="Compact"/>
              <w:jc w:val="left"/>
            </w:pPr>
            <w:r>
              <w:t>Area-year missing, same area observed in other years; area effects persistent</w:t>
            </w:r>
          </w:p>
        </w:tc>
        <w:tc>
          <w:tcPr>
            <w:tcW w:w="1805" w:type="dxa"/>
            <w:tcBorders>
              <w:top w:val="nil"/>
              <w:left w:val="nil"/>
              <w:bottom w:val="nil"/>
              <w:right w:val="nil"/>
            </w:tcBorders>
          </w:tcPr>
          <w:p w14:paraId="247E6579" w14:textId="77777777" w:rsidR="008E4EBD" w:rsidRDefault="00483AC6">
            <w:pPr>
              <w:pStyle w:val="Compact"/>
              <w:jc w:val="left"/>
            </w:pPr>
            <w:r>
              <w:t xml:space="preserve">Synthetic only: </w:t>
            </w:r>
            <m:oMath>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oMath>
            <w:r>
              <w:t>.</w:t>
            </w:r>
          </w:p>
        </w:tc>
        <w:tc>
          <w:tcPr>
            <w:tcW w:w="1805" w:type="dxa"/>
            <w:tcBorders>
              <w:top w:val="nil"/>
              <w:left w:val="nil"/>
              <w:bottom w:val="nil"/>
              <w:right w:val="nil"/>
            </w:tcBorders>
          </w:tcPr>
          <w:p w14:paraId="247E657A" w14:textId="77777777" w:rsidR="008E4EBD" w:rsidRDefault="00483AC6">
            <w:pPr>
              <w:pStyle w:val="Compact"/>
              <w:jc w:val="left"/>
            </w:pPr>
            <w:r>
              <w:t>Conditional prediction with distorted weights (</w:t>
            </w:r>
            <m:oMath>
              <m:sSub>
                <m:sSubPr>
                  <m:ctrlPr>
                    <w:rPr>
                      <w:rFonts w:ascii="Cambria Math" w:hAnsi="Cambria Math"/>
                    </w:rPr>
                  </m:ctrlPr>
                </m:sSubPr>
                <m:e>
                  <m:r>
                    <w:rPr>
                      <w:rFonts w:ascii="Cambria Math" w:hAnsi="Cambria Math"/>
                    </w:rPr>
                    <m:t>V</m:t>
                  </m:r>
                </m:e>
                <m:sub>
                  <m:r>
                    <w:rPr>
                      <w:rFonts w:ascii="Cambria Math" w:hAnsi="Cambria Math"/>
                    </w:rPr>
                    <m:t>i</m:t>
                  </m:r>
                  <m:r>
                    <w:rPr>
                      <w:rFonts w:ascii="Cambria Math" w:hAnsi="Cambria Math"/>
                    </w:rPr>
                    <m:t>,</m:t>
                  </m:r>
                  <m:r>
                    <w:rPr>
                      <w:rFonts w:ascii="Cambria Math" w:hAnsi="Cambria Math"/>
                    </w:rPr>
                    <m:t>oo</m:t>
                  </m:r>
                </m:sub>
              </m:sSub>
            </m:oMath>
            <w:r>
              <w:t xml:space="preserve"> misspecified); gains partly or fully forfeited.</w:t>
            </w:r>
          </w:p>
        </w:tc>
        <w:tc>
          <w:tcPr>
            <w:tcW w:w="1805" w:type="dxa"/>
            <w:tcBorders>
              <w:top w:val="nil"/>
              <w:left w:val="nil"/>
              <w:bottom w:val="nil"/>
              <w:right w:val="nil"/>
            </w:tcBorders>
          </w:tcPr>
          <w:p w14:paraId="247E657B" w14:textId="77777777" w:rsidR="008E4EBD" w:rsidRDefault="00483AC6">
            <w:pPr>
              <w:pStyle w:val="Compact"/>
              <w:jc w:val="left"/>
            </w:pPr>
            <w:r>
              <w:t>Conditional MFH prediction approaches oracle BLUP.</w:t>
            </w:r>
          </w:p>
        </w:tc>
        <w:tc>
          <w:tcPr>
            <w:tcW w:w="1806" w:type="dxa"/>
            <w:tcBorders>
              <w:top w:val="nil"/>
              <w:left w:val="nil"/>
              <w:bottom w:val="nil"/>
              <w:right w:val="nil"/>
            </w:tcBorders>
          </w:tcPr>
          <w:p w14:paraId="247E657C" w14:textId="77777777" w:rsidR="008E4EBD" w:rsidRDefault="00483AC6">
            <w:pPr>
              <w:pStyle w:val="Compact"/>
              <w:jc w:val="left"/>
            </w:pPr>
            <w:r>
              <w:t xml:space="preserve">Borrowing over time requires both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to be right.</w:t>
            </w:r>
          </w:p>
        </w:tc>
      </w:tr>
      <w:tr w:rsidR="008E4EBD" w14:paraId="247E6583" w14:textId="77777777">
        <w:tc>
          <w:tcPr>
            <w:tcW w:w="1805" w:type="dxa"/>
            <w:tcBorders>
              <w:top w:val="nil"/>
              <w:left w:val="nil"/>
              <w:bottom w:val="nil"/>
              <w:right w:val="nil"/>
            </w:tcBorders>
          </w:tcPr>
          <w:p w14:paraId="247E657E" w14:textId="77777777" w:rsidR="008E4EBD" w:rsidRDefault="00483AC6">
            <w:pPr>
              <w:pStyle w:val="Compact"/>
              <w:jc w:val="left"/>
            </w:pPr>
            <w:r>
              <w:t>Area-year missing; area effects independent over time</w:t>
            </w:r>
          </w:p>
        </w:tc>
        <w:tc>
          <w:tcPr>
            <w:tcW w:w="1805" w:type="dxa"/>
            <w:tcBorders>
              <w:top w:val="nil"/>
              <w:left w:val="nil"/>
              <w:bottom w:val="nil"/>
              <w:right w:val="nil"/>
            </w:tcBorders>
          </w:tcPr>
          <w:p w14:paraId="247E657F" w14:textId="77777777" w:rsidR="008E4EBD" w:rsidRDefault="00483AC6">
            <w:pPr>
              <w:pStyle w:val="Compact"/>
              <w:jc w:val="left"/>
            </w:pPr>
            <w:r>
              <w:t>Synthetic only.</w:t>
            </w:r>
          </w:p>
        </w:tc>
        <w:tc>
          <w:tcPr>
            <w:tcW w:w="1805" w:type="dxa"/>
            <w:tcBorders>
              <w:top w:val="nil"/>
              <w:left w:val="nil"/>
              <w:bottom w:val="nil"/>
              <w:right w:val="nil"/>
            </w:tcBorders>
          </w:tcPr>
          <w:p w14:paraId="247E6580" w14:textId="77777777" w:rsidR="008E4EBD" w:rsidRDefault="00483AC6">
            <w:pPr>
              <w:pStyle w:val="Compact"/>
              <w:jc w:val="left"/>
            </w:pPr>
            <w:r>
              <w:t xml:space="preserve">Spurious borrowing if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&gt;0</m:t>
              </m:r>
            </m:oMath>
            <w:r>
              <w:t>; worse than synthetic.</w:t>
            </w:r>
          </w:p>
        </w:tc>
        <w:tc>
          <w:tcPr>
            <w:tcW w:w="1805" w:type="dxa"/>
            <w:tcBorders>
              <w:top w:val="nil"/>
              <w:left w:val="nil"/>
              <w:bottom w:val="nil"/>
              <w:right w:val="nil"/>
            </w:tcBorders>
          </w:tcPr>
          <w:p w14:paraId="247E6581" w14:textId="77777777" w:rsidR="008E4EBD" w:rsidRDefault="00483AC6">
            <w:pPr>
              <w:pStyle w:val="Compact"/>
              <w:jc w:val="left"/>
            </w:pPr>
            <w:r>
              <w:t>Synthetic in the limit (correctly learns there is nothing to borrow).</w:t>
            </w:r>
          </w:p>
        </w:tc>
        <w:tc>
          <w:tcPr>
            <w:tcW w:w="1806" w:type="dxa"/>
            <w:tcBorders>
              <w:top w:val="nil"/>
              <w:left w:val="nil"/>
              <w:bottom w:val="nil"/>
              <w:right w:val="nil"/>
            </w:tcBorders>
          </w:tcPr>
          <w:p w14:paraId="247E6582" w14:textId="77777777" w:rsidR="008E4EBD" w:rsidRDefault="00483AC6">
            <w:pPr>
              <w:pStyle w:val="Compact"/>
              <w:jc w:val="left"/>
            </w:pPr>
            <w:r>
              <w:t>Sampling-error correlation alone carries no information about a missing target.</w:t>
            </w:r>
          </w:p>
        </w:tc>
      </w:tr>
      <w:tr w:rsidR="008E4EBD" w14:paraId="247E6589" w14:textId="77777777">
        <w:tc>
          <w:tcPr>
            <w:tcW w:w="1805" w:type="dxa"/>
            <w:tcBorders>
              <w:top w:val="nil"/>
              <w:left w:val="nil"/>
              <w:bottom w:val="nil"/>
              <w:right w:val="nil"/>
            </w:tcBorders>
          </w:tcPr>
          <w:p w14:paraId="247E6584" w14:textId="77777777" w:rsidR="008E4EBD" w:rsidRDefault="00483AC6">
            <w:pPr>
              <w:pStyle w:val="Compact"/>
              <w:jc w:val="left"/>
            </w:pPr>
            <w:r>
              <w:t xml:space="preserve">Area has no direct estimates </w:t>
            </w:r>
            <w:r>
              <w:lastRenderedPageBreak/>
              <w:t>in any year; no spatial links</w:t>
            </w:r>
          </w:p>
        </w:tc>
        <w:tc>
          <w:tcPr>
            <w:tcW w:w="1805" w:type="dxa"/>
            <w:tcBorders>
              <w:top w:val="nil"/>
              <w:left w:val="nil"/>
              <w:bottom w:val="nil"/>
              <w:right w:val="nil"/>
            </w:tcBorders>
          </w:tcPr>
          <w:p w14:paraId="247E6585" w14:textId="77777777" w:rsidR="008E4EBD" w:rsidRDefault="00483AC6">
            <w:pPr>
              <w:pStyle w:val="Compact"/>
              <w:jc w:val="left"/>
            </w:pPr>
            <w:r>
              <w:lastRenderedPageBreak/>
              <w:t>Synthetic only.</w:t>
            </w:r>
          </w:p>
        </w:tc>
        <w:tc>
          <w:tcPr>
            <w:tcW w:w="1805" w:type="dxa"/>
            <w:tcBorders>
              <w:top w:val="nil"/>
              <w:left w:val="nil"/>
              <w:bottom w:val="nil"/>
              <w:right w:val="nil"/>
            </w:tcBorders>
          </w:tcPr>
          <w:p w14:paraId="247E6586" w14:textId="77777777" w:rsidR="008E4EBD" w:rsidRDefault="00483AC6">
            <w:pPr>
              <w:pStyle w:val="Compact"/>
              <w:jc w:val="left"/>
            </w:pPr>
            <w:r>
              <w:t>Synthetic only.</w:t>
            </w:r>
          </w:p>
        </w:tc>
        <w:tc>
          <w:tcPr>
            <w:tcW w:w="1805" w:type="dxa"/>
            <w:tcBorders>
              <w:top w:val="nil"/>
              <w:left w:val="nil"/>
              <w:bottom w:val="nil"/>
              <w:right w:val="nil"/>
            </w:tcBorders>
          </w:tcPr>
          <w:p w14:paraId="247E6587" w14:textId="77777777" w:rsidR="008E4EBD" w:rsidRDefault="00483AC6">
            <w:pPr>
              <w:pStyle w:val="Compact"/>
              <w:jc w:val="left"/>
            </w:pPr>
            <w:r>
              <w:t>Synthetic only.</w:t>
            </w:r>
          </w:p>
        </w:tc>
        <w:tc>
          <w:tcPr>
            <w:tcW w:w="1806" w:type="dxa"/>
            <w:tcBorders>
              <w:top w:val="nil"/>
              <w:left w:val="nil"/>
              <w:bottom w:val="nil"/>
              <w:right w:val="nil"/>
            </w:tcBorders>
          </w:tcPr>
          <w:p w14:paraId="247E6588" w14:textId="77777777" w:rsidR="008E4EBD" w:rsidRDefault="00483AC6">
            <w:pPr>
              <w:pStyle w:val="Compact"/>
              <w:jc w:val="left"/>
            </w:pPr>
            <w:r>
              <w:t xml:space="preserve">No area-specific information is </w:t>
            </w:r>
            <w:r>
              <w:lastRenderedPageBreak/>
              <w:t>available.</w:t>
            </w:r>
          </w:p>
        </w:tc>
      </w:tr>
      <w:tr w:rsidR="008E4EBD" w14:paraId="247E658F" w14:textId="77777777">
        <w:tc>
          <w:tcPr>
            <w:tcW w:w="1805" w:type="dxa"/>
            <w:tcBorders>
              <w:top w:val="nil"/>
              <w:left w:val="nil"/>
              <w:bottom w:val="single" w:sz="12" w:space="0" w:color="auto"/>
              <w:right w:val="nil"/>
            </w:tcBorders>
          </w:tcPr>
          <w:p w14:paraId="247E658A" w14:textId="77777777" w:rsidR="008E4EBD" w:rsidRDefault="00483AC6">
            <w:pPr>
              <w:pStyle w:val="Compact"/>
              <w:jc w:val="left"/>
            </w:pPr>
            <w:r>
              <w:lastRenderedPageBreak/>
              <w:t>Area has no direct estimates but spatial links are modeled</w:t>
            </w:r>
          </w:p>
        </w:tc>
        <w:tc>
          <w:tcPr>
            <w:tcW w:w="1805" w:type="dxa"/>
            <w:tcBorders>
              <w:top w:val="nil"/>
              <w:left w:val="nil"/>
              <w:bottom w:val="single" w:sz="12" w:space="0" w:color="auto"/>
              <w:right w:val="nil"/>
            </w:tcBorders>
          </w:tcPr>
          <w:p w14:paraId="247E658B" w14:textId="77777777" w:rsidR="008E4EBD" w:rsidRDefault="00483AC6">
            <w:pPr>
              <w:pStyle w:val="Compact"/>
              <w:jc w:val="left"/>
            </w:pPr>
            <w:r>
              <w:t>Synthetic only.</w:t>
            </w:r>
          </w:p>
        </w:tc>
        <w:tc>
          <w:tcPr>
            <w:tcW w:w="1805" w:type="dxa"/>
            <w:tcBorders>
              <w:top w:val="nil"/>
              <w:left w:val="nil"/>
              <w:bottom w:val="single" w:sz="12" w:space="0" w:color="auto"/>
              <w:right w:val="nil"/>
            </w:tcBorders>
          </w:tcPr>
          <w:p w14:paraId="247E658C" w14:textId="77777777" w:rsidR="008E4EBD" w:rsidRDefault="00483AC6">
            <w:pPr>
              <w:pStyle w:val="Compact"/>
              <w:jc w:val="left"/>
            </w:pPr>
            <w:r>
              <w:t>Spatial BLUP-type prediction possible, subject to the same covariance caveats.</w:t>
            </w:r>
          </w:p>
        </w:tc>
        <w:tc>
          <w:tcPr>
            <w:tcW w:w="1805" w:type="dxa"/>
            <w:tcBorders>
              <w:top w:val="nil"/>
              <w:left w:val="nil"/>
              <w:bottom w:val="single" w:sz="12" w:space="0" w:color="auto"/>
              <w:right w:val="nil"/>
            </w:tcBorders>
          </w:tcPr>
          <w:p w14:paraId="247E658D" w14:textId="77777777" w:rsidR="008E4EBD" w:rsidRDefault="00483AC6">
            <w:pPr>
              <w:pStyle w:val="Compact"/>
              <w:jc w:val="left"/>
            </w:pPr>
            <w:r>
              <w:t>Spatial/spatio-temporal BLUP-type prediction may be possible.</w:t>
            </w:r>
          </w:p>
        </w:tc>
        <w:tc>
          <w:tcPr>
            <w:tcW w:w="1806" w:type="dxa"/>
            <w:tcBorders>
              <w:top w:val="nil"/>
              <w:left w:val="nil"/>
              <w:bottom w:val="single" w:sz="12" w:space="0" w:color="auto"/>
              <w:right w:val="nil"/>
            </w:tcBorders>
          </w:tcPr>
          <w:p w14:paraId="247E658E" w14:textId="77777777" w:rsidR="008E4EBD" w:rsidRDefault="00483AC6">
            <w:pPr>
              <w:pStyle w:val="Compact"/>
              <w:jc w:val="left"/>
            </w:pPr>
            <w:r>
              <w:t>Requires valid cross-area covariance.</w:t>
            </w:r>
          </w:p>
        </w:tc>
      </w:tr>
    </w:tbl>
    <w:p w14:paraId="247E6590" w14:textId="77777777" w:rsidR="008E4EBD" w:rsidRDefault="00483AC6">
      <w:pPr>
        <w:pStyle w:val="Heading1"/>
      </w:pPr>
      <w:bookmarkStart w:id="24" w:name="conclusion"/>
      <w:r>
        <w:t>13. Conclusion</w:t>
      </w:r>
      <w:bookmarkEnd w:id="24"/>
    </w:p>
    <w:p w14:paraId="247E6591" w14:textId="77777777" w:rsidR="008E4EBD" w:rsidRDefault="00483AC6">
      <w:pPr>
        <w:pStyle w:val="FirstParagraph"/>
      </w:pPr>
      <w:r>
        <w:t xml:space="preserve">FH-type estimators should be interpreted as predictors of realized area-specific quantities, not merely as estimators of conditional means. The synthetic component </w:t>
      </w:r>
      <m:oMath>
        <m:r>
          <w:rPr>
            <w:rFonts w:ascii="Cambria Math" w:hAnsi="Cambria Math"/>
          </w:rPr>
          <m:t>x</m:t>
        </m:r>
        <m:r>
          <w:rPr>
            <w:rFonts w:ascii="Cambria Math" w:hAnsi="Cambria Math"/>
          </w:rPr>
          <m:t>'</m:t>
        </m:r>
        <m:acc>
          <m:accPr>
            <m:ctrlPr>
              <w:rPr>
                <w:rFonts w:ascii="Cambria Math" w:hAnsi="Cambria Math"/>
              </w:rPr>
            </m:ctrlPr>
          </m:accPr>
          <m:e>
            <m:r>
              <w:rPr>
                <w:rFonts w:ascii="Cambria Math" w:hAnsi="Cambria Math"/>
              </w:rPr>
              <m:t>β</m:t>
            </m:r>
          </m:e>
        </m:acc>
      </m:oMath>
      <w:r>
        <w:t xml:space="preserve"> estimates the regression mean, but the BLUP of the area parameter </w:t>
      </w:r>
      <m:oMath>
        <m:r>
          <w:rPr>
            <w:rFonts w:ascii="Cambria Math" w:hAnsi="Cambria Math"/>
          </w:rPr>
          <m:t>x</m:t>
        </m:r>
        <m:r>
          <w:rPr>
            <w:rFonts w:ascii="Cambria Math" w:hAnsi="Cambria Math"/>
          </w:rPr>
          <m:t>'</m:t>
        </m:r>
        <m:r>
          <w:rPr>
            <w:rFonts w:ascii="Cambria Math" w:hAnsi="Cambria Math"/>
          </w:rPr>
          <m:t>β</m:t>
        </m:r>
        <m:r>
          <w:rPr>
            <w:rFonts w:ascii="Cambria Math" w:hAnsi="Cambria Math"/>
          </w:rPr>
          <m:t>+</m:t>
        </m:r>
        <m:r>
          <w:rPr>
            <w:rFonts w:ascii="Cambria Math" w:hAnsi="Cambria Math"/>
          </w:rPr>
          <m:t>u</m:t>
        </m:r>
      </m:oMath>
      <w:r>
        <w:t xml:space="preserve"> also requires a covariance-based prediction of the realized area effect. As a result, covariance specification is central to the definition of the BLUP: misspecifying it does not break prediction unbiasedness, but it changes the probability limit of the predictor—the EBLUP converges to the BLUP under the working covariance matrix, not to the BLUP under the true covariance matrix—and the resulting MSE deficit persists asymptotically.</w:t>
      </w:r>
    </w:p>
    <w:p w14:paraId="247E6592" w14:textId="4E7F7D92" w:rsidR="008E4EBD" w:rsidRDefault="00483AC6">
      <w:pPr>
        <w:pStyle w:val="BodyText"/>
      </w:pPr>
      <w:r>
        <w:t xml:space="preserve">The central message is therefore more precise than “UFH versus MFH.” The BLUP is defined by the full covariance structure of both the area effects and the sampling errors. UFH is a special working model that sets all cross-time and cross-area covariances to zero. MFH improves on UFH only </w:t>
      </w:r>
      <w:r w:rsidR="00E308C7">
        <w:t>insofar as</w:t>
      </w:r>
      <w:r>
        <w:t xml:space="preserve"> it includes the covariance components that are </w:t>
      </w:r>
      <w:proofErr w:type="gramStart"/>
      <w:r>
        <w:t>actually present</w:t>
      </w:r>
      <w:proofErr w:type="gramEnd"/>
      <w:r>
        <w:t xml:space="preserve">. Our simulations make the point concrete in both directions. When area effects are persistent and sampling errors </w:t>
      </w:r>
      <w:r w:rsidR="00E308C7">
        <w:t xml:space="preserve">are </w:t>
      </w:r>
      <w:r>
        <w:t>independent, MFH captures large gains that UFH structurally cannot. But when sampling errors are autocorrelated—the normal situation in rotating panels and repeated surveys with overlapping samples—an MFH model that estimates the area-effect covariance while assuming a diagonal sampling-error covariance does not conve</w:t>
      </w:r>
      <w:r>
        <w:t xml:space="preserve">rge to the true BLUP, absorbs the design-induced correlation into a spurious estimate of the area-effect persistence, and can be substantially </w:t>
      </w:r>
      <w:r>
        <w:rPr>
          <w:i/>
        </w:rPr>
        <w:t>less</w:t>
      </w:r>
      <w:r>
        <w:t xml:space="preserve"> accurate than UFH for observed area-years and worse than purely synthetic prediction for missing ones. Nor is the damage confined to efficiency: the point estimates themselves move—by half a standard deviation of the area effect for the typical area-year in the most autocorrelated scenarios—while remaining unbiased on average, so the distortion never shows up in</w:t>
      </w:r>
      <w:r>
        <w:t xml:space="preserve"> aggregate diagnostics, only in the area-by-area numbers that poverty maps exist to provide. Only the MFH estimator that uses the correct sampling-error covariance approaches the oracle BLUP. The asymmetry of the two covariance components is the practical key: the area-effect covariance must be modeled, but the sampling-error covariance is often known or estimable from the survey design, so supplying it is a matter of using information the producer already controls.</w:t>
      </w:r>
    </w:p>
    <w:p w14:paraId="247E6593" w14:textId="6F8A70A3" w:rsidR="008E4EBD" w:rsidRDefault="00483AC6">
      <w:pPr>
        <w:pStyle w:val="BodyText"/>
      </w:pPr>
      <w:r>
        <w:t xml:space="preserve">For production, assess temporal and spatial dependence and the uncertainty added by estimating a richer covariance model. Use design-supported sampling covariances rather than automatically imposing independence. Missing-area prediction can borrow observed years through the partitioned predictor only when the covariance structure is credible and the chosen implementation supports it. Distinguish observed-area, temporally borrowed and synthetic predictions in reporting. The gains in this paper’s simulation are conditional on its design and are not a universal guarantee that MFH improves on UFH.</w:t>
      </w:r>
    </w:p>
    <w:p w14:paraId="247E6594" w14:textId="77777777" w:rsidR="008E4EBD" w:rsidRDefault="00483AC6">
      <w:pPr>
        <w:pStyle w:val="Heading1"/>
      </w:pPr>
      <w:bookmarkStart w:id="25" w:name="references"/>
      <w:r>
        <w:t>References</w:t>
      </w:r>
      <w:bookmarkEnd w:id="25"/>
    </w:p>
    <w:p w14:paraId="247E6595" w14:textId="77777777" w:rsidR="008E4EBD" w:rsidRDefault="00483AC6">
      <w:pPr>
        <w:pStyle w:val="FirstParagraph"/>
      </w:pPr>
      <w:r>
        <w:t>Battese, G. E., R. M. Harter, and W. A. Fuller (1988): “An Error-Components Model for Prediction of County Crop Areas Using Survey and Satellite Data,” Journal of the American Statistical Association, 83, 28–36.</w:t>
      </w:r>
    </w:p>
    <w:p w14:paraId="247E6596" w14:textId="77777777" w:rsidR="008E4EBD" w:rsidRDefault="00483AC6">
      <w:pPr>
        <w:pStyle w:val="BodyText"/>
      </w:pPr>
      <w:r>
        <w:t>Benavent, R., and D. Morales (2016): “Multivariate Fay–Herriot Models for Small Area Estimation,” Computational Statistics and Data Analysis, 94, 372–390.</w:t>
      </w:r>
    </w:p>
    <w:p w14:paraId="247E6597" w14:textId="77777777" w:rsidR="008E4EBD" w:rsidRDefault="00483AC6">
      <w:pPr>
        <w:pStyle w:val="BodyText"/>
      </w:pPr>
      <w:r>
        <w:t>Datta, G. S., and P. Lahiri (2000): “A Unified Measure of Uncertainty of Estimated Best Linear Unbiased Predictors in Small Area Estimation Problems,” Statistica Sinica, 10, 613–627.</w:t>
      </w:r>
    </w:p>
    <w:p w14:paraId="247E6598" w14:textId="77777777" w:rsidR="008E4EBD" w:rsidRDefault="00483AC6">
      <w:pPr>
        <w:pStyle w:val="BodyText"/>
      </w:pPr>
      <w:r>
        <w:t>Datta, G. S., J. N. K. Rao, and D. D. Smith (2005): “On Measuring the Variability of Small Area Estimators Under a Basic Area Level Model,” Biometrika, 92, 183–196.</w:t>
      </w:r>
    </w:p>
    <w:p w14:paraId="247E6599" w14:textId="77777777" w:rsidR="008E4EBD" w:rsidRDefault="00483AC6">
      <w:pPr>
        <w:pStyle w:val="BodyText"/>
      </w:pPr>
      <w:r>
        <w:t>Elbers, C., J. O. Lanjouw, and P. Lanjouw (2003): “Micro-Level Estimation of Poverty and Inequality,” Econometrica, 71, 355–364.</w:t>
      </w:r>
    </w:p>
    <w:p w14:paraId="247E659A" w14:textId="77777777" w:rsidR="008E4EBD" w:rsidRDefault="00483AC6">
      <w:pPr>
        <w:pStyle w:val="BodyText"/>
      </w:pPr>
      <w:r>
        <w:t>Esteban, M. D., D. Morales, A. Pérez, and L. Santamaría (2012): “Small Area Estimation of Poverty Proportions Under Area-Level Time Models,” Computational Statistics and Data Analysis, 56, 2840–2855.</w:t>
      </w:r>
    </w:p>
    <w:p w14:paraId="247E659B" w14:textId="77777777" w:rsidR="008E4EBD" w:rsidRDefault="00483AC6">
      <w:pPr>
        <w:pStyle w:val="BodyText"/>
      </w:pPr>
      <w:r>
        <w:t>Fay, R. E., and R. A. Herriot (1979): “Estimates of Income for Small Places: An Application of James–Stein Procedures to Census Data,” Journal of the American Statistical Association, 74, 269–277.</w:t>
      </w:r>
    </w:p>
    <w:p w14:paraId="247E659C" w14:textId="77777777" w:rsidR="008E4EBD" w:rsidRDefault="00483AC6">
      <w:pPr>
        <w:pStyle w:val="BodyText"/>
      </w:pPr>
      <w:r>
        <w:t>Ghosh, M., and J. N. K. Rao (1994): “Small Area Estimation: An Appraisal,” Statistical Science, 9, 55–76.</w:t>
      </w:r>
    </w:p>
    <w:p w14:paraId="247E659D" w14:textId="77777777" w:rsidR="008E4EBD" w:rsidRDefault="00483AC6">
      <w:pPr>
        <w:pStyle w:val="BodyText"/>
      </w:pPr>
      <w:r>
        <w:t>González-Manteiga, W., M. J. Lombardía, I. Molina, D. Morales, and L. Santamaría (2008): “Analytic and Bootstrap Approximations of Prediction Errors Under a Multivariate Fay–Herriot Model,” Computational Statistics and Data Analysis, 52, 5242–5252.</w:t>
      </w:r>
    </w:p>
    <w:p w14:paraId="247E659E" w14:textId="77777777" w:rsidR="008E4EBD" w:rsidRDefault="00483AC6">
      <w:pPr>
        <w:pStyle w:val="BodyText"/>
      </w:pPr>
      <w:r>
        <w:t>Henderson, C. R. (1975): “Best Linear Unbiased Estimation and Prediction Under a Selection Model,” Biometrics, 31, 423–447.</w:t>
      </w:r>
    </w:p>
    <w:p w14:paraId="247E659F" w14:textId="77777777" w:rsidR="008E4EBD" w:rsidRDefault="00483AC6">
      <w:pPr>
        <w:pStyle w:val="BodyText"/>
      </w:pPr>
      <w:r>
        <w:t>Jiang, J., and P. Lahiri (2006): “Mixed Model Prediction and Small Area Estimation,” TEST, 15, 1–96.</w:t>
      </w:r>
    </w:p>
    <w:p w14:paraId="247E65A0" w14:textId="77777777" w:rsidR="008E4EBD" w:rsidRDefault="00483AC6">
      <w:pPr>
        <w:pStyle w:val="BodyText"/>
      </w:pPr>
      <w:r>
        <w:lastRenderedPageBreak/>
        <w:t>Kackar, R. N., and D. A. Harville (1984): “Approximations for Standard Errors of Estimators of Fixed and Random Effects in Mixed Linear Models,” Journal of the American Statistical Association, 79, 853–862.</w:t>
      </w:r>
    </w:p>
    <w:p w14:paraId="247E65A1" w14:textId="77777777" w:rsidR="008E4EBD" w:rsidRDefault="00483AC6">
      <w:pPr>
        <w:pStyle w:val="BodyText"/>
      </w:pPr>
      <w:r>
        <w:t>Marhuenda, Y., I. Molina, and D. Morales (2013): “Small Area Estimation with Spatio-Temporal Fay–Herriot Models,” Computational Statistics and Data Analysis, 58, 308–325.</w:t>
      </w:r>
    </w:p>
    <w:p w14:paraId="247E65A2" w14:textId="77777777" w:rsidR="008E4EBD" w:rsidRDefault="00483AC6">
      <w:pPr>
        <w:pStyle w:val="BodyText"/>
      </w:pPr>
      <w:r>
        <w:t>Molina, I., and J. N. K. Rao (2010): “Small Area Estimation of Poverty Indicators,” Canadian Journal of Statistics, 38, 369–385.</w:t>
      </w:r>
    </w:p>
    <w:p w14:paraId="247E65A3" w14:textId="77777777" w:rsidR="008E4EBD" w:rsidRDefault="00483AC6">
      <w:pPr>
        <w:pStyle w:val="BodyText"/>
      </w:pPr>
      <w:r>
        <w:t>Pfeffermann, D. (2013): “New Important Developments in Small Area Estimation,” Statistical Science, 28, 40–68.</w:t>
      </w:r>
    </w:p>
    <w:p w14:paraId="247E65A4" w14:textId="77777777" w:rsidR="008E4EBD" w:rsidRDefault="00483AC6">
      <w:pPr>
        <w:pStyle w:val="BodyText"/>
      </w:pPr>
      <w:r>
        <w:t>Prasad, N. G. N., and J. N. K. Rao (1990): “The Estimation of the Mean Squared Error of Small-Area Estimators,” Journal of the American Statistical Association, 85, 163–171.</w:t>
      </w:r>
    </w:p>
    <w:p w14:paraId="247E65A5" w14:textId="77777777" w:rsidR="008E4EBD" w:rsidRDefault="00483AC6">
      <w:pPr>
        <w:pStyle w:val="BodyText"/>
      </w:pPr>
      <w:r>
        <w:t>Pratesi, M., and N. Salvati (2008): “Small Area Estimation: The EBLUP Estimator Based on Spatially Correlated Random Area Effects,” Statistical Methods and Applications, 17, 113–141.</w:t>
      </w:r>
    </w:p>
    <w:p w14:paraId="247E65A6" w14:textId="77777777" w:rsidR="008E4EBD" w:rsidRDefault="00483AC6">
      <w:pPr>
        <w:pStyle w:val="BodyText"/>
      </w:pPr>
      <w:r>
        <w:t>Rao, J. N. K., and I. Molina (2015): Small Area Estimation, Second Edition. Hoboken, NJ: John Wiley and Sons.</w:t>
      </w:r>
    </w:p>
    <w:p w14:paraId="247E65A7" w14:textId="77777777" w:rsidR="008E4EBD" w:rsidRDefault="00483AC6">
      <w:pPr>
        <w:pStyle w:val="BodyText"/>
      </w:pPr>
      <w:r>
        <w:t>Rao, J. N. K., and M. Yu (1994): “Small Area Estimation by Combining Time Series and Cross-Sectional Data,” Canadian Journal of Statistics, 22, 511–528.</w:t>
      </w:r>
    </w:p>
    <w:p w14:paraId="247E65A8" w14:textId="77777777" w:rsidR="008E4EBD" w:rsidRDefault="00483AC6">
      <w:pPr>
        <w:pStyle w:val="BodyText"/>
      </w:pPr>
      <w:r>
        <w:t>Robinson, G. K. (1991): “That BLUP Is a Good Thing: The Estimation of Random Effects,” Statistical Science, 6, 15–32.</w:t>
      </w:r>
    </w:p>
    <w:p w14:paraId="247E65A9" w14:textId="77777777" w:rsidR="008E4EBD" w:rsidRDefault="00483AC6">
      <w:pPr>
        <w:pStyle w:val="BodyText"/>
      </w:pPr>
      <w:r>
        <w:t>Ybarra, L. M. R., and S. L. Lohr (2008): “Small Area Estimation When Auxiliary Information Is Measured with Error,” Biometrika, 95, 919–931.</w:t>
      </w:r>
    </w:p>
    <w:p w14:paraId="4C86BAA3" w14:textId="77777777" w:rsidR="00B3142B" w:rsidRDefault="00B3142B">
      <w:pPr>
        <w:spacing w:after="200" w:line="240" w:lineRule="auto"/>
        <w:jc w:val="left"/>
        <w:rPr>
          <w:b/>
          <w:bCs/>
          <w:color w:val="000000"/>
          <w:sz w:val="24"/>
          <w:szCs w:val="24"/>
        </w:rPr>
      </w:pPr>
      <w:bookmarkStart w:id="26" w:name="annex-a.-monte-carlo-simulation-details"/>
      <w:r>
        <w:br w:type="page"/>
      </w:r>
    </w:p>
    <w:p w14:paraId="247E65AA" w14:textId="6B12D51D" w:rsidR="008E4EBD" w:rsidRDefault="00483AC6">
      <w:pPr>
        <w:pStyle w:val="Heading1"/>
      </w:pPr>
      <w:r>
        <w:lastRenderedPageBreak/>
        <w:t>Annex A. Monte Carlo Simulation Details</w:t>
      </w:r>
      <w:bookmarkEnd w:id="26"/>
    </w:p>
    <w:p w14:paraId="247E65AB" w14:textId="77777777" w:rsidR="008E4EBD" w:rsidRDefault="00483AC6">
      <w:pPr>
        <w:pStyle w:val="FirstParagraph"/>
      </w:pPr>
      <w:r>
        <w:t>This annex documents the design, estimators, and computational implementation of the Monte Carlo experiment reported in Section 11, and presents the full results with Monte Carlo standard errors and theoretical benchmarks. The replication script run_fh_covariance_monte_carlo.R accompanies this revised note and implements the same experiment in base R, with command-line options for the number of replications, selected scenarios, seeds, output directory, and parallel execution over scenarios. The earlier Pyth</w:t>
      </w:r>
      <w:r>
        <w:t>on prototype, montecarlo_ufh_mfh_rev.py, produces the same design logic with NumPy and SciPy but is no longer the only referenced replication path.</w:t>
      </w:r>
    </w:p>
    <w:p w14:paraId="247E65AC" w14:textId="77777777" w:rsidR="008E4EBD" w:rsidRDefault="00483AC6">
      <w:pPr>
        <w:pStyle w:val="Heading2"/>
      </w:pPr>
      <w:bookmarkStart w:id="27" w:name="a.1.-data-generating-process"/>
      <w:r>
        <w:t>A.1. Data-generating process</w:t>
      </w:r>
      <w:bookmarkEnd w:id="27"/>
    </w:p>
    <w:p w14:paraId="247E65AD" w14:textId="77777777" w:rsidR="008E4EBD" w:rsidRDefault="00483AC6">
      <w:pPr>
        <w:pStyle w:val="FirstParagraph"/>
      </w:pPr>
      <w:r>
        <w:t>Direct estimates are generated from the multivariate area-level model</w:t>
      </w:r>
    </w:p>
    <w:p w14:paraId="247E65AE"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(0,</m:t>
          </m:r>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m:oMathPara>
    </w:p>
    <w:p w14:paraId="247E65AF" w14:textId="77777777" w:rsidR="008E4EBD" w:rsidRDefault="00483AC6">
      <w:pPr>
        <w:pStyle w:val="BodyText"/>
      </w:pPr>
      <w:r>
        <w:t xml:space="preserve">with </w:t>
      </w:r>
      <m:oMath>
        <m:r>
          <w:rPr>
            <w:rFonts w:ascii="Cambria Math" w:hAnsi="Cambria Math"/>
          </w:rPr>
          <m:t>m</m:t>
        </m:r>
        <m:r>
          <w:rPr>
            <w:rFonts w:ascii="Cambria Math" w:hAnsi="Cambria Math"/>
          </w:rPr>
          <m:t>=100</m:t>
        </m:r>
      </m:oMath>
      <w:r>
        <w:t xml:space="preserve"> areas and </w:t>
      </w:r>
      <m:oMath>
        <m:r>
          <w:rPr>
            <w:rFonts w:ascii="Cambria Math" w:hAnsi="Cambria Math"/>
          </w:rPr>
          <m:t>T</m:t>
        </m:r>
        <m:r>
          <w:rPr>
            <w:rFonts w:ascii="Cambria Math" w:hAnsi="Cambria Math"/>
          </w:rPr>
          <m:t>=3</m:t>
        </m:r>
      </m:oMath>
      <w:r>
        <w:t xml:space="preserve"> periods. The fixed quantities are drawn once—from a generator initialized with the same seed—and held constant across all replications and scenarios: the auxiliary variable </w:t>
      </w:r>
      <m:oMath>
        <m:sSub>
          <m:sSubPr>
            <m:ctrlPr>
              <w:rPr>
                <w:rFonts w:ascii="Cambria Math" w:hAnsi="Cambria Math"/>
              </w:rPr>
            </m:ctrlPr>
          </m:sSubPr>
          <m:e>
            <m:r>
              <w:rPr>
                <w:rFonts w:ascii="Cambria Math" w:hAnsi="Cambria Math"/>
              </w:rPr>
              <m:t>z</m:t>
            </m:r>
          </m:e>
          <m:sub>
            <m:r>
              <m:rPr>
                <m:nor/>
              </m:rPr>
              <m:t>it</m:t>
            </m:r>
          </m:sub>
        </m:sSub>
      </m:oMath>
      <w:r>
        <w:t xml:space="preserve"> is drawn from the uniform distribution on </w:t>
      </w:r>
      <m:oMath>
        <m:r>
          <w:rPr>
            <w:rFonts w:ascii="Cambria Math" w:hAnsi="Cambria Math"/>
          </w:rPr>
          <m:t>(0,1)</m:t>
        </m:r>
      </m:oMath>
      <w:r>
        <w:t xml:space="preserve">, and the marginal sampling variances </w:t>
      </w:r>
      <m:oMath>
        <m:sSub>
          <m:sSubPr>
            <m:ctrlPr>
              <w:rPr>
                <w:rFonts w:ascii="Cambria Math" w:hAnsi="Cambria Math"/>
              </w:rPr>
            </m:ctrlPr>
          </m:sSubPr>
          <m:e>
            <m:r>
              <w:rPr>
                <w:rFonts w:ascii="Cambria Math" w:hAnsi="Cambria Math"/>
              </w:rPr>
              <m:t>D</m:t>
            </m:r>
          </m:e>
          <m:sub>
            <m:r>
              <m:rPr>
                <m:nor/>
              </m:rPr>
              <m:t>it</m:t>
            </m:r>
          </m:sub>
        </m:sSub>
      </m:oMath>
      <w:r>
        <w:t xml:space="preserve"> are drawn from the uniform distribution on </w:t>
      </w:r>
      <m:oMath>
        <m:r>
          <w:rPr>
            <w:rFonts w:ascii="Cambria Math" w:hAnsi="Cambria Math"/>
          </w:rPr>
          <m:t>(0.5,1.5)</m:t>
        </m:r>
      </m:oMath>
      <w:r>
        <w:t xml:space="preserve">. The coefficients are </w:t>
      </w:r>
      <m:oMath>
        <m:r>
          <w:rPr>
            <w:rFonts w:ascii="Cambria Math" w:hAnsi="Cambria Math"/>
          </w:rPr>
          <m:t>β</m:t>
        </m:r>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)'=(1,2)'</m:t>
        </m:r>
      </m:oMath>
      <w:r>
        <w:t>.</w:t>
      </w:r>
    </w:p>
    <w:p w14:paraId="247E65B0" w14:textId="77777777" w:rsidR="008E4EBD" w:rsidRDefault="00483AC6">
      <w:pPr>
        <w:pStyle w:val="BodyText"/>
      </w:pPr>
      <w:r>
        <w:t xml:space="preserve">The stochastic components are redrawn in every replication. The area-effect vectors </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r>
              <w:rPr>
                <w:rFonts w:ascii="Cambria Math" w:hAnsi="Cambria Math"/>
              </w:rPr>
              <m:t>3</m:t>
            </m:r>
          </m:sub>
        </m:sSub>
        <m:r>
          <w:rPr>
            <w:rFonts w:ascii="Cambria Math" w:hAnsi="Cambria Math"/>
          </w:rPr>
          <m:t>)'</m:t>
        </m:r>
      </m:oMath>
      <w:r>
        <w:t xml:space="preserve"> are independent across areas and drawn from </w:t>
      </w:r>
      <m:oMath>
        <m:r>
          <w:rPr>
            <w:rFonts w:ascii="Cambria Math" w:hAnsi="Cambria Math"/>
          </w:rPr>
          <m:t>N</m:t>
        </m:r>
        <m:r>
          <w:rPr>
            <w:rFonts w:ascii="Cambria Math" w:hAnsi="Cambria Math"/>
          </w:rPr>
          <m:t>(0,</m:t>
        </m:r>
        <m:r>
          <w:rPr>
            <w:rFonts w:ascii="Cambria Math" w:hAnsi="Cambria Math"/>
          </w:rPr>
          <m:t>G</m:t>
        </m:r>
        <m:r>
          <w:rPr>
            <w:rFonts w:ascii="Cambria Math" w:hAnsi="Cambria Math"/>
          </w:rPr>
          <m:t>)</m:t>
        </m:r>
      </m:oMath>
      <w:r>
        <w:t xml:space="preserve"> with</w:t>
      </w:r>
    </w:p>
    <w:p w14:paraId="247E65B1" w14:textId="77777777" w:rsidR="008E4EBD" w:rsidRDefault="00483AC6">
      <w:pPr>
        <w:pStyle w:val="BodyText"/>
        <w:spacing w:before="0" w:after="160" w:line="240" w:lineRule="atLeast"/>
        <w:jc w:val="center"/>
      </w:pPr>
      <m:oMathPara>
        <m:oMathParaPr>
          <m:jc m:val="center"/>
        </m:oMathParaPr>
        <m:oMath>
          <m:r>
            <w:rPr>
              <w:rFonts w:ascii="Cambria Math" w:hAnsi="Cambria Math"/>
            </w:rPr>
            <m:t>G</m:t>
          </m:r>
          <m:r>
            <w:rPr>
              <w:rFonts w:ascii="Cambria Math" w:hAnsi="Cambria Math"/>
            </w:rPr>
            <m:t>=</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m:t>
              </m:r>
            </m:e>
            <m:sub>
              <m:r>
                <m:rPr>
                  <m:nor/>
                </m:rPr>
                <m:t>ts</m:t>
              </m:r>
            </m:sub>
          </m:sSub>
          <m: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u</m:t>
              </m:r>
            </m:sub>
            <m:sup>
              <m:r>
                <w:rPr>
                  <w:rFonts w:ascii="Cambria Math" w:hAnsi="Cambria Math"/>
                </w:rPr>
                <m:t>|</m:t>
              </m:r>
              <m:r>
                <w:rPr>
                  <w:rFonts w:ascii="Cambria Math" w:hAnsi="Cambria Math"/>
                </w:rPr>
                <m:t>t</m:t>
              </m:r>
              <m:r>
                <w:rPr>
                  <w:rFonts w:ascii="Cambria Math" w:hAnsi="Cambria Math"/>
                </w:rPr>
                <m:t>-</m:t>
              </m:r>
              <m:r>
                <w:rPr>
                  <w:rFonts w:ascii="Cambria Math" w:hAnsi="Cambria Math"/>
                </w:rPr>
                <m:t>s</m:t>
              </m:r>
              <m:r>
                <w:rPr>
                  <w:rFonts w:ascii="Cambria Math" w:hAnsi="Cambria Math"/>
                </w:rPr>
                <m:t>|</m:t>
              </m:r>
            </m:sup>
          </m:sSubSup>
          <m:r>
            <w:rPr>
              <w:rFonts w:ascii="Cambria Math" w:hAnsi="Cambria Math"/>
            </w:rPr>
            <m:t>,  </m:t>
          </m:r>
          <m:r>
            <w:rPr>
              <w:rFonts w:ascii="Cambria Math" w:hAnsi="Cambria Math"/>
            </w:rPr>
            <m:t>A</m:t>
          </m:r>
          <m:r>
            <w:rPr>
              <w:rFonts w:ascii="Cambria Math" w:hAnsi="Cambria Math"/>
            </w:rPr>
            <m:t>=1.</m:t>
          </m:r>
        </m:oMath>
      </m:oMathPara>
    </w:p>
    <w:p w14:paraId="247E65B2" w14:textId="77777777" w:rsidR="008E4EBD" w:rsidRDefault="00483AC6">
      <w:pPr>
        <w:pStyle w:val="BodyText"/>
      </w:pPr>
      <w:r>
        <w:t xml:space="preserve">The sampling-error vectors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r>
              <w:rPr>
                <w:rFonts w:ascii="Cambria Math" w:hAnsi="Cambria Math"/>
              </w:rPr>
              <m:t>3</m:t>
            </m:r>
          </m:sub>
        </m:sSub>
        <m:r>
          <w:rPr>
            <w:rFonts w:ascii="Cambria Math" w:hAnsi="Cambria Math"/>
          </w:rPr>
          <m:t>)'</m:t>
        </m:r>
      </m:oMath>
      <w:r>
        <w:t xml:space="preserve"> are independent across areas, independent of </w:t>
      </w:r>
      <m:oMath>
        <m:r>
          <w:rPr>
            <w:rFonts w:ascii="Cambria Math" w:hAnsi="Cambria Math"/>
          </w:rPr>
          <m:t>u</m:t>
        </m:r>
      </m:oMath>
      <w:r>
        <w:t xml:space="preserve">, and drawn from </w:t>
      </w:r>
      <m:oMath>
        <m:r>
          <w:rPr>
            <w:rFonts w:ascii="Cambria Math" w:hAnsi="Cambria Math"/>
          </w:rPr>
          <m:t>N</m:t>
        </m:r>
        <m:r>
          <w:rPr>
            <w:rFonts w:ascii="Cambria Math" w:hAnsi="Cambria Math"/>
          </w:rPr>
          <m:t>(0,</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oMath>
      <w:r>
        <w:t xml:space="preserve"> with</w:t>
      </w:r>
    </w:p>
    <w:p w14:paraId="247E65B3" w14:textId="77777777" w:rsidR="008E4EBD" w:rsidRDefault="00483AC6">
      <w:pPr>
        <w:pStyle w:val="BodyText"/>
        <w:spacing w:before="0" w:after="160" w:line="240" w:lineRule="atLeast"/>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1/2</m:t>
              </m:r>
            </m:sup>
          </m:sSubSup>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 </m:t>
          </m:r>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1/2</m:t>
              </m:r>
            </m:sup>
          </m:sSubSup>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m:t>
              </m:r>
            </m:e>
            <m:sub>
              <m:r>
                <m:rPr>
                  <m:nor/>
                </m:rPr>
                <m:t>ts</m:t>
              </m:r>
            </m:sub>
          </m:sSub>
          <m:r>
            <w:rPr>
              <w:rFonts w:ascii="Cambria Math" w:hAnsi="Cambria Math"/>
            </w:rPr>
            <m:t>=</m:t>
          </m:r>
          <m:sSubSup>
            <m:sSubSupPr>
              <m:ctrlPr>
                <w:rPr>
                  <w:rFonts w:ascii="Cambria Math" w:hAnsi="Cambria Math"/>
                </w:rPr>
              </m:ctrlPr>
            </m:sSubSupPr>
            <m:e>
              <m:r>
                <w:rPr>
                  <w:rFonts w:ascii="Cambria Math" w:hAnsi="Cambria Math"/>
                </w:rPr>
                <m:t>ρ</m:t>
              </m:r>
            </m:e>
            <m:sub>
              <m:r>
                <w:rPr>
                  <w:rFonts w:ascii="Cambria Math" w:hAnsi="Cambria Math"/>
                </w:rPr>
                <m:t>e</m:t>
              </m:r>
            </m:sub>
            <m:sup>
              <m:r>
                <w:rPr>
                  <w:rFonts w:ascii="Cambria Math" w:hAnsi="Cambria Math"/>
                </w:rPr>
                <m:t>|</m:t>
              </m:r>
              <m:r>
                <w:rPr>
                  <w:rFonts w:ascii="Cambria Math" w:hAnsi="Cambria Math"/>
                </w:rPr>
                <m:t>t</m:t>
              </m:r>
              <m:r>
                <w:rPr>
                  <w:rFonts w:ascii="Cambria Math" w:hAnsi="Cambria Math"/>
                </w:rPr>
                <m:t>-</m:t>
              </m:r>
              <m:r>
                <w:rPr>
                  <w:rFonts w:ascii="Cambria Math" w:hAnsi="Cambria Math"/>
                </w:rPr>
                <m:t>s</m:t>
              </m:r>
              <m:r>
                <w:rPr>
                  <w:rFonts w:ascii="Cambria Math" w:hAnsi="Cambria Math"/>
                </w:rPr>
                <m:t>|</m:t>
              </m:r>
            </m:sup>
          </m:sSubSup>
          <m:r>
            <w:rPr>
              <w:rFonts w:ascii="Cambria Math" w:hAnsi="Cambria Math"/>
            </w:rPr>
            <m:t>.</m:t>
          </m:r>
        </m:oMath>
      </m:oMathPara>
    </w:p>
    <w:p w14:paraId="247E65B4" w14:textId="77777777" w:rsidR="008E4EBD" w:rsidRDefault="00483AC6">
      <w:pPr>
        <w:pStyle w:val="BodyText"/>
      </w:pPr>
      <w:r>
        <w:t xml:space="preserve">Both vectors are generated by premultiplying standard normal vectors by the Cholesky factors of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respectively. The full matrix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including its off-diagonal elements, is treated as known to the correctly specified estimator, extending the Fay–Herriot convention of known sampling variances to known sampling covariances; this reflects the case in which the sampling-error covariance is available from the survey design. The scenario grid crosses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∈{0, 0.4, 0.8}</m:t>
        </m:r>
      </m:oMath>
      <w:r>
        <w:t xml:space="preserve"> with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∈{0, 0.4, 0.8}</m:t>
        </m:r>
      </m:oMath>
      <w:r>
        <w:t xml:space="preserve"> in the three groups described in Section 11.2 (nine scenarios in total). The target in every cell is the realized area parameter </w:t>
      </w:r>
      <m:oMath>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z</m:t>
            </m:r>
          </m:e>
          <m:sub>
            <m:r>
              <m:rPr>
                <m:nor/>
              </m:rPr>
              <m:t>it</m:t>
            </m:r>
          </m:sub>
        </m:sSub>
        <m:r>
          <w:rPr>
            <w:rFonts w:ascii="Cambria Math" w:hAnsi="Cambria Math"/>
          </w:rPr>
          <m:t>+</m:t>
        </m:r>
        <m:sSub>
          <m:sSubPr>
            <m:ctrlPr>
              <w:rPr>
                <w:rFonts w:ascii="Cambria Math" w:hAnsi="Cambria Math"/>
              </w:rPr>
            </m:ctrlPr>
          </m:sSubPr>
          <m:e>
            <m:r>
              <w:rPr>
                <w:rFonts w:ascii="Cambria Math" w:hAnsi="Cambria Math"/>
              </w:rPr>
              <m:t>u</m:t>
            </m:r>
          </m:e>
          <m:sub>
            <m:r>
              <m:rPr>
                <m:nor/>
              </m:rPr>
              <m:t>it</m:t>
            </m:r>
          </m:sub>
        </m:sSub>
      </m:oMath>
      <w:r>
        <w:t>.</w:t>
      </w:r>
    </w:p>
    <w:p w14:paraId="247E65B5" w14:textId="77777777" w:rsidR="008E4EBD" w:rsidRDefault="00483AC6">
      <w:pPr>
        <w:pStyle w:val="BodyText"/>
      </w:pPr>
      <w:r>
        <w:t xml:space="preserve">Missingness is imposed by deleting the final-period direct estimate </w:t>
      </w:r>
      <m:oMath>
        <m:sSub>
          <m:sSubPr>
            <m:ctrlPr>
              <w:rPr>
                <w:rFonts w:ascii="Cambria Math" w:hAnsi="Cambria Math"/>
              </w:rPr>
            </m:ctrlPr>
          </m:sSubPr>
          <m:e>
            <m:r>
              <w:rPr>
                <w:rFonts w:ascii="Cambria Math" w:hAnsi="Cambria Math"/>
              </w:rPr>
              <m:t>y</m:t>
            </m:r>
          </m:e>
          <m:sub>
            <m:r>
              <w:rPr>
                <w:rFonts w:ascii="Cambria Math" w:hAnsi="Cambria Math"/>
              </w:rPr>
              <m:t>i</m:t>
            </m:r>
            <m:r>
              <w:rPr>
                <w:rFonts w:ascii="Cambria Math" w:hAnsi="Cambria Math"/>
              </w:rPr>
              <m:t>3</m:t>
            </m:r>
          </m:sub>
        </m:sSub>
      </m:oMath>
      <w:r>
        <w:t xml:space="preserve"> for a simple random sample of 20 percent of areas (20 areas), redrawn in each replication. Each scenario comprises </w:t>
      </w:r>
      <m:oMath>
        <m:r>
          <w:rPr>
            <w:rFonts w:ascii="Cambria Math" w:hAnsi="Cambria Math"/>
          </w:rPr>
          <m:t>R</m:t>
        </m:r>
        <m:r>
          <w:rPr>
            <w:rFonts w:ascii="Cambria Math" w:hAnsi="Cambria Math"/>
          </w:rPr>
          <m:t>=500</m:t>
        </m:r>
      </m:oMath>
      <w:r>
        <w:t xml:space="preserve"> replications.</w:t>
      </w:r>
    </w:p>
    <w:p w14:paraId="247E65B6" w14:textId="77777777" w:rsidR="008E4EBD" w:rsidRDefault="00483AC6">
      <w:pPr>
        <w:pStyle w:val="Heading2"/>
      </w:pPr>
      <w:bookmarkStart w:id="28" w:name="a.2.-predictors-compared"/>
      <w:r>
        <w:t>A.2. Predictors compared</w:t>
      </w:r>
      <w:bookmarkEnd w:id="28"/>
    </w:p>
    <w:p w14:paraId="247E65B7" w14:textId="77777777" w:rsidR="008E4EBD" w:rsidRDefault="00483AC6">
      <w:pPr>
        <w:pStyle w:val="FirstParagraph"/>
      </w:pPr>
      <w:r>
        <w:t>Five predictors are computed in every replication.</w:t>
      </w:r>
    </w:p>
    <w:p w14:paraId="247E65B8" w14:textId="77777777" w:rsidR="008E4EBD" w:rsidRDefault="00483AC6">
      <w:pPr>
        <w:pStyle w:val="BodyText"/>
      </w:pPr>
      <w:r>
        <w:t xml:space="preserve">Synthetic predictor. θ_it^SYN = x_it'β_UFH, where x_it = (1, z_it)' and β_UFH is the GLS estimator from the pooled univariate fit described next. This is the only feasible quantity UFH can produce for </w:t>
      </w:r>
      <w:r>
        <w:lastRenderedPageBreak/>
        <w:t>missing area-years. It should be distinguished from the oracle synthetic component x_it'β, which uses the true β and appears only inside the infeasible oracle benchmark.</w:t>
      </w:r>
    </w:p>
    <w:p w14:paraId="247E65B9" w14:textId="77777777" w:rsidR="008E4EBD" w:rsidRDefault="00483AC6">
      <w:pPr>
        <w:pStyle w:val="BodyText"/>
      </w:pPr>
      <w:r>
        <w:rPr>
          <w:b/>
        </w:rPr>
        <w:t>UFH.</w:t>
      </w:r>
      <w:r>
        <w:t xml:space="preserve"> All observed area-years are pooled and treated as a univariate Fay–Herriot model with a common model variance </w:t>
      </w:r>
      <m:oMath>
        <m:r>
          <w:rPr>
            <w:rFonts w:ascii="Cambria Math" w:hAnsi="Cambria Math"/>
          </w:rPr>
          <m:t>A</m:t>
        </m:r>
      </m:oMath>
      <w:r>
        <w:t xml:space="preserve">, using only the marginal sampling variances </w:t>
      </w:r>
      <m:oMath>
        <m:sSub>
          <m:sSubPr>
            <m:ctrlPr>
              <w:rPr>
                <w:rFonts w:ascii="Cambria Math" w:hAnsi="Cambria Math"/>
              </w:rPr>
            </m:ctrlPr>
          </m:sSubPr>
          <m:e>
            <m:r>
              <w:rPr>
                <w:rFonts w:ascii="Cambria Math" w:hAnsi="Cambria Math"/>
              </w:rPr>
              <m:t>D</m:t>
            </m:r>
          </m:e>
          <m:sub>
            <m:r>
              <m:rPr>
                <m:nor/>
              </m:rPr>
              <m:t>it</m:t>
            </m:r>
          </m:sub>
        </m:sSub>
      </m:oMath>
      <w:r>
        <w:t xml:space="preserve"> and assuming no cross-year covariance of any kind. The variance is estimated by the Fay–Herriot iterative moment method: </w:t>
      </w:r>
      <m:oMath>
        <m:acc>
          <m:accPr>
            <m:ctrlPr>
              <w:rPr>
                <w:rFonts w:ascii="Cambria Math" w:hAnsi="Cambria Math"/>
              </w:rPr>
            </m:ctrlPr>
          </m:accPr>
          <m:e>
            <m:r>
              <w:rPr>
                <w:rFonts w:ascii="Cambria Math" w:hAnsi="Cambria Math"/>
              </w:rPr>
              <m:t>A</m:t>
            </m:r>
          </m:e>
        </m:acc>
      </m:oMath>
      <w:r>
        <w:t xml:space="preserve"> solves</w:t>
      </w:r>
    </w:p>
    <w:p w14:paraId="247E65BA" w14:textId="77777777" w:rsidR="008E4EBD" w:rsidRDefault="00483AC6">
      <w:pPr>
        <w:pStyle w:val="BodyText"/>
        <w:spacing w:before="0" w:after="160" w:line="240" w:lineRule="atLeast"/>
        <w:jc w:val="center"/>
      </w:pPr>
      <m:oMathPara>
        <m:oMathParaPr>
          <m:jc m:val="center"/>
        </m:oMathParaPr>
        <m:oMath>
          <m:nary>
            <m:naryPr>
              <m:chr m:val="∑"/>
              <m:limLoc m:val="undOvr"/>
              <m:supHide m:val="1"/>
              <m:ctrlPr>
                <w:rPr>
                  <w:rFonts w:ascii="Cambria Math" w:hAnsi="Cambria Math"/>
                </w:rPr>
              </m:ctrlPr>
            </m:naryPr>
            <m:sub>
              <m:r>
                <w:rPr>
                  <w:rFonts w:ascii="Cambria Math" w:hAnsi="Cambria Math"/>
                </w:rPr>
                <m:t>j</m:t>
              </m:r>
              <m:r>
                <w:rPr>
                  <w:rFonts w:ascii="Cambria Math" w:hAnsi="Cambria Math"/>
                </w:rPr>
                <m:t>∈</m:t>
              </m:r>
              <m:r>
                <m:rPr>
                  <m:nor/>
                </m:rPr>
                <m:t>obs</m:t>
              </m:r>
            </m:sub>
            <m:sup>
              <m:r>
                <w:rPr>
                  <w:rFonts w:ascii="Cambria Math" w:hAnsi="Cambria Math"/>
                </w:rPr>
                <m:t>​</m:t>
              </m:r>
            </m:sup>
            <m:e>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A</m:t>
                          </m:r>
                          <m:r>
                            <w:rPr>
                              <w:rFonts w:ascii="Cambria Math" w:hAnsi="Cambria Math"/>
                            </w:rPr>
                            <m:t>) </m:t>
                          </m:r>
                        </m:e>
                      </m:d>
                    </m:e>
                    <m:sup>
                      <m:r>
                        <w:rPr>
                          <w:rFonts w:ascii="Cambria Math" w:hAnsi="Cambria Math"/>
                        </w:rPr>
                        <m:t>2</m:t>
                      </m:r>
                    </m:sup>
                  </m:sSup>
                </m:num>
                <m:den>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den>
              </m:f>
            </m:e>
          </m:nary>
          <m:r>
            <w:rPr>
              <w:rFonts w:ascii="Cambria Math" w:hAnsi="Cambria Math"/>
            </w:rPr>
            <m:t>=</m:t>
          </m:r>
          <m:r>
            <w:rPr>
              <w:rFonts w:ascii="Cambria Math" w:hAnsi="Cambria Math"/>
            </w:rPr>
            <m:t>n</m:t>
          </m:r>
          <m:r>
            <w:rPr>
              <w:rFonts w:ascii="Cambria Math" w:hAnsi="Cambria Math"/>
            </w:rPr>
            <m:t>-</m:t>
          </m:r>
          <m:r>
            <w:rPr>
              <w:rFonts w:ascii="Cambria Math" w:hAnsi="Cambria Math"/>
            </w:rPr>
            <m:t>p</m:t>
          </m:r>
          <m:r>
            <w:rPr>
              <w:rFonts w:ascii="Cambria Math" w:hAnsi="Cambria Math"/>
            </w:rPr>
            <m:t>,</m:t>
          </m:r>
        </m:oMath>
      </m:oMathPara>
    </w:p>
    <w:p w14:paraId="247E65BB" w14:textId="77777777" w:rsidR="008E4EBD" w:rsidRDefault="00483AC6">
      <w:pPr>
        <w:pStyle w:val="BodyText"/>
      </w:pPr>
      <w:r>
        <w:t xml:space="preserve">where </w:t>
      </w:r>
      <m:oMath>
        <m:r>
          <w:rPr>
            <w:rFonts w:ascii="Cambria Math" w:hAnsi="Cambria Math"/>
          </w:rPr>
          <m:t>n</m:t>
        </m:r>
      </m:oMath>
      <w:r>
        <w:t xml:space="preserve"> is the number of observed cells, </w:t>
      </w:r>
      <m:oMath>
        <m:r>
          <w:rPr>
            <w:rFonts w:ascii="Cambria Math" w:hAnsi="Cambria Math"/>
          </w:rPr>
          <m:t>p</m:t>
        </m:r>
        <m:r>
          <w:rPr>
            <w:rFonts w:ascii="Cambria Math" w:hAnsi="Cambria Math"/>
          </w:rPr>
          <m:t>=2</m:t>
        </m:r>
      </m:oMath>
      <w:r>
        <w:t xml:space="preserve">, and </w:t>
      </w:r>
      <m:oMath>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A</m:t>
        </m:r>
        <m:r>
          <w:rPr>
            <w:rFonts w:ascii="Cambria Math" w:hAnsi="Cambria Math"/>
          </w:rPr>
          <m:t>)</m:t>
        </m:r>
      </m:oMath>
      <w:r>
        <w:t xml:space="preserve"> is the weighted GLS estimator with weights </w:t>
      </w:r>
      <m:oMath>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sSup>
          <m:sSupPr>
            <m:ctrlPr>
              <w:rPr>
                <w:rFonts w:ascii="Cambria Math" w:hAnsi="Cambria Math"/>
              </w:rPr>
            </m:ctrlPr>
          </m:sSupPr>
          <m:e>
            <m:r>
              <w:rPr>
                <w:rFonts w:ascii="Cambria Math" w:hAnsi="Cambria Math"/>
              </w:rPr>
              <m:t>)</m:t>
            </m:r>
          </m:e>
          <m:sup>
            <m:r>
              <w:rPr>
                <w:rFonts w:ascii="Cambria Math" w:hAnsi="Cambria Math"/>
              </w:rPr>
              <m:t>-1</m:t>
            </m:r>
          </m:sup>
        </m:sSup>
      </m:oMath>
      <w:r>
        <w:t xml:space="preserve">, recomputed at each candidate value of </w:t>
      </w:r>
      <m:oMath>
        <m:r>
          <w:rPr>
            <w:rFonts w:ascii="Cambria Math" w:hAnsi="Cambria Math"/>
          </w:rPr>
          <m:t>A</m:t>
        </m:r>
      </m:oMath>
      <w:r>
        <w:t xml:space="preserve">. The equation is solved by bisection on </w:t>
      </w:r>
      <m:oMath>
        <m:r>
          <w:rPr>
            <w:rFonts w:ascii="Cambria Math" w:hAnsi="Cambria Math"/>
          </w:rPr>
          <m:t>[0,20]</m:t>
        </m:r>
      </m:oMath>
      <w:r>
        <w:t xml:space="preserve">, with </w:t>
      </w:r>
      <m:oMath>
        <m:acc>
          <m:accPr>
            <m:ctrlPr>
              <w:rPr>
                <w:rFonts w:ascii="Cambria Math" w:hAnsi="Cambria Math"/>
              </w:rPr>
            </m:ctrlPr>
          </m:accPr>
          <m:e>
            <m:r>
              <w:rPr>
                <w:rFonts w:ascii="Cambria Math" w:hAnsi="Cambria Math"/>
              </w:rPr>
              <m:t>A</m:t>
            </m:r>
          </m:e>
        </m:acc>
      </m:oMath>
      <w:r>
        <w:t xml:space="preserve"> truncated at zero when no positive root exists. The predictor is then </w:t>
      </w:r>
      <m:oMath>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m:rPr>
                <m:nor/>
              </m:rPr>
              <m:t>it</m:t>
            </m:r>
          </m:sub>
        </m:sSub>
        <m:r>
          <w:rPr>
            <w:rFonts w:ascii="Cambria Math" w:hAnsi="Cambria Math"/>
          </w:rPr>
          <m:t>(</m:t>
        </m:r>
        <m:sSub>
          <m:sSubPr>
            <m:ctrlPr>
              <w:rPr>
                <w:rFonts w:ascii="Cambria Math" w:hAnsi="Cambria Math"/>
              </w:rPr>
            </m:ctrlPr>
          </m:sSubPr>
          <m:e>
            <m:r>
              <w:rPr>
                <w:rFonts w:ascii="Cambria Math" w:hAnsi="Cambria Math"/>
              </w:rPr>
              <m:t>y</m:t>
            </m:r>
          </m:e>
          <m:sub>
            <m:r>
              <m:rPr>
                <m:nor/>
              </m:rPr>
              <m:t>it</m:t>
            </m:r>
          </m:sub>
        </m:sSub>
        <m:r>
          <w:rPr>
            <w:rFonts w:ascii="Cambria Math" w:hAnsi="Cambria Math"/>
          </w:rPr>
          <m:t>-</m:t>
        </m:r>
        <m:sSub>
          <m:sSubPr>
            <m:ctrlPr>
              <w:rPr>
                <w:rFonts w:ascii="Cambria Math" w:hAnsi="Cambria Math"/>
              </w:rPr>
            </m:ctrlPr>
          </m:sSubPr>
          <m:e>
            <m:r>
              <w:rPr>
                <w:rFonts w:ascii="Cambria Math" w:hAnsi="Cambria Math"/>
              </w:rPr>
              <m:t>x</m:t>
            </m:r>
          </m:e>
          <m:sub>
            <m:r>
              <m:rPr>
                <m:nor/>
              </m:rPr>
              <m:t>it</m:t>
            </m:r>
          </m:sub>
        </m:sSub>
        <m:r>
          <w:rPr>
            <w:rFonts w:ascii="Cambria Math" w:hAnsi="Cambria Math"/>
          </w:rPr>
          <m:t>'</m:t>
        </m:r>
        <m:acc>
          <m:accPr>
            <m:ctrlPr>
              <w:rPr>
                <w:rFonts w:ascii="Cambria Math" w:hAnsi="Cambria Math"/>
              </w:rPr>
            </m:ctrlPr>
          </m:accPr>
          <m:e>
            <m:r>
              <w:rPr>
                <w:rFonts w:ascii="Cambria Math" w:hAnsi="Cambria Math"/>
              </w:rPr>
              <m:t>β</m:t>
            </m:r>
          </m:e>
        </m:acc>
        <m:r>
          <w:rPr>
            <w:rFonts w:ascii="Cambria Math" w:hAnsi="Cambria Math"/>
          </w:rPr>
          <m:t>)</m:t>
        </m:r>
      </m:oMath>
      <w:r>
        <w:t xml:space="preserve"> with </w:t>
      </w: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m:rPr>
                <m:nor/>
              </m:rPr>
              <m:t>it</m:t>
            </m:r>
          </m:sub>
        </m:sSub>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m:t>
        </m:r>
        <m:sSub>
          <m:sSubPr>
            <m:ctrlPr>
              <w:rPr>
                <w:rFonts w:ascii="Cambria Math" w:hAnsi="Cambria Math"/>
              </w:rPr>
            </m:ctrlPr>
          </m:sSubPr>
          <m:e>
            <m:r>
              <w:rPr>
                <w:rFonts w:ascii="Cambria Math" w:hAnsi="Cambria Math"/>
              </w:rPr>
              <m:t>D</m:t>
            </m:r>
          </m:e>
          <m:sub>
            <m:r>
              <m:rPr>
                <m:nor/>
              </m:rPr>
              <m:t>it</m:t>
            </m:r>
          </m:sub>
        </m:sSub>
        <m:r>
          <w:rPr>
            <w:rFonts w:ascii="Cambria Math" w:hAnsi="Cambria Math"/>
          </w:rPr>
          <m:t>)</m:t>
        </m:r>
      </m:oMath>
      <w:r>
        <w:t>, evaluated at observed cells. (We refer to this predictor simply as UFH: it is an EBLUP only under its own working model, in which both the area effects and the sampling errors are independent across years; when either is autocorrelated, the label EBLUP would be misleading.)</w:t>
      </w:r>
    </w:p>
    <w:p w14:paraId="247E65BC" w14:textId="77777777" w:rsidR="008E4EBD" w:rsidRDefault="00483AC6">
      <w:pPr>
        <w:pStyle w:val="BodyText"/>
      </w:pPr>
      <w:r>
        <w:rPr>
          <w:b/>
        </w:rPr>
        <w:t>MFH EBLUP with diagonal sampling-error covariance (MFH-diag).</w:t>
      </w:r>
      <w:r>
        <w:t xml:space="preserve"> The working covariance is </w:t>
      </w:r>
      <m:oMath>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that is, the area-effect covariance family is correctly specified but the sampling-error covariance is truncated to its diagonal, </w:t>
      </w:r>
      <m:oMath>
        <m:sSubSup>
          <m:sSubSupPr>
            <m:ctrlPr>
              <w:rPr>
                <w:rFonts w:ascii="Cambria Math" w:hAnsi="Cambria Math"/>
              </w:rPr>
            </m:ctrlPr>
          </m:sSubSupPr>
          <m:e>
            <m:r>
              <w:rPr>
                <w:rFonts w:ascii="Cambria Math" w:hAnsi="Cambria Math"/>
              </w:rPr>
              <m:t>D</m:t>
            </m:r>
          </m:e>
          <m:sub>
            <m:r>
              <w:rPr>
                <w:rFonts w:ascii="Cambria Math" w:hAnsi="Cambria Math"/>
              </w:rPr>
              <m:t>i</m:t>
            </m:r>
          </m:sub>
          <m:sup>
            <m:r>
              <m:rPr>
                <m:nor/>
              </m:rPr>
              <m:t>diag</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The parameters </w:t>
      </w:r>
      <m:oMath>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oMath>
      <w:r>
        <w:t xml:space="preserve"> are estimated by Gaussian maximum likelihood on areas with complete data, with </w:t>
      </w:r>
      <m:oMath>
        <m:r>
          <w:rPr>
            <w:rFonts w:ascii="Cambria Math" w:hAnsi="Cambria Math"/>
          </w:rPr>
          <m:t>β</m:t>
        </m:r>
      </m:oMath>
      <w:r>
        <w:t xml:space="preserve"> profiled out by GLS at each evaluation; the log-likelihood is, up to a constant,</w:t>
      </w:r>
    </w:p>
    <w:p w14:paraId="247E65BD" w14:textId="77777777" w:rsidR="008E4EBD" w:rsidRDefault="00483AC6">
      <w:pPr>
        <w:pStyle w:val="BodyText"/>
        <w:spacing w:before="0" w:after="160" w:line="240" w:lineRule="atLeast"/>
        <w:jc w:val="center"/>
      </w:pPr>
      <m:oMathPara>
        <m:oMathParaPr>
          <m:jc m:val="center"/>
        </m:oMathParaPr>
        <m:oMath>
          <m:r>
            <m:rPr>
              <m:scr m:val="script"/>
              <m:sty m:val="p"/>
            </m:rPr>
            <w:rPr>
              <w:rFonts w:ascii="Cambria Math" w:hAnsi="Cambria Math"/>
            </w:rPr>
            <m:t>l</m:t>
          </m:r>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r>
                    <m:rPr>
                      <m:nor/>
                    </m:rPr>
                    <m:t>logdet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m:t>
                  </m:r>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 </m:t>
                      </m:r>
                    </m:e>
                  </m:d>
                  <m:r>
                    <w:rPr>
                      <w:rFonts w:ascii="Cambria Math" w:hAnsi="Cambria Math"/>
                    </w:rPr>
                    <m:t>'</m:t>
                  </m:r>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 </m:t>
                      </m:r>
                    </m:e>
                  </m:d>
                </m:e>
              </m:d>
            </m:e>
          </m:nary>
          <m:r>
            <w:rPr>
              <w:rFonts w:ascii="Cambria Math" w:hAnsi="Cambria Math"/>
            </w:rPr>
            <m:t>.</m:t>
          </m:r>
        </m:oMath>
      </m:oMathPara>
    </w:p>
    <w:p w14:paraId="247E65BE" w14:textId="77777777" w:rsidR="008E4EBD" w:rsidRDefault="00483AC6">
      <w:pPr>
        <w:pStyle w:val="BodyText"/>
      </w:pPr>
      <w:r>
        <w:t xml:space="preserve">The likelihood is maximized over the unconstrained parameterization </w:t>
      </w:r>
      <m:oMath>
        <m:r>
          <w:rPr>
            <w:rFonts w:ascii="Cambria Math" w:hAnsi="Cambria Math"/>
          </w:rPr>
          <m:t>(</m:t>
        </m:r>
        <m:r>
          <m:rPr>
            <m:nor/>
          </m:rPr>
          <m:t>log</m:t>
        </m:r>
        <m:r>
          <w:rPr>
            <w:rFonts w:ascii="Cambria Math" w:hAnsi="Cambria Math"/>
          </w:rPr>
          <m:t>A</m:t>
        </m:r>
        <m:r>
          <w:rPr>
            <w:rFonts w:ascii="Cambria Math" w:hAnsi="Cambria Math"/>
          </w:rPr>
          <m:t>, </m:t>
        </m:r>
        <m:r>
          <m:rPr>
            <m:nor/>
          </m:rPr>
          <m:t>arctanh</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oMath>
      <w:r>
        <w:t xml:space="preserve"> by the Nelder–Mead simplex method from two starting points, </w:t>
      </w:r>
      <m:oMath>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)=(1,0.3)</m:t>
        </m:r>
      </m:oMath>
      <w:r>
        <w:t xml:space="preserve"> and </w:t>
      </w:r>
      <m:oMath>
        <m:r>
          <w:rPr>
            <w:rFonts w:ascii="Cambria Math" w:hAnsi="Cambria Math"/>
          </w:rPr>
          <m:t>(0.5,0.7)</m:t>
        </m:r>
      </m:oMath>
      <w:r>
        <w:t xml:space="preserve">, keeping the better optimum; non–positive definite candidates are rejected by a Cholesky check. For complete areas, the predictor is </w:t>
      </w:r>
      <m:oMath>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acc>
          <m:accPr>
            <m:ctrlPr>
              <w:rPr>
                <w:rFonts w:ascii="Cambria Math" w:hAnsi="Cambria Math"/>
              </w:rPr>
            </m:ctrlPr>
          </m:accPr>
          <m:e>
            <m:r>
              <w:rPr>
                <w:rFonts w:ascii="Cambria Math" w:hAnsi="Cambria Math"/>
              </w:rPr>
              <m:t>G</m:t>
            </m:r>
          </m:e>
        </m:acc>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acc>
          <m:accPr>
            <m:ctrlPr>
              <w:rPr>
                <w:rFonts w:ascii="Cambria Math" w:hAnsi="Cambria Math"/>
              </w:rPr>
            </m:ctrlPr>
          </m:accPr>
          <m:e>
            <m:r>
              <w:rPr>
                <w:rFonts w:ascii="Cambria Math" w:hAnsi="Cambria Math"/>
              </w:rPr>
              <m:t>β</m:t>
            </m:r>
          </m:e>
        </m:acc>
        <m:r>
          <w:rPr>
            <w:rFonts w:ascii="Cambria Math" w:hAnsi="Cambria Math"/>
          </w:rPr>
          <m:t>)</m:t>
        </m:r>
      </m:oMath>
      <w:r>
        <w:t xml:space="preserve"> with </w:t>
      </w:r>
      <m:oMath>
        <m:acc>
          <m:accPr>
            <m:ctrlPr>
              <w:rPr>
                <w:rFonts w:ascii="Cambria Math" w:hAnsi="Cambria Math"/>
              </w:rPr>
            </m:ctrlPr>
          </m:accPr>
          <m:e>
            <m:r>
              <w:rPr>
                <w:rFonts w:ascii="Cambria Math" w:hAnsi="Cambria Math"/>
              </w:rPr>
              <m:t>G</m:t>
            </m:r>
          </m:e>
        </m:acc>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r>
          <w:rPr>
            <w:rFonts w:ascii="Cambria Math" w:hAnsi="Cambria Math"/>
          </w:rPr>
          <m:t>)</m:t>
        </m:r>
      </m:oMath>
      <w:r>
        <w:t xml:space="preserve"> and </w:t>
      </w:r>
      <m:oMath>
        <m:sSubSup>
          <m:sSubSupPr>
            <m:ctrlPr>
              <w:rPr>
                <w:rFonts w:ascii="Cambria Math" w:hAnsi="Cambria Math"/>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m:t>
        </m:r>
        <m:acc>
          <m:accPr>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oMath>
      <w:r>
        <w:t xml:space="preserve">. For an area missing period 3, the partitioned conditional predictor of Section 10 is used with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nor/>
              </m:rPr>
              <m:t>mo</m:t>
            </m:r>
          </m:sub>
        </m:sSub>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ρ</m:t>
                </m:r>
              </m:e>
            </m:acc>
          </m:e>
          <m:sub>
            <m:r>
              <w:rPr>
                <w:rFonts w:ascii="Cambria Math" w:hAnsi="Cambria Math"/>
              </w:rPr>
              <m:t>u</m:t>
            </m:r>
          </m:sub>
          <m:sup>
            <m:r>
              <w:rPr>
                <w:rFonts w:ascii="Cambria Math" w:hAnsi="Cambria Math"/>
              </w:rPr>
              <m:t>2</m:t>
            </m:r>
          </m:sup>
        </m:sSubSup>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r>
          <w:rPr>
            <w:rFonts w:ascii="Cambria Math" w:hAnsi="Cambria Math"/>
          </w:rPr>
          <m:t>)</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sSub>
          <m:sSubPr>
            <m:ctrlPr>
              <w:rPr>
                <w:rFonts w:ascii="Cambria Math" w:hAnsi="Cambria Math"/>
              </w:rPr>
            </m:ctrlPr>
          </m:sSubPr>
          <m:e>
            <m:r>
              <w:rPr>
                <w:rFonts w:ascii="Cambria Math" w:hAnsi="Cambria Math"/>
              </w:rPr>
              <m:t>)</m:t>
            </m:r>
          </m:e>
          <m:sub>
            <m:r>
              <m:rPr>
                <m:nor/>
              </m:rPr>
              <m:t>oo</m:t>
            </m:r>
          </m:sub>
        </m:sSub>
        <m:r>
          <w:rPr>
            <w:rFonts w:ascii="Cambria Math" w:hAnsi="Cambria Math"/>
          </w:rPr>
          <m:t>+</m:t>
        </m:r>
        <m:r>
          <m:rPr>
            <m:nor/>
          </m:rPr>
          <m:t>diag</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2</m:t>
            </m:r>
          </m:sub>
        </m:sSub>
        <m:r>
          <w:rPr>
            <w:rFonts w:ascii="Cambria Math" w:hAnsi="Cambria Math"/>
          </w:rPr>
          <m:t>)</m:t>
        </m:r>
      </m:oMath>
      <w:r>
        <w:t xml:space="preserve">, where </w:t>
      </w:r>
      <m:oMath>
        <m:r>
          <w:rPr>
            <w:rFonts w:ascii="Cambria Math" w:hAnsi="Cambria Math"/>
          </w:rPr>
          <m:t>o</m:t>
        </m:r>
        <m:r>
          <w:rPr>
            <w:rFonts w:ascii="Cambria Math" w:hAnsi="Cambria Math"/>
          </w:rPr>
          <m:t>={1,2}</m:t>
        </m:r>
      </m:oMath>
      <w:r>
        <w:t xml:space="preserve"> denotes the observed periods.</w:t>
      </w:r>
    </w:p>
    <w:p w14:paraId="247E65BF" w14:textId="77777777" w:rsidR="008E4EBD" w:rsidRDefault="00483AC6">
      <w:pPr>
        <w:pStyle w:val="BodyText"/>
      </w:pPr>
      <w:r>
        <w:rPr>
          <w:b/>
        </w:rPr>
        <w:t>MFH EBLUP with correct sampling-error covariance (MFH-full).</w:t>
      </w:r>
      <w:r>
        <w:t xml:space="preserve"> Identical to MFH-diag except that the working covariance uses the true sampling-error covariance matrix,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A</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with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—including its off-diagonal elements—supplied as known. Only </w:t>
      </w:r>
      <m:oMath>
        <m:r>
          <w:rPr>
            <w:rFonts w:ascii="Cambria Math" w:hAnsi="Cambria Math"/>
          </w:rPr>
          <m:t>(</m:t>
        </m:r>
        <m:r>
          <w:rPr>
            <w:rFonts w:ascii="Cambria Math" w:hAnsi="Cambria Math"/>
          </w:rPr>
          <m:t>A</m:t>
        </m:r>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oMath>
      <w:r>
        <w:t xml:space="preserve"> are estimated, again by maximum likelihood. The missing-period predictor uses </w:t>
      </w:r>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Sub>
        <m:r>
          <w:rPr>
            <w:rFonts w:ascii="Cambria Math" w:hAnsi="Cambria Math"/>
          </w:rPr>
          <m:t>=</m:t>
        </m:r>
        <m:acc>
          <m:accPr>
            <m:ctrlPr>
              <w:rPr>
                <w:rFonts w:ascii="Cambria Math" w:hAnsi="Cambria Math"/>
              </w:rPr>
            </m:ctrlPr>
          </m:accPr>
          <m:e>
            <m:r>
              <w:rPr>
                <w:rFonts w:ascii="Cambria Math" w:hAnsi="Cambria Math"/>
              </w:rPr>
              <m:t>A</m:t>
            </m:r>
          </m:e>
        </m:acc>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u</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sSub>
          <m:sSubPr>
            <m:ctrlPr>
              <w:rPr>
                <w:rFonts w:ascii="Cambria Math" w:hAnsi="Cambria Math"/>
              </w:rPr>
            </m:ctrlPr>
          </m:sSubPr>
          <m:e>
            <m:r>
              <w:rPr>
                <w:rFonts w:ascii="Cambria Math" w:hAnsi="Cambria Math"/>
              </w:rPr>
              <m:t>)</m:t>
            </m:r>
          </m:e>
          <m:sub>
            <m:r>
              <m:rPr>
                <m:nor/>
              </m: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i</m:t>
            </m:r>
            <m:r>
              <w:rPr>
                <w:rFonts w:ascii="Cambria Math" w:hAnsi="Cambria Math"/>
              </w:rPr>
              <m:t>,</m:t>
            </m:r>
            <m:r>
              <w:rPr>
                <w:rFonts w:ascii="Cambria Math" w:hAnsi="Cambria Math"/>
              </w:rPr>
              <m:t>oo</m:t>
            </m:r>
          </m:sub>
        </m:sSub>
      </m:oMath>
      <w:r>
        <w:t xml:space="preserve"> is the observed block of the true sampling-error covariance. Note that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nor/>
              </m:rPr>
              <m:t>mo</m:t>
            </m:r>
          </m:sub>
        </m:sSub>
      </m:oMath>
      <w:r>
        <w:t xml:space="preserve"> contains no sampling-error terms in either MFH variant, because the target excludes the sampling error and </w:t>
      </w:r>
      <m:oMath>
        <m:r>
          <w:rPr>
            <w:rFonts w:ascii="Cambria Math" w:hAnsi="Cambria Math"/>
          </w:rPr>
          <m:t>u</m:t>
        </m:r>
        <m:r>
          <w:rPr>
            <w:rFonts w:ascii="Cambria Math" w:hAnsi="Cambria Math"/>
          </w:rPr>
          <m:t>⊥</m:t>
        </m:r>
        <m:r>
          <w:rPr>
            <w:rFonts w:ascii="Cambria Math" w:hAnsi="Cambria Math"/>
          </w:rPr>
          <m:t>e</m:t>
        </m:r>
      </m:oMath>
      <w:r>
        <w:t xml:space="preserve">; the two variants differ only through </w:t>
      </w:r>
      <m:oMath>
        <m:sSub>
          <m:sSubPr>
            <m:ctrlPr>
              <w:rPr>
                <w:rFonts w:ascii="Cambria Math" w:hAnsi="Cambria Math"/>
              </w:rPr>
            </m:ctrlPr>
          </m:sSubPr>
          <m:e>
            <m:acc>
              <m:accPr>
                <m:ctrlPr>
                  <w:rPr>
                    <w:rFonts w:ascii="Cambria Math" w:hAnsi="Cambria Math"/>
                  </w:rPr>
                </m:ctrlPr>
              </m:accPr>
              <m:e>
                <m:r>
                  <w:rPr>
                    <w:rFonts w:ascii="Cambria Math" w:hAnsi="Cambria Math"/>
                  </w:rPr>
                  <m:t>V</m:t>
                </m:r>
              </m:e>
            </m:acc>
          </m:e>
          <m:sub>
            <m:r>
              <w:rPr>
                <w:rFonts w:ascii="Cambria Math" w:hAnsi="Cambria Math"/>
              </w:rPr>
              <m:t>i</m:t>
            </m:r>
            <m:r>
              <w:rPr>
                <w:rFonts w:ascii="Cambria Math" w:hAnsi="Cambria Math"/>
              </w:rPr>
              <m:t>,</m:t>
            </m:r>
            <m:r>
              <w:rPr>
                <w:rFonts w:ascii="Cambria Math" w:hAnsi="Cambria Math"/>
              </w:rPr>
              <m:t>oo</m:t>
            </m:r>
          </m:sub>
        </m:sSub>
      </m:oMath>
      <w:r>
        <w:t xml:space="preserve"> and through the parameter estimates themselves.</w:t>
      </w:r>
    </w:p>
    <w:p w14:paraId="247E65C0" w14:textId="77777777" w:rsidR="008E4EBD" w:rsidRDefault="00483AC6">
      <w:pPr>
        <w:pStyle w:val="BodyText"/>
      </w:pPr>
      <w:r>
        <w:rPr>
          <w:b/>
        </w:rPr>
        <w:t>Oracle BLUP.</w:t>
      </w:r>
      <w:r>
        <w:t xml:space="preserve"> The same formulas evaluated at the true </w:t>
      </w:r>
      <m:oMath>
        <m:r>
          <w:rPr>
            <w:rFonts w:ascii="Cambria Math" w:hAnsi="Cambria Math"/>
          </w:rPr>
          <m:t>β</m:t>
        </m:r>
      </m:oMath>
      <w:r>
        <w:t xml:space="preserve">,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D</m:t>
            </m:r>
          </m:e>
          <m:sub>
            <m:r>
              <w:rPr>
                <w:rFonts w:ascii="Cambria Math" w:hAnsi="Cambria Math"/>
              </w:rPr>
              <m:t>i</m:t>
            </m:r>
          </m:sub>
        </m:sSub>
      </m:oMath>
      <w:r>
        <w:t>. This benchmark is infeasible in practice and bounds the achievable MSE from below.</w:t>
      </w:r>
    </w:p>
    <w:p w14:paraId="247E65C1" w14:textId="77777777" w:rsidR="008E4EBD" w:rsidRDefault="00483AC6">
      <w:pPr>
        <w:pStyle w:val="Heading2"/>
      </w:pPr>
      <w:bookmarkStart w:id="29" w:name="a.3.-evaluation-criteria"/>
      <w:r>
        <w:lastRenderedPageBreak/>
        <w:t>A.3. Evaluation criteria</w:t>
      </w:r>
      <w:bookmarkEnd w:id="29"/>
    </w:p>
    <w:p w14:paraId="247E65C2" w14:textId="77777777" w:rsidR="008E4EBD" w:rsidRDefault="00483AC6">
      <w:pPr>
        <w:pStyle w:val="FirstParagraph"/>
      </w:pPr>
      <w:r>
        <w:t>For each replication, squared prediction errors are averaged over the relevant cells: observed-cell results are computed over all cells of areas with complete data, so that the comparison among the predictors is not contaminated by the missingness mechanism; missing-cell results are computed over the deleted final-period cells. Reported MSEs are means of these replication-level averages over the R = 500 replications. The Monte Carlo standard error of each reported MSE is the standard deviation of the replic</w:t>
      </w:r>
      <w:r>
        <w:t>ation-level averages divided by sqrt(R).</w:t>
      </w:r>
    </w:p>
    <w:p w14:paraId="247E65C3" w14:textId="77777777" w:rsidR="008E4EBD" w:rsidRDefault="00483AC6">
      <w:pPr>
        <w:pStyle w:val="BodyText"/>
      </w:pPr>
      <w:r>
        <w:t xml:space="preserve">In addition to MSEs against the realized targets, we record, for every feasible predictor and every cell, the absolute deviation of its point prediction from the oracle BLUP computed on the same data, </w:t>
      </w:r>
      <m:oMath>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m:rPr>
                <m:nor/>
              </m:rPr>
              <m:t>it</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m:rPr>
                <m:nor/>
              </m:rPr>
              <m:t>it</m:t>
            </m:r>
          </m:sub>
          <m:sup>
            <m:r>
              <m:rPr>
                <m:nor/>
              </m:rPr>
              <m:t>oracle</m:t>
            </m:r>
          </m:sup>
        </m:sSubSup>
        <m:r>
          <w:rPr>
            <w:rFonts w:ascii="Cambria Math" w:hAnsi="Cambria Math"/>
          </w:rPr>
          <m:t>|</m:t>
        </m:r>
      </m:oMath>
      <w:r>
        <w:t xml:space="preserve">, pooled across cells and replications (Tables 3 and 4 report the mean and the 90th percentile), together with the mean prediction bias </w:t>
      </w:r>
      <m:oMath>
        <m:r>
          <w:rPr>
            <w:rFonts w:ascii="Cambria Math" w:hAnsi="Cambria Math"/>
          </w:rPr>
          <m:t>E</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m:rPr>
                <m:nor/>
              </m:rPr>
              <m:t>it</m:t>
            </m:r>
          </m:sub>
        </m:sSub>
        <m:r>
          <w:rPr>
            <w:rFonts w:ascii="Cambria Math" w:hAnsi="Cambria Math"/>
          </w:rPr>
          <m:t>-</m:t>
        </m:r>
        <m:sSub>
          <m:sSubPr>
            <m:ctrlPr>
              <w:rPr>
                <w:rFonts w:ascii="Cambria Math" w:hAnsi="Cambria Math"/>
              </w:rPr>
            </m:ctrlPr>
          </m:sSubPr>
          <m:e>
            <m:r>
              <w:rPr>
                <w:rFonts w:ascii="Cambria Math" w:hAnsi="Cambria Math"/>
              </w:rPr>
              <m:t>θ</m:t>
            </m:r>
          </m:e>
          <m:sub>
            <m:r>
              <m:rPr>
                <m:nor/>
              </m:rPr>
              <m:t>it</m:t>
            </m:r>
          </m:sub>
        </m:sSub>
        <m:r>
          <w:rPr>
            <w:rFonts w:ascii="Cambria Math" w:hAnsi="Cambria Math"/>
          </w:rPr>
          <m:t>]</m:t>
        </m:r>
      </m:oMath>
      <w:r>
        <w:t xml:space="preserve"> of the MFH variants. The deviation metric measures how far the published point estimates sit from the optimal predictions; the bias confirms that covariance misspecification leaves prediction unbiasedness intact while reshuffling the estimates across areas.</w:t>
      </w:r>
    </w:p>
    <w:p w14:paraId="247E65C4" w14:textId="320509AB" w:rsidR="008E4EBD" w:rsidRDefault="00483AC6">
      <w:pPr>
        <w:pStyle w:val="BodyText"/>
      </w:pPr>
      <w:r>
        <w:t>As a check on the simulation, we also report the theoretical leading term of the prediction MSE under known parameters, averaged over cells using the fixed D_it draw and the true covariance structure: for observed cells, the average of the diagonal elements of G - G(G + D_i)^-1G; for missing cells, the average of A - C_mo V_i,oo^-1 C_om, with C_mo = G_mo and V_i,oo = G_oo + D_i,oo. These leading terms are the conditional-variance benchmarks for the oracle BLUP. Feasible EBLUPs are expected to lie above them</w:t>
      </w:r>
      <w:r>
        <w:t xml:space="preserve"> because β and the covariance parameters are estimated.</w:t>
      </w:r>
    </w:p>
    <w:p w14:paraId="247E65C5" w14:textId="77777777" w:rsidR="008E4EBD" w:rsidRDefault="00483AC6">
      <w:pPr>
        <w:pStyle w:val="Heading2"/>
      </w:pPr>
      <w:bookmarkStart w:id="30" w:name="a.4.-full-results"/>
      <w:r>
        <w:t>A.4. Full results</w:t>
      </w:r>
      <w:bookmarkEnd w:id="30"/>
    </w:p>
    <w:p w14:paraId="247E65C6" w14:textId="77777777" w:rsidR="008E4EBD" w:rsidRDefault="00483AC6">
      <w:pPr>
        <w:pStyle w:val="FirstParagraph"/>
      </w:pPr>
      <w:r>
        <w:t>Table A.1 reports the observed-cell results with Monte Carlo standard errors in parentheses. The empirical MSE of the oracle BLUP is close to the theoretical leading term in every scenario, confirming that the simulation is computing the intended conditional predictor. The feasible MFH-full estimator lies slightly above the oracle because β, A, and ρ_u are estimated. The UFH EBLUP is statistically indistinguishable from its own working-model optimum (approximately 0.50, the value of the UFH leading term E[A</w:t>
      </w:r>
      <w:r>
        <w:t>D/(A + D)] = 0.491) in all nine scenarios: it converges, as the theory of Section 5 predicts, to its pseudo-BLUP regardless of either form of dependence. MFH-full tracks the declining true bound throughout. MFH-diag coincides with MFH-full when ρ_e = 0 (the working models are then identical) and deteriorates sharply as ρ_e rises, falling below UFH whenever ρ_e = 0.8.</w:t>
      </w:r>
    </w:p>
    <w:p w14:paraId="247E65C7" w14:textId="77777777" w:rsidR="008E4EBD" w:rsidRDefault="00483AC6">
      <w:pPr>
        <w:pStyle w:val="BodyText"/>
      </w:pPr>
      <w:r>
        <w:t>Table A.1—Observed Area-Years: Empirical MSE, Monte Carlo Standard Errors, and Theoretical Benchmark</w:t>
      </w:r>
    </w:p>
    <w:tbl>
      <w:tblPr>
        <w:tblStyle w:val="Table"/>
        <w:tblW w:w="9026" w:type="dxa"/>
        <w:tblLayout w:type="fixed"/>
        <w:tblLook w:val="07E0" w:firstRow="1" w:lastRow="1" w:firstColumn="1" w:lastColumn="1" w:noHBand="1" w:noVBand="1"/>
      </w:tblPr>
      <w:tblGrid>
        <w:gridCol w:w="518"/>
        <w:gridCol w:w="518"/>
        <w:gridCol w:w="1348"/>
        <w:gridCol w:w="1348"/>
        <w:gridCol w:w="1348"/>
        <w:gridCol w:w="1348"/>
        <w:gridCol w:w="1348"/>
        <w:gridCol w:w="1250"/>
      </w:tblGrid>
      <w:tr w:rsidR="008E4EBD" w14:paraId="247E65D0" w14:textId="77777777">
        <w:tc>
          <w:tcPr>
            <w:tcW w:w="518" w:type="dxa"/>
            <w:tcBorders>
              <w:top w:val="single" w:sz="12" w:space="0" w:color="auto"/>
              <w:left w:val="nil"/>
              <w:bottom w:val="single" w:sz="4" w:space="0" w:color="auto"/>
              <w:right w:val="nil"/>
            </w:tcBorders>
            <w:vAlign w:val="bottom"/>
          </w:tcPr>
          <w:p w14:paraId="247E65C8"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518" w:type="dxa"/>
            <w:tcBorders>
              <w:top w:val="single" w:sz="12" w:space="0" w:color="auto"/>
              <w:left w:val="nil"/>
              <w:bottom w:val="single" w:sz="4" w:space="0" w:color="auto"/>
              <w:right w:val="nil"/>
            </w:tcBorders>
            <w:vAlign w:val="bottom"/>
          </w:tcPr>
          <w:p w14:paraId="247E65C9"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1348" w:type="dxa"/>
            <w:tcBorders>
              <w:top w:val="single" w:sz="12" w:space="0" w:color="auto"/>
              <w:left w:val="nil"/>
              <w:bottom w:val="single" w:sz="4" w:space="0" w:color="auto"/>
              <w:right w:val="nil"/>
            </w:tcBorders>
            <w:vAlign w:val="bottom"/>
          </w:tcPr>
          <w:p w14:paraId="247E65CA" w14:textId="77777777" w:rsidR="008E4EBD" w:rsidRDefault="00483AC6">
            <w:pPr>
              <w:pStyle w:val="Compact"/>
              <w:jc w:val="center"/>
            </w:pPr>
            <w:r>
              <w:rPr>
                <w:b/>
                <w:bCs/>
              </w:rPr>
              <w:t>Synthetic</w:t>
            </w:r>
          </w:p>
        </w:tc>
        <w:tc>
          <w:tcPr>
            <w:tcW w:w="1348" w:type="dxa"/>
            <w:tcBorders>
              <w:top w:val="single" w:sz="12" w:space="0" w:color="auto"/>
              <w:left w:val="nil"/>
              <w:bottom w:val="single" w:sz="4" w:space="0" w:color="auto"/>
              <w:right w:val="nil"/>
            </w:tcBorders>
            <w:vAlign w:val="bottom"/>
          </w:tcPr>
          <w:p w14:paraId="247E65CB" w14:textId="77777777" w:rsidR="008E4EBD" w:rsidRDefault="00483AC6">
            <w:pPr>
              <w:pStyle w:val="Compact"/>
              <w:jc w:val="center"/>
            </w:pPr>
            <w:r>
              <w:rPr>
                <w:b/>
                <w:bCs/>
              </w:rPr>
              <w:t>UFH</w:t>
            </w:r>
          </w:p>
        </w:tc>
        <w:tc>
          <w:tcPr>
            <w:tcW w:w="1348" w:type="dxa"/>
            <w:tcBorders>
              <w:top w:val="single" w:sz="12" w:space="0" w:color="auto"/>
              <w:left w:val="nil"/>
              <w:bottom w:val="single" w:sz="4" w:space="0" w:color="auto"/>
              <w:right w:val="nil"/>
            </w:tcBorders>
            <w:vAlign w:val="bottom"/>
          </w:tcPr>
          <w:p w14:paraId="247E65CC" w14:textId="77777777" w:rsidR="008E4EBD" w:rsidRDefault="00483AC6">
            <w:pPr>
              <w:pStyle w:val="Compact"/>
              <w:jc w:val="center"/>
            </w:pPr>
            <w:r>
              <w:rPr>
                <w:b/>
                <w:bCs/>
              </w:rPr>
              <w:t>MFH-diag</w:t>
            </w:r>
          </w:p>
        </w:tc>
        <w:tc>
          <w:tcPr>
            <w:tcW w:w="1348" w:type="dxa"/>
            <w:tcBorders>
              <w:top w:val="single" w:sz="12" w:space="0" w:color="auto"/>
              <w:left w:val="nil"/>
              <w:bottom w:val="single" w:sz="4" w:space="0" w:color="auto"/>
              <w:right w:val="nil"/>
            </w:tcBorders>
            <w:vAlign w:val="bottom"/>
          </w:tcPr>
          <w:p w14:paraId="247E65CD" w14:textId="77777777" w:rsidR="008E4EBD" w:rsidRDefault="00483AC6">
            <w:pPr>
              <w:pStyle w:val="Compact"/>
              <w:jc w:val="center"/>
            </w:pPr>
            <w:r>
              <w:rPr>
                <w:b/>
                <w:bCs/>
              </w:rPr>
              <w:t>MFH-full</w:t>
            </w:r>
          </w:p>
        </w:tc>
        <w:tc>
          <w:tcPr>
            <w:tcW w:w="1348" w:type="dxa"/>
            <w:tcBorders>
              <w:top w:val="single" w:sz="12" w:space="0" w:color="auto"/>
              <w:left w:val="nil"/>
              <w:bottom w:val="single" w:sz="4" w:space="0" w:color="auto"/>
              <w:right w:val="nil"/>
            </w:tcBorders>
            <w:vAlign w:val="bottom"/>
          </w:tcPr>
          <w:p w14:paraId="247E65CE" w14:textId="77777777" w:rsidR="008E4EBD" w:rsidRDefault="00483AC6">
            <w:pPr>
              <w:pStyle w:val="Compact"/>
              <w:jc w:val="center"/>
            </w:pPr>
            <w:r>
              <w:rPr>
                <w:b/>
                <w:bCs/>
              </w:rPr>
              <w:t>Oracle BLUP</w:t>
            </w:r>
          </w:p>
        </w:tc>
        <w:tc>
          <w:tcPr>
            <w:tcW w:w="1250" w:type="dxa"/>
            <w:tcBorders>
              <w:top w:val="single" w:sz="12" w:space="0" w:color="auto"/>
              <w:left w:val="nil"/>
              <w:bottom w:val="single" w:sz="4" w:space="0" w:color="auto"/>
              <w:right w:val="nil"/>
            </w:tcBorders>
            <w:vAlign w:val="bottom"/>
          </w:tcPr>
          <w:p w14:paraId="247E65CF" w14:textId="77777777" w:rsidR="008E4EBD" w:rsidRDefault="00483AC6">
            <w:pPr>
              <w:pStyle w:val="Compact"/>
              <w:jc w:val="center"/>
            </w:pPr>
            <w:r>
              <w:rPr>
                <w:b/>
                <w:bCs/>
              </w:rPr>
              <w:t>Leading term</w:t>
            </w:r>
          </w:p>
        </w:tc>
      </w:tr>
      <w:tr w:rsidR="008E4EBD" w14:paraId="247E65D9" w14:textId="77777777">
        <w:tc>
          <w:tcPr>
            <w:tcW w:w="518" w:type="dxa"/>
            <w:tcBorders>
              <w:top w:val="nil"/>
              <w:left w:val="nil"/>
              <w:bottom w:val="nil"/>
              <w:right w:val="nil"/>
            </w:tcBorders>
          </w:tcPr>
          <w:p w14:paraId="247E65D1" w14:textId="77777777" w:rsidR="008E4EBD" w:rsidRDefault="00483AC6">
            <w:pPr>
              <w:pStyle w:val="Compact"/>
              <w:jc w:val="center"/>
            </w:pPr>
            <w:r>
              <w:t>0.0</w:t>
            </w:r>
          </w:p>
        </w:tc>
        <w:tc>
          <w:tcPr>
            <w:tcW w:w="518" w:type="dxa"/>
            <w:tcBorders>
              <w:top w:val="nil"/>
              <w:left w:val="nil"/>
              <w:bottom w:val="nil"/>
              <w:right w:val="nil"/>
            </w:tcBorders>
          </w:tcPr>
          <w:p w14:paraId="247E65D2" w14:textId="77777777" w:rsidR="008E4EBD" w:rsidRDefault="00483AC6">
            <w:pPr>
              <w:pStyle w:val="Compact"/>
              <w:jc w:val="center"/>
            </w:pPr>
            <w:r>
              <w:t>0.0</w:t>
            </w:r>
          </w:p>
        </w:tc>
        <w:tc>
          <w:tcPr>
            <w:tcW w:w="1348" w:type="dxa"/>
            <w:tcBorders>
              <w:top w:val="nil"/>
              <w:left w:val="nil"/>
              <w:bottom w:val="nil"/>
              <w:right w:val="nil"/>
            </w:tcBorders>
          </w:tcPr>
          <w:p w14:paraId="247E65D3" w14:textId="77777777" w:rsidR="008E4EBD" w:rsidRDefault="00483AC6">
            <w:pPr>
              <w:pStyle w:val="Compact"/>
              <w:jc w:val="center"/>
            </w:pPr>
            <w:r>
              <w:t>1.005 (0.004)</w:t>
            </w:r>
          </w:p>
        </w:tc>
        <w:tc>
          <w:tcPr>
            <w:tcW w:w="1348" w:type="dxa"/>
            <w:tcBorders>
              <w:top w:val="nil"/>
              <w:left w:val="nil"/>
              <w:bottom w:val="nil"/>
              <w:right w:val="nil"/>
            </w:tcBorders>
          </w:tcPr>
          <w:p w14:paraId="247E65D4" w14:textId="77777777" w:rsidR="008E4EBD" w:rsidRDefault="00483AC6">
            <w:pPr>
              <w:pStyle w:val="Compact"/>
              <w:jc w:val="center"/>
            </w:pPr>
            <w:r>
              <w:t>0.496 (0.002)</w:t>
            </w:r>
          </w:p>
        </w:tc>
        <w:tc>
          <w:tcPr>
            <w:tcW w:w="1348" w:type="dxa"/>
            <w:tcBorders>
              <w:top w:val="nil"/>
              <w:left w:val="nil"/>
              <w:bottom w:val="nil"/>
              <w:right w:val="nil"/>
            </w:tcBorders>
          </w:tcPr>
          <w:p w14:paraId="247E65D5" w14:textId="77777777" w:rsidR="008E4EBD" w:rsidRDefault="00483AC6">
            <w:pPr>
              <w:pStyle w:val="Compact"/>
              <w:jc w:val="center"/>
            </w:pPr>
            <w:r>
              <w:t>0.501 (0.002)</w:t>
            </w:r>
          </w:p>
        </w:tc>
        <w:tc>
          <w:tcPr>
            <w:tcW w:w="1348" w:type="dxa"/>
            <w:tcBorders>
              <w:top w:val="nil"/>
              <w:left w:val="nil"/>
              <w:bottom w:val="nil"/>
              <w:right w:val="nil"/>
            </w:tcBorders>
          </w:tcPr>
          <w:p w14:paraId="247E65D6" w14:textId="77777777" w:rsidR="008E4EBD" w:rsidRDefault="00483AC6">
            <w:pPr>
              <w:pStyle w:val="Compact"/>
              <w:jc w:val="center"/>
            </w:pPr>
            <w:r>
              <w:t>0.501 (0.002)</w:t>
            </w:r>
          </w:p>
        </w:tc>
        <w:tc>
          <w:tcPr>
            <w:tcW w:w="1348" w:type="dxa"/>
            <w:tcBorders>
              <w:top w:val="nil"/>
              <w:left w:val="nil"/>
              <w:bottom w:val="nil"/>
              <w:right w:val="nil"/>
            </w:tcBorders>
          </w:tcPr>
          <w:p w14:paraId="247E65D7" w14:textId="77777777" w:rsidR="008E4EBD" w:rsidRDefault="00483AC6">
            <w:pPr>
              <w:pStyle w:val="Compact"/>
              <w:jc w:val="center"/>
            </w:pPr>
            <w:r>
              <w:t>0.489 (0.002)</w:t>
            </w:r>
          </w:p>
        </w:tc>
        <w:tc>
          <w:tcPr>
            <w:tcW w:w="1250" w:type="dxa"/>
            <w:tcBorders>
              <w:top w:val="nil"/>
              <w:left w:val="nil"/>
              <w:bottom w:val="nil"/>
              <w:right w:val="nil"/>
            </w:tcBorders>
          </w:tcPr>
          <w:p w14:paraId="247E65D8" w14:textId="77777777" w:rsidR="008E4EBD" w:rsidRDefault="00483AC6">
            <w:pPr>
              <w:pStyle w:val="Compact"/>
              <w:jc w:val="center"/>
            </w:pPr>
            <w:r>
              <w:t>0.486</w:t>
            </w:r>
          </w:p>
        </w:tc>
      </w:tr>
      <w:tr w:rsidR="008E4EBD" w14:paraId="247E65E2" w14:textId="77777777">
        <w:tc>
          <w:tcPr>
            <w:tcW w:w="518" w:type="dxa"/>
            <w:tcBorders>
              <w:top w:val="nil"/>
              <w:left w:val="nil"/>
              <w:bottom w:val="nil"/>
              <w:right w:val="nil"/>
            </w:tcBorders>
          </w:tcPr>
          <w:p w14:paraId="247E65DA" w14:textId="77777777" w:rsidR="008E4EBD" w:rsidRDefault="00483AC6">
            <w:pPr>
              <w:pStyle w:val="Compact"/>
              <w:jc w:val="center"/>
            </w:pPr>
            <w:r>
              <w:t>0.0</w:t>
            </w:r>
          </w:p>
        </w:tc>
        <w:tc>
          <w:tcPr>
            <w:tcW w:w="518" w:type="dxa"/>
            <w:tcBorders>
              <w:top w:val="nil"/>
              <w:left w:val="nil"/>
              <w:bottom w:val="nil"/>
              <w:right w:val="nil"/>
            </w:tcBorders>
          </w:tcPr>
          <w:p w14:paraId="247E65DB" w14:textId="77777777" w:rsidR="008E4EBD" w:rsidRDefault="00483AC6">
            <w:pPr>
              <w:pStyle w:val="Compact"/>
              <w:jc w:val="center"/>
            </w:pPr>
            <w:r>
              <w:t>0.4</w:t>
            </w:r>
          </w:p>
        </w:tc>
        <w:tc>
          <w:tcPr>
            <w:tcW w:w="1348" w:type="dxa"/>
            <w:tcBorders>
              <w:top w:val="nil"/>
              <w:left w:val="nil"/>
              <w:bottom w:val="nil"/>
              <w:right w:val="nil"/>
            </w:tcBorders>
          </w:tcPr>
          <w:p w14:paraId="247E65DC" w14:textId="77777777" w:rsidR="008E4EBD" w:rsidRDefault="00483AC6">
            <w:pPr>
              <w:pStyle w:val="Compact"/>
              <w:jc w:val="center"/>
            </w:pPr>
            <w:r>
              <w:t>1.007 (0.004)</w:t>
            </w:r>
          </w:p>
        </w:tc>
        <w:tc>
          <w:tcPr>
            <w:tcW w:w="1348" w:type="dxa"/>
            <w:tcBorders>
              <w:top w:val="nil"/>
              <w:left w:val="nil"/>
              <w:bottom w:val="nil"/>
              <w:right w:val="nil"/>
            </w:tcBorders>
          </w:tcPr>
          <w:p w14:paraId="247E65DD" w14:textId="77777777" w:rsidR="008E4EBD" w:rsidRDefault="00483AC6">
            <w:pPr>
              <w:pStyle w:val="Compact"/>
              <w:jc w:val="center"/>
            </w:pPr>
            <w:r>
              <w:t>0.498 (0.002)</w:t>
            </w:r>
          </w:p>
        </w:tc>
        <w:tc>
          <w:tcPr>
            <w:tcW w:w="1348" w:type="dxa"/>
            <w:tcBorders>
              <w:top w:val="nil"/>
              <w:left w:val="nil"/>
              <w:bottom w:val="nil"/>
              <w:right w:val="nil"/>
            </w:tcBorders>
          </w:tcPr>
          <w:p w14:paraId="247E65DE" w14:textId="77777777" w:rsidR="008E4EBD" w:rsidRDefault="00483AC6">
            <w:pPr>
              <w:pStyle w:val="Compact"/>
              <w:jc w:val="center"/>
            </w:pPr>
            <w:r>
              <w:t>0.575 (0.003)</w:t>
            </w:r>
          </w:p>
        </w:tc>
        <w:tc>
          <w:tcPr>
            <w:tcW w:w="1348" w:type="dxa"/>
            <w:tcBorders>
              <w:top w:val="nil"/>
              <w:left w:val="nil"/>
              <w:bottom w:val="nil"/>
              <w:right w:val="nil"/>
            </w:tcBorders>
          </w:tcPr>
          <w:p w14:paraId="247E65DF" w14:textId="77777777" w:rsidR="008E4EBD" w:rsidRDefault="00483AC6">
            <w:pPr>
              <w:pStyle w:val="Compact"/>
              <w:jc w:val="center"/>
            </w:pPr>
            <w:r>
              <w:t>0.475 (0.002)</w:t>
            </w:r>
          </w:p>
        </w:tc>
        <w:tc>
          <w:tcPr>
            <w:tcW w:w="1348" w:type="dxa"/>
            <w:tcBorders>
              <w:top w:val="nil"/>
              <w:left w:val="nil"/>
              <w:bottom w:val="nil"/>
              <w:right w:val="nil"/>
            </w:tcBorders>
          </w:tcPr>
          <w:p w14:paraId="247E65E0" w14:textId="77777777" w:rsidR="008E4EBD" w:rsidRDefault="00483AC6">
            <w:pPr>
              <w:pStyle w:val="Compact"/>
              <w:jc w:val="center"/>
            </w:pPr>
            <w:r>
              <w:t>0.461 (0.002)</w:t>
            </w:r>
          </w:p>
        </w:tc>
        <w:tc>
          <w:tcPr>
            <w:tcW w:w="1250" w:type="dxa"/>
            <w:tcBorders>
              <w:top w:val="nil"/>
              <w:left w:val="nil"/>
              <w:bottom w:val="nil"/>
              <w:right w:val="nil"/>
            </w:tcBorders>
          </w:tcPr>
          <w:p w14:paraId="247E65E1" w14:textId="77777777" w:rsidR="008E4EBD" w:rsidRDefault="00483AC6">
            <w:pPr>
              <w:pStyle w:val="Compact"/>
              <w:jc w:val="center"/>
            </w:pPr>
            <w:r>
              <w:t>0.460</w:t>
            </w:r>
          </w:p>
        </w:tc>
      </w:tr>
      <w:tr w:rsidR="008E4EBD" w14:paraId="247E65EB" w14:textId="77777777">
        <w:tc>
          <w:tcPr>
            <w:tcW w:w="518" w:type="dxa"/>
            <w:tcBorders>
              <w:top w:val="nil"/>
              <w:left w:val="nil"/>
              <w:bottom w:val="nil"/>
              <w:right w:val="nil"/>
            </w:tcBorders>
          </w:tcPr>
          <w:p w14:paraId="247E65E3" w14:textId="77777777" w:rsidR="008E4EBD" w:rsidRDefault="00483AC6">
            <w:pPr>
              <w:pStyle w:val="Compact"/>
              <w:jc w:val="center"/>
            </w:pPr>
            <w:r>
              <w:t>0.0</w:t>
            </w:r>
          </w:p>
        </w:tc>
        <w:tc>
          <w:tcPr>
            <w:tcW w:w="518" w:type="dxa"/>
            <w:tcBorders>
              <w:top w:val="nil"/>
              <w:left w:val="nil"/>
              <w:bottom w:val="nil"/>
              <w:right w:val="nil"/>
            </w:tcBorders>
          </w:tcPr>
          <w:p w14:paraId="247E65E4" w14:textId="77777777" w:rsidR="008E4EBD" w:rsidRDefault="00483AC6">
            <w:pPr>
              <w:pStyle w:val="Compact"/>
              <w:jc w:val="center"/>
            </w:pPr>
            <w:r>
              <w:t>0.8</w:t>
            </w:r>
          </w:p>
        </w:tc>
        <w:tc>
          <w:tcPr>
            <w:tcW w:w="1348" w:type="dxa"/>
            <w:tcBorders>
              <w:top w:val="nil"/>
              <w:left w:val="nil"/>
              <w:bottom w:val="nil"/>
              <w:right w:val="nil"/>
            </w:tcBorders>
          </w:tcPr>
          <w:p w14:paraId="247E65E5" w14:textId="77777777" w:rsidR="008E4EBD" w:rsidRDefault="00483AC6">
            <w:pPr>
              <w:pStyle w:val="Compact"/>
              <w:jc w:val="center"/>
            </w:pPr>
            <w:r>
              <w:t xml:space="preserve">1.011 </w:t>
            </w:r>
            <w:r>
              <w:lastRenderedPageBreak/>
              <w:t>(0.004)</w:t>
            </w:r>
          </w:p>
        </w:tc>
        <w:tc>
          <w:tcPr>
            <w:tcW w:w="1348" w:type="dxa"/>
            <w:tcBorders>
              <w:top w:val="nil"/>
              <w:left w:val="nil"/>
              <w:bottom w:val="nil"/>
              <w:right w:val="nil"/>
            </w:tcBorders>
          </w:tcPr>
          <w:p w14:paraId="247E65E6" w14:textId="77777777" w:rsidR="008E4EBD" w:rsidRDefault="00483AC6">
            <w:pPr>
              <w:pStyle w:val="Compact"/>
              <w:jc w:val="center"/>
            </w:pPr>
            <w:r>
              <w:lastRenderedPageBreak/>
              <w:t xml:space="preserve">0.502 </w:t>
            </w:r>
            <w:r>
              <w:lastRenderedPageBreak/>
              <w:t>(0.002)</w:t>
            </w:r>
          </w:p>
        </w:tc>
        <w:tc>
          <w:tcPr>
            <w:tcW w:w="1348" w:type="dxa"/>
            <w:tcBorders>
              <w:top w:val="nil"/>
              <w:left w:val="nil"/>
              <w:bottom w:val="nil"/>
              <w:right w:val="nil"/>
            </w:tcBorders>
          </w:tcPr>
          <w:p w14:paraId="247E65E7" w14:textId="77777777" w:rsidR="008E4EBD" w:rsidRDefault="00483AC6">
            <w:pPr>
              <w:pStyle w:val="Compact"/>
              <w:jc w:val="center"/>
            </w:pPr>
            <w:r>
              <w:lastRenderedPageBreak/>
              <w:t xml:space="preserve">0.833 </w:t>
            </w:r>
            <w:r>
              <w:lastRenderedPageBreak/>
              <w:t>(0.005)</w:t>
            </w:r>
          </w:p>
        </w:tc>
        <w:tc>
          <w:tcPr>
            <w:tcW w:w="1348" w:type="dxa"/>
            <w:tcBorders>
              <w:top w:val="nil"/>
              <w:left w:val="nil"/>
              <w:bottom w:val="nil"/>
              <w:right w:val="nil"/>
            </w:tcBorders>
          </w:tcPr>
          <w:p w14:paraId="247E65E8" w14:textId="77777777" w:rsidR="008E4EBD" w:rsidRDefault="00483AC6">
            <w:pPr>
              <w:pStyle w:val="Compact"/>
              <w:jc w:val="center"/>
            </w:pPr>
            <w:r>
              <w:lastRenderedPageBreak/>
              <w:t xml:space="preserve">0.376 </w:t>
            </w:r>
            <w:r>
              <w:lastRenderedPageBreak/>
              <w:t>(0.002)</w:t>
            </w:r>
          </w:p>
        </w:tc>
        <w:tc>
          <w:tcPr>
            <w:tcW w:w="1348" w:type="dxa"/>
            <w:tcBorders>
              <w:top w:val="nil"/>
              <w:left w:val="nil"/>
              <w:bottom w:val="nil"/>
              <w:right w:val="nil"/>
            </w:tcBorders>
          </w:tcPr>
          <w:p w14:paraId="247E65E9" w14:textId="77777777" w:rsidR="008E4EBD" w:rsidRDefault="00483AC6">
            <w:pPr>
              <w:pStyle w:val="Compact"/>
              <w:jc w:val="center"/>
            </w:pPr>
            <w:r>
              <w:lastRenderedPageBreak/>
              <w:t xml:space="preserve">0.361 </w:t>
            </w:r>
            <w:r>
              <w:lastRenderedPageBreak/>
              <w:t>(0.002)</w:t>
            </w:r>
          </w:p>
        </w:tc>
        <w:tc>
          <w:tcPr>
            <w:tcW w:w="1250" w:type="dxa"/>
            <w:tcBorders>
              <w:top w:val="nil"/>
              <w:left w:val="nil"/>
              <w:bottom w:val="nil"/>
              <w:right w:val="nil"/>
            </w:tcBorders>
          </w:tcPr>
          <w:p w14:paraId="247E65EA" w14:textId="77777777" w:rsidR="008E4EBD" w:rsidRDefault="00483AC6">
            <w:pPr>
              <w:pStyle w:val="Compact"/>
              <w:jc w:val="center"/>
            </w:pPr>
            <w:r>
              <w:lastRenderedPageBreak/>
              <w:t>0.360</w:t>
            </w:r>
          </w:p>
        </w:tc>
      </w:tr>
      <w:tr w:rsidR="008E4EBD" w14:paraId="247E65F4" w14:textId="77777777">
        <w:tc>
          <w:tcPr>
            <w:tcW w:w="518" w:type="dxa"/>
            <w:tcBorders>
              <w:top w:val="nil"/>
              <w:left w:val="nil"/>
              <w:bottom w:val="nil"/>
              <w:right w:val="nil"/>
            </w:tcBorders>
          </w:tcPr>
          <w:p w14:paraId="247E65EC" w14:textId="77777777" w:rsidR="008E4EBD" w:rsidRDefault="00483AC6">
            <w:pPr>
              <w:pStyle w:val="Compact"/>
              <w:jc w:val="center"/>
            </w:pPr>
            <w:r>
              <w:t>0.4</w:t>
            </w:r>
          </w:p>
        </w:tc>
        <w:tc>
          <w:tcPr>
            <w:tcW w:w="518" w:type="dxa"/>
            <w:tcBorders>
              <w:top w:val="nil"/>
              <w:left w:val="nil"/>
              <w:bottom w:val="nil"/>
              <w:right w:val="nil"/>
            </w:tcBorders>
          </w:tcPr>
          <w:p w14:paraId="247E65ED" w14:textId="77777777" w:rsidR="008E4EBD" w:rsidRDefault="00483AC6">
            <w:pPr>
              <w:pStyle w:val="Compact"/>
              <w:jc w:val="center"/>
            </w:pPr>
            <w:r>
              <w:t>0.0</w:t>
            </w:r>
          </w:p>
        </w:tc>
        <w:tc>
          <w:tcPr>
            <w:tcW w:w="1348" w:type="dxa"/>
            <w:tcBorders>
              <w:top w:val="nil"/>
              <w:left w:val="nil"/>
              <w:bottom w:val="nil"/>
              <w:right w:val="nil"/>
            </w:tcBorders>
          </w:tcPr>
          <w:p w14:paraId="247E65EE" w14:textId="77777777" w:rsidR="008E4EBD" w:rsidRDefault="00483AC6">
            <w:pPr>
              <w:pStyle w:val="Compact"/>
              <w:jc w:val="center"/>
            </w:pPr>
            <w:r>
              <w:t>1.001 (0.004)</w:t>
            </w:r>
          </w:p>
        </w:tc>
        <w:tc>
          <w:tcPr>
            <w:tcW w:w="1348" w:type="dxa"/>
            <w:tcBorders>
              <w:top w:val="nil"/>
              <w:left w:val="nil"/>
              <w:bottom w:val="nil"/>
              <w:right w:val="nil"/>
            </w:tcBorders>
          </w:tcPr>
          <w:p w14:paraId="247E65EF" w14:textId="77777777" w:rsidR="008E4EBD" w:rsidRDefault="00483AC6">
            <w:pPr>
              <w:pStyle w:val="Compact"/>
              <w:jc w:val="center"/>
            </w:pPr>
            <w:r>
              <w:t>0.495 (0.002)</w:t>
            </w:r>
          </w:p>
        </w:tc>
        <w:tc>
          <w:tcPr>
            <w:tcW w:w="1348" w:type="dxa"/>
            <w:tcBorders>
              <w:top w:val="nil"/>
              <w:left w:val="nil"/>
              <w:bottom w:val="nil"/>
              <w:right w:val="nil"/>
            </w:tcBorders>
          </w:tcPr>
          <w:p w14:paraId="247E65F0" w14:textId="77777777" w:rsidR="008E4EBD" w:rsidRDefault="00483AC6">
            <w:pPr>
              <w:pStyle w:val="Compact"/>
              <w:jc w:val="center"/>
            </w:pPr>
            <w:r>
              <w:t>0.474 (0.002)</w:t>
            </w:r>
          </w:p>
        </w:tc>
        <w:tc>
          <w:tcPr>
            <w:tcW w:w="1348" w:type="dxa"/>
            <w:tcBorders>
              <w:top w:val="nil"/>
              <w:left w:val="nil"/>
              <w:bottom w:val="nil"/>
              <w:right w:val="nil"/>
            </w:tcBorders>
          </w:tcPr>
          <w:p w14:paraId="247E65F1" w14:textId="77777777" w:rsidR="008E4EBD" w:rsidRDefault="00483AC6">
            <w:pPr>
              <w:pStyle w:val="Compact"/>
              <w:jc w:val="center"/>
            </w:pPr>
            <w:r>
              <w:t>0.474 (0.002)</w:t>
            </w:r>
          </w:p>
        </w:tc>
        <w:tc>
          <w:tcPr>
            <w:tcW w:w="1348" w:type="dxa"/>
            <w:tcBorders>
              <w:top w:val="nil"/>
              <w:left w:val="nil"/>
              <w:bottom w:val="nil"/>
              <w:right w:val="nil"/>
            </w:tcBorders>
          </w:tcPr>
          <w:p w14:paraId="247E65F2" w14:textId="77777777" w:rsidR="008E4EBD" w:rsidRDefault="00483AC6">
            <w:pPr>
              <w:pStyle w:val="Compact"/>
              <w:jc w:val="center"/>
            </w:pPr>
            <w:r>
              <w:t>0.462 (0.002)</w:t>
            </w:r>
          </w:p>
        </w:tc>
        <w:tc>
          <w:tcPr>
            <w:tcW w:w="1250" w:type="dxa"/>
            <w:tcBorders>
              <w:top w:val="nil"/>
              <w:left w:val="nil"/>
              <w:bottom w:val="nil"/>
              <w:right w:val="nil"/>
            </w:tcBorders>
          </w:tcPr>
          <w:p w14:paraId="247E65F3" w14:textId="77777777" w:rsidR="008E4EBD" w:rsidRDefault="00483AC6">
            <w:pPr>
              <w:pStyle w:val="Compact"/>
              <w:jc w:val="center"/>
            </w:pPr>
            <w:r>
              <w:t>0.458</w:t>
            </w:r>
          </w:p>
        </w:tc>
      </w:tr>
      <w:tr w:rsidR="008E4EBD" w14:paraId="247E65FD" w14:textId="77777777">
        <w:tc>
          <w:tcPr>
            <w:tcW w:w="518" w:type="dxa"/>
            <w:tcBorders>
              <w:top w:val="nil"/>
              <w:left w:val="nil"/>
              <w:bottom w:val="nil"/>
              <w:right w:val="nil"/>
            </w:tcBorders>
          </w:tcPr>
          <w:p w14:paraId="247E65F5" w14:textId="77777777" w:rsidR="008E4EBD" w:rsidRDefault="00483AC6">
            <w:pPr>
              <w:pStyle w:val="Compact"/>
              <w:jc w:val="center"/>
            </w:pPr>
            <w:r>
              <w:t>0.8</w:t>
            </w:r>
          </w:p>
        </w:tc>
        <w:tc>
          <w:tcPr>
            <w:tcW w:w="518" w:type="dxa"/>
            <w:tcBorders>
              <w:top w:val="nil"/>
              <w:left w:val="nil"/>
              <w:bottom w:val="nil"/>
              <w:right w:val="nil"/>
            </w:tcBorders>
          </w:tcPr>
          <w:p w14:paraId="247E65F6" w14:textId="77777777" w:rsidR="008E4EBD" w:rsidRDefault="00483AC6">
            <w:pPr>
              <w:pStyle w:val="Compact"/>
              <w:jc w:val="center"/>
            </w:pPr>
            <w:r>
              <w:t>0.0</w:t>
            </w:r>
          </w:p>
        </w:tc>
        <w:tc>
          <w:tcPr>
            <w:tcW w:w="1348" w:type="dxa"/>
            <w:tcBorders>
              <w:top w:val="nil"/>
              <w:left w:val="nil"/>
              <w:bottom w:val="nil"/>
              <w:right w:val="nil"/>
            </w:tcBorders>
          </w:tcPr>
          <w:p w14:paraId="247E65F7" w14:textId="77777777" w:rsidR="008E4EBD" w:rsidRDefault="00483AC6">
            <w:pPr>
              <w:pStyle w:val="Compact"/>
              <w:jc w:val="center"/>
            </w:pPr>
            <w:r>
              <w:t>0.997 (0.006)</w:t>
            </w:r>
          </w:p>
        </w:tc>
        <w:tc>
          <w:tcPr>
            <w:tcW w:w="1348" w:type="dxa"/>
            <w:tcBorders>
              <w:top w:val="nil"/>
              <w:left w:val="nil"/>
              <w:bottom w:val="nil"/>
              <w:right w:val="nil"/>
            </w:tcBorders>
          </w:tcPr>
          <w:p w14:paraId="247E65F8" w14:textId="77777777" w:rsidR="008E4EBD" w:rsidRDefault="00483AC6">
            <w:pPr>
              <w:pStyle w:val="Compact"/>
              <w:jc w:val="center"/>
            </w:pPr>
            <w:r>
              <w:t>0.493 (0.002)</w:t>
            </w:r>
          </w:p>
        </w:tc>
        <w:tc>
          <w:tcPr>
            <w:tcW w:w="1348" w:type="dxa"/>
            <w:tcBorders>
              <w:top w:val="nil"/>
              <w:left w:val="nil"/>
              <w:bottom w:val="nil"/>
              <w:right w:val="nil"/>
            </w:tcBorders>
          </w:tcPr>
          <w:p w14:paraId="247E65F9" w14:textId="77777777" w:rsidR="008E4EBD" w:rsidRDefault="00483AC6">
            <w:pPr>
              <w:pStyle w:val="Compact"/>
              <w:jc w:val="center"/>
            </w:pPr>
            <w:r>
              <w:t>0.370 (0.002)</w:t>
            </w:r>
          </w:p>
        </w:tc>
        <w:tc>
          <w:tcPr>
            <w:tcW w:w="1348" w:type="dxa"/>
            <w:tcBorders>
              <w:top w:val="nil"/>
              <w:left w:val="nil"/>
              <w:bottom w:val="nil"/>
              <w:right w:val="nil"/>
            </w:tcBorders>
          </w:tcPr>
          <w:p w14:paraId="247E65FA" w14:textId="77777777" w:rsidR="008E4EBD" w:rsidRDefault="00483AC6">
            <w:pPr>
              <w:pStyle w:val="Compact"/>
              <w:jc w:val="center"/>
            </w:pPr>
            <w:r>
              <w:t>0.370 (0.002)</w:t>
            </w:r>
          </w:p>
        </w:tc>
        <w:tc>
          <w:tcPr>
            <w:tcW w:w="1348" w:type="dxa"/>
            <w:tcBorders>
              <w:top w:val="nil"/>
              <w:left w:val="nil"/>
              <w:bottom w:val="nil"/>
              <w:right w:val="nil"/>
            </w:tcBorders>
          </w:tcPr>
          <w:p w14:paraId="247E65FB" w14:textId="77777777" w:rsidR="008E4EBD" w:rsidRDefault="00483AC6">
            <w:pPr>
              <w:pStyle w:val="Compact"/>
              <w:jc w:val="center"/>
            </w:pPr>
            <w:r>
              <w:t>0.358 (0.002)</w:t>
            </w:r>
          </w:p>
        </w:tc>
        <w:tc>
          <w:tcPr>
            <w:tcW w:w="1250" w:type="dxa"/>
            <w:tcBorders>
              <w:top w:val="nil"/>
              <w:left w:val="nil"/>
              <w:bottom w:val="nil"/>
              <w:right w:val="nil"/>
            </w:tcBorders>
          </w:tcPr>
          <w:p w14:paraId="247E65FC" w14:textId="77777777" w:rsidR="008E4EBD" w:rsidRDefault="00483AC6">
            <w:pPr>
              <w:pStyle w:val="Compact"/>
              <w:jc w:val="center"/>
            </w:pPr>
            <w:r>
              <w:t>0.355</w:t>
            </w:r>
          </w:p>
        </w:tc>
      </w:tr>
      <w:tr w:rsidR="008E4EBD" w14:paraId="247E6606" w14:textId="77777777">
        <w:tc>
          <w:tcPr>
            <w:tcW w:w="518" w:type="dxa"/>
            <w:tcBorders>
              <w:top w:val="nil"/>
              <w:left w:val="nil"/>
              <w:bottom w:val="nil"/>
              <w:right w:val="nil"/>
            </w:tcBorders>
          </w:tcPr>
          <w:p w14:paraId="247E65FE" w14:textId="77777777" w:rsidR="008E4EBD" w:rsidRDefault="00483AC6">
            <w:pPr>
              <w:pStyle w:val="Compact"/>
              <w:jc w:val="center"/>
            </w:pPr>
            <w:r>
              <w:t>0.4</w:t>
            </w:r>
          </w:p>
        </w:tc>
        <w:tc>
          <w:tcPr>
            <w:tcW w:w="518" w:type="dxa"/>
            <w:tcBorders>
              <w:top w:val="nil"/>
              <w:left w:val="nil"/>
              <w:bottom w:val="nil"/>
              <w:right w:val="nil"/>
            </w:tcBorders>
          </w:tcPr>
          <w:p w14:paraId="247E65FF" w14:textId="77777777" w:rsidR="008E4EBD" w:rsidRDefault="00483AC6">
            <w:pPr>
              <w:pStyle w:val="Compact"/>
              <w:jc w:val="center"/>
            </w:pPr>
            <w:r>
              <w:t>0.4</w:t>
            </w:r>
          </w:p>
        </w:tc>
        <w:tc>
          <w:tcPr>
            <w:tcW w:w="1348" w:type="dxa"/>
            <w:tcBorders>
              <w:top w:val="nil"/>
              <w:left w:val="nil"/>
              <w:bottom w:val="nil"/>
              <w:right w:val="nil"/>
            </w:tcBorders>
          </w:tcPr>
          <w:p w14:paraId="247E6600" w14:textId="77777777" w:rsidR="008E4EBD" w:rsidRDefault="00483AC6">
            <w:pPr>
              <w:pStyle w:val="Compact"/>
              <w:jc w:val="center"/>
            </w:pPr>
            <w:r>
              <w:t>1.003 (0.004)</w:t>
            </w:r>
          </w:p>
        </w:tc>
        <w:tc>
          <w:tcPr>
            <w:tcW w:w="1348" w:type="dxa"/>
            <w:tcBorders>
              <w:top w:val="nil"/>
              <w:left w:val="nil"/>
              <w:bottom w:val="nil"/>
              <w:right w:val="nil"/>
            </w:tcBorders>
          </w:tcPr>
          <w:p w14:paraId="247E6601" w14:textId="77777777" w:rsidR="008E4EBD" w:rsidRDefault="00483AC6">
            <w:pPr>
              <w:pStyle w:val="Compact"/>
              <w:jc w:val="center"/>
            </w:pPr>
            <w:r>
              <w:t>0.498 (0.002)</w:t>
            </w:r>
          </w:p>
        </w:tc>
        <w:tc>
          <w:tcPr>
            <w:tcW w:w="1348" w:type="dxa"/>
            <w:tcBorders>
              <w:top w:val="nil"/>
              <w:left w:val="nil"/>
              <w:bottom w:val="nil"/>
              <w:right w:val="nil"/>
            </w:tcBorders>
          </w:tcPr>
          <w:p w14:paraId="247E6602" w14:textId="77777777" w:rsidR="008E4EBD" w:rsidRDefault="00483AC6">
            <w:pPr>
              <w:pStyle w:val="Compact"/>
              <w:jc w:val="center"/>
            </w:pPr>
            <w:r>
              <w:t>0.579 (0.003)</w:t>
            </w:r>
          </w:p>
        </w:tc>
        <w:tc>
          <w:tcPr>
            <w:tcW w:w="1348" w:type="dxa"/>
            <w:tcBorders>
              <w:top w:val="nil"/>
              <w:left w:val="nil"/>
              <w:bottom w:val="nil"/>
              <w:right w:val="nil"/>
            </w:tcBorders>
          </w:tcPr>
          <w:p w14:paraId="247E6603" w14:textId="77777777" w:rsidR="008E4EBD" w:rsidRDefault="00483AC6">
            <w:pPr>
              <w:pStyle w:val="Compact"/>
              <w:jc w:val="center"/>
            </w:pPr>
            <w:r>
              <w:t>0.500 (0.002)</w:t>
            </w:r>
          </w:p>
        </w:tc>
        <w:tc>
          <w:tcPr>
            <w:tcW w:w="1348" w:type="dxa"/>
            <w:tcBorders>
              <w:top w:val="nil"/>
              <w:left w:val="nil"/>
              <w:bottom w:val="nil"/>
              <w:right w:val="nil"/>
            </w:tcBorders>
          </w:tcPr>
          <w:p w14:paraId="247E6604" w14:textId="77777777" w:rsidR="008E4EBD" w:rsidRDefault="00483AC6">
            <w:pPr>
              <w:pStyle w:val="Compact"/>
              <w:jc w:val="center"/>
            </w:pPr>
            <w:r>
              <w:t>0.487 (0.002)</w:t>
            </w:r>
          </w:p>
        </w:tc>
        <w:tc>
          <w:tcPr>
            <w:tcW w:w="1250" w:type="dxa"/>
            <w:tcBorders>
              <w:top w:val="nil"/>
              <w:left w:val="nil"/>
              <w:bottom w:val="nil"/>
              <w:right w:val="nil"/>
            </w:tcBorders>
          </w:tcPr>
          <w:p w14:paraId="247E6605" w14:textId="77777777" w:rsidR="008E4EBD" w:rsidRDefault="00483AC6">
            <w:pPr>
              <w:pStyle w:val="Compact"/>
              <w:jc w:val="center"/>
            </w:pPr>
            <w:r>
              <w:t>0.485</w:t>
            </w:r>
          </w:p>
        </w:tc>
      </w:tr>
      <w:tr w:rsidR="008E4EBD" w14:paraId="247E660F" w14:textId="77777777">
        <w:tc>
          <w:tcPr>
            <w:tcW w:w="518" w:type="dxa"/>
            <w:tcBorders>
              <w:top w:val="nil"/>
              <w:left w:val="nil"/>
              <w:bottom w:val="nil"/>
              <w:right w:val="nil"/>
            </w:tcBorders>
          </w:tcPr>
          <w:p w14:paraId="247E6607" w14:textId="77777777" w:rsidR="008E4EBD" w:rsidRDefault="00483AC6">
            <w:pPr>
              <w:pStyle w:val="Compact"/>
              <w:jc w:val="center"/>
            </w:pPr>
            <w:r>
              <w:t>0.4</w:t>
            </w:r>
          </w:p>
        </w:tc>
        <w:tc>
          <w:tcPr>
            <w:tcW w:w="518" w:type="dxa"/>
            <w:tcBorders>
              <w:top w:val="nil"/>
              <w:left w:val="nil"/>
              <w:bottom w:val="nil"/>
              <w:right w:val="nil"/>
            </w:tcBorders>
          </w:tcPr>
          <w:p w14:paraId="247E6608" w14:textId="77777777" w:rsidR="008E4EBD" w:rsidRDefault="00483AC6">
            <w:pPr>
              <w:pStyle w:val="Compact"/>
              <w:jc w:val="center"/>
            </w:pPr>
            <w:r>
              <w:t>0.8</w:t>
            </w:r>
          </w:p>
        </w:tc>
        <w:tc>
          <w:tcPr>
            <w:tcW w:w="1348" w:type="dxa"/>
            <w:tcBorders>
              <w:top w:val="nil"/>
              <w:left w:val="nil"/>
              <w:bottom w:val="nil"/>
              <w:right w:val="nil"/>
            </w:tcBorders>
          </w:tcPr>
          <w:p w14:paraId="247E6609" w14:textId="77777777" w:rsidR="008E4EBD" w:rsidRDefault="00483AC6">
            <w:pPr>
              <w:pStyle w:val="Compact"/>
              <w:jc w:val="center"/>
            </w:pPr>
            <w:r>
              <w:t>1.006 (0.005)</w:t>
            </w:r>
          </w:p>
        </w:tc>
        <w:tc>
          <w:tcPr>
            <w:tcW w:w="1348" w:type="dxa"/>
            <w:tcBorders>
              <w:top w:val="nil"/>
              <w:left w:val="nil"/>
              <w:bottom w:val="nil"/>
              <w:right w:val="nil"/>
            </w:tcBorders>
          </w:tcPr>
          <w:p w14:paraId="247E660A" w14:textId="77777777" w:rsidR="008E4EBD" w:rsidRDefault="00483AC6">
            <w:pPr>
              <w:pStyle w:val="Compact"/>
              <w:jc w:val="center"/>
            </w:pPr>
            <w:r>
              <w:t>0.502 (0.003)</w:t>
            </w:r>
          </w:p>
        </w:tc>
        <w:tc>
          <w:tcPr>
            <w:tcW w:w="1348" w:type="dxa"/>
            <w:tcBorders>
              <w:top w:val="nil"/>
              <w:left w:val="nil"/>
              <w:bottom w:val="nil"/>
              <w:right w:val="nil"/>
            </w:tcBorders>
          </w:tcPr>
          <w:p w14:paraId="247E660B" w14:textId="77777777" w:rsidR="008E4EBD" w:rsidRDefault="00483AC6">
            <w:pPr>
              <w:pStyle w:val="Compact"/>
              <w:jc w:val="center"/>
            </w:pPr>
            <w:r>
              <w:t>0.843 (0.005)</w:t>
            </w:r>
          </w:p>
        </w:tc>
        <w:tc>
          <w:tcPr>
            <w:tcW w:w="1348" w:type="dxa"/>
            <w:tcBorders>
              <w:top w:val="nil"/>
              <w:left w:val="nil"/>
              <w:bottom w:val="nil"/>
              <w:right w:val="nil"/>
            </w:tcBorders>
          </w:tcPr>
          <w:p w14:paraId="247E660C" w14:textId="77777777" w:rsidR="008E4EBD" w:rsidRDefault="00483AC6">
            <w:pPr>
              <w:pStyle w:val="Compact"/>
              <w:jc w:val="center"/>
            </w:pPr>
            <w:r>
              <w:t>0.455 (0.002)</w:t>
            </w:r>
          </w:p>
        </w:tc>
        <w:tc>
          <w:tcPr>
            <w:tcW w:w="1348" w:type="dxa"/>
            <w:tcBorders>
              <w:top w:val="nil"/>
              <w:left w:val="nil"/>
              <w:bottom w:val="nil"/>
              <w:right w:val="nil"/>
            </w:tcBorders>
          </w:tcPr>
          <w:p w14:paraId="247E660D" w14:textId="77777777" w:rsidR="008E4EBD" w:rsidRDefault="00483AC6">
            <w:pPr>
              <w:pStyle w:val="Compact"/>
              <w:jc w:val="center"/>
            </w:pPr>
            <w:r>
              <w:t>0.440 (0.002)</w:t>
            </w:r>
          </w:p>
        </w:tc>
        <w:tc>
          <w:tcPr>
            <w:tcW w:w="1250" w:type="dxa"/>
            <w:tcBorders>
              <w:top w:val="nil"/>
              <w:left w:val="nil"/>
              <w:bottom w:val="nil"/>
              <w:right w:val="nil"/>
            </w:tcBorders>
          </w:tcPr>
          <w:p w14:paraId="247E660E" w14:textId="77777777" w:rsidR="008E4EBD" w:rsidRDefault="00483AC6">
            <w:pPr>
              <w:pStyle w:val="Compact"/>
              <w:jc w:val="center"/>
            </w:pPr>
            <w:r>
              <w:t>0.438</w:t>
            </w:r>
          </w:p>
        </w:tc>
      </w:tr>
      <w:tr w:rsidR="008E4EBD" w14:paraId="247E6618" w14:textId="77777777">
        <w:tc>
          <w:tcPr>
            <w:tcW w:w="518" w:type="dxa"/>
            <w:tcBorders>
              <w:top w:val="nil"/>
              <w:left w:val="nil"/>
              <w:bottom w:val="nil"/>
              <w:right w:val="nil"/>
            </w:tcBorders>
          </w:tcPr>
          <w:p w14:paraId="247E6610" w14:textId="77777777" w:rsidR="008E4EBD" w:rsidRDefault="00483AC6">
            <w:pPr>
              <w:pStyle w:val="Compact"/>
              <w:jc w:val="center"/>
            </w:pPr>
            <w:r>
              <w:t>0.8</w:t>
            </w:r>
          </w:p>
        </w:tc>
        <w:tc>
          <w:tcPr>
            <w:tcW w:w="518" w:type="dxa"/>
            <w:tcBorders>
              <w:top w:val="nil"/>
              <w:left w:val="nil"/>
              <w:bottom w:val="nil"/>
              <w:right w:val="nil"/>
            </w:tcBorders>
          </w:tcPr>
          <w:p w14:paraId="247E6611" w14:textId="77777777" w:rsidR="008E4EBD" w:rsidRDefault="00483AC6">
            <w:pPr>
              <w:pStyle w:val="Compact"/>
              <w:jc w:val="center"/>
            </w:pPr>
            <w:r>
              <w:t>0.4</w:t>
            </w:r>
          </w:p>
        </w:tc>
        <w:tc>
          <w:tcPr>
            <w:tcW w:w="1348" w:type="dxa"/>
            <w:tcBorders>
              <w:top w:val="nil"/>
              <w:left w:val="nil"/>
              <w:bottom w:val="nil"/>
              <w:right w:val="nil"/>
            </w:tcBorders>
          </w:tcPr>
          <w:p w14:paraId="247E6612" w14:textId="77777777" w:rsidR="008E4EBD" w:rsidRDefault="00483AC6">
            <w:pPr>
              <w:pStyle w:val="Compact"/>
              <w:jc w:val="center"/>
            </w:pPr>
            <w:r>
              <w:t>0.999 (0.006)</w:t>
            </w:r>
          </w:p>
        </w:tc>
        <w:tc>
          <w:tcPr>
            <w:tcW w:w="1348" w:type="dxa"/>
            <w:tcBorders>
              <w:top w:val="nil"/>
              <w:left w:val="nil"/>
              <w:bottom w:val="nil"/>
              <w:right w:val="nil"/>
            </w:tcBorders>
          </w:tcPr>
          <w:p w14:paraId="247E6613" w14:textId="77777777" w:rsidR="008E4EBD" w:rsidRDefault="00483AC6">
            <w:pPr>
              <w:pStyle w:val="Compact"/>
              <w:jc w:val="center"/>
            </w:pPr>
            <w:r>
              <w:t>0.497 (0.003)</w:t>
            </w:r>
          </w:p>
        </w:tc>
        <w:tc>
          <w:tcPr>
            <w:tcW w:w="1348" w:type="dxa"/>
            <w:tcBorders>
              <w:top w:val="nil"/>
              <w:left w:val="nil"/>
              <w:bottom w:val="nil"/>
              <w:right w:val="nil"/>
            </w:tcBorders>
          </w:tcPr>
          <w:p w14:paraId="247E6614" w14:textId="77777777" w:rsidR="008E4EBD" w:rsidRDefault="00483AC6">
            <w:pPr>
              <w:pStyle w:val="Compact"/>
              <w:jc w:val="center"/>
            </w:pPr>
            <w:r>
              <w:t>0.496 (0.003)</w:t>
            </w:r>
          </w:p>
        </w:tc>
        <w:tc>
          <w:tcPr>
            <w:tcW w:w="1348" w:type="dxa"/>
            <w:tcBorders>
              <w:top w:val="nil"/>
              <w:left w:val="nil"/>
              <w:bottom w:val="nil"/>
              <w:right w:val="nil"/>
            </w:tcBorders>
          </w:tcPr>
          <w:p w14:paraId="247E6615" w14:textId="77777777" w:rsidR="008E4EBD" w:rsidRDefault="00483AC6">
            <w:pPr>
              <w:pStyle w:val="Compact"/>
              <w:jc w:val="center"/>
            </w:pPr>
            <w:r>
              <w:t>0.448 (0.002)</w:t>
            </w:r>
          </w:p>
        </w:tc>
        <w:tc>
          <w:tcPr>
            <w:tcW w:w="1348" w:type="dxa"/>
            <w:tcBorders>
              <w:top w:val="nil"/>
              <w:left w:val="nil"/>
              <w:bottom w:val="nil"/>
              <w:right w:val="nil"/>
            </w:tcBorders>
          </w:tcPr>
          <w:p w14:paraId="247E6616" w14:textId="77777777" w:rsidR="008E4EBD" w:rsidRDefault="00483AC6">
            <w:pPr>
              <w:pStyle w:val="Compact"/>
              <w:jc w:val="center"/>
            </w:pPr>
            <w:r>
              <w:t>0.435 (0.002)</w:t>
            </w:r>
          </w:p>
        </w:tc>
        <w:tc>
          <w:tcPr>
            <w:tcW w:w="1250" w:type="dxa"/>
            <w:tcBorders>
              <w:top w:val="nil"/>
              <w:left w:val="nil"/>
              <w:bottom w:val="nil"/>
              <w:right w:val="nil"/>
            </w:tcBorders>
          </w:tcPr>
          <w:p w14:paraId="247E6617" w14:textId="77777777" w:rsidR="008E4EBD" w:rsidRDefault="00483AC6">
            <w:pPr>
              <w:pStyle w:val="Compact"/>
              <w:jc w:val="center"/>
            </w:pPr>
            <w:r>
              <w:t>0.431</w:t>
            </w:r>
          </w:p>
        </w:tc>
      </w:tr>
      <w:tr w:rsidR="008E4EBD" w14:paraId="247E6621" w14:textId="77777777">
        <w:tc>
          <w:tcPr>
            <w:tcW w:w="518" w:type="dxa"/>
            <w:tcBorders>
              <w:top w:val="nil"/>
              <w:left w:val="nil"/>
              <w:bottom w:val="single" w:sz="12" w:space="0" w:color="auto"/>
              <w:right w:val="nil"/>
            </w:tcBorders>
          </w:tcPr>
          <w:p w14:paraId="247E6619" w14:textId="77777777" w:rsidR="008E4EBD" w:rsidRDefault="00483AC6">
            <w:pPr>
              <w:pStyle w:val="Compact"/>
              <w:jc w:val="center"/>
            </w:pPr>
            <w:r>
              <w:t>0.8</w:t>
            </w:r>
          </w:p>
        </w:tc>
        <w:tc>
          <w:tcPr>
            <w:tcW w:w="518" w:type="dxa"/>
            <w:tcBorders>
              <w:top w:val="nil"/>
              <w:left w:val="nil"/>
              <w:bottom w:val="single" w:sz="12" w:space="0" w:color="auto"/>
              <w:right w:val="nil"/>
            </w:tcBorders>
          </w:tcPr>
          <w:p w14:paraId="247E661A" w14:textId="77777777" w:rsidR="008E4EBD" w:rsidRDefault="00483AC6">
            <w:pPr>
              <w:pStyle w:val="Compact"/>
              <w:jc w:val="center"/>
            </w:pPr>
            <w:r>
              <w:t>0.8</w:t>
            </w:r>
          </w:p>
        </w:tc>
        <w:tc>
          <w:tcPr>
            <w:tcW w:w="1348" w:type="dxa"/>
            <w:tcBorders>
              <w:top w:val="nil"/>
              <w:left w:val="nil"/>
              <w:bottom w:val="single" w:sz="12" w:space="0" w:color="auto"/>
              <w:right w:val="nil"/>
            </w:tcBorders>
          </w:tcPr>
          <w:p w14:paraId="247E661B" w14:textId="77777777" w:rsidR="008E4EBD" w:rsidRDefault="00483AC6">
            <w:pPr>
              <w:pStyle w:val="Compact"/>
              <w:jc w:val="center"/>
            </w:pPr>
            <w:r>
              <w:t>1.002 (0.006)</w:t>
            </w:r>
          </w:p>
        </w:tc>
        <w:tc>
          <w:tcPr>
            <w:tcW w:w="1348" w:type="dxa"/>
            <w:tcBorders>
              <w:top w:val="nil"/>
              <w:left w:val="nil"/>
              <w:bottom w:val="single" w:sz="12" w:space="0" w:color="auto"/>
              <w:right w:val="nil"/>
            </w:tcBorders>
          </w:tcPr>
          <w:p w14:paraId="247E661C" w14:textId="77777777" w:rsidR="008E4EBD" w:rsidRDefault="00483AC6">
            <w:pPr>
              <w:pStyle w:val="Compact"/>
              <w:jc w:val="center"/>
            </w:pPr>
            <w:r>
              <w:t>0.502 (0.003)</w:t>
            </w:r>
          </w:p>
        </w:tc>
        <w:tc>
          <w:tcPr>
            <w:tcW w:w="1348" w:type="dxa"/>
            <w:tcBorders>
              <w:top w:val="nil"/>
              <w:left w:val="nil"/>
              <w:bottom w:val="single" w:sz="12" w:space="0" w:color="auto"/>
              <w:right w:val="nil"/>
            </w:tcBorders>
          </w:tcPr>
          <w:p w14:paraId="247E661D" w14:textId="77777777" w:rsidR="008E4EBD" w:rsidRDefault="00483AC6">
            <w:pPr>
              <w:pStyle w:val="Compact"/>
              <w:jc w:val="center"/>
            </w:pPr>
            <w:r>
              <w:t>0.702 (0.004)</w:t>
            </w:r>
          </w:p>
        </w:tc>
        <w:tc>
          <w:tcPr>
            <w:tcW w:w="1348" w:type="dxa"/>
            <w:tcBorders>
              <w:top w:val="nil"/>
              <w:left w:val="nil"/>
              <w:bottom w:val="single" w:sz="12" w:space="0" w:color="auto"/>
              <w:right w:val="nil"/>
            </w:tcBorders>
          </w:tcPr>
          <w:p w14:paraId="247E661E" w14:textId="77777777" w:rsidR="008E4EBD" w:rsidRDefault="00483AC6">
            <w:pPr>
              <w:pStyle w:val="Compact"/>
              <w:jc w:val="center"/>
            </w:pPr>
            <w:r>
              <w:t>0.487 (0.003)</w:t>
            </w:r>
          </w:p>
        </w:tc>
        <w:tc>
          <w:tcPr>
            <w:tcW w:w="1348" w:type="dxa"/>
            <w:tcBorders>
              <w:top w:val="nil"/>
              <w:left w:val="nil"/>
              <w:bottom w:val="single" w:sz="12" w:space="0" w:color="auto"/>
              <w:right w:val="nil"/>
            </w:tcBorders>
          </w:tcPr>
          <w:p w14:paraId="247E661F" w14:textId="77777777" w:rsidR="008E4EBD" w:rsidRDefault="00483AC6">
            <w:pPr>
              <w:pStyle w:val="Compact"/>
              <w:jc w:val="center"/>
            </w:pPr>
            <w:r>
              <w:t>0.472 (0.003)</w:t>
            </w:r>
          </w:p>
        </w:tc>
        <w:tc>
          <w:tcPr>
            <w:tcW w:w="1250" w:type="dxa"/>
            <w:tcBorders>
              <w:top w:val="nil"/>
              <w:left w:val="nil"/>
              <w:bottom w:val="single" w:sz="12" w:space="0" w:color="auto"/>
              <w:right w:val="nil"/>
            </w:tcBorders>
          </w:tcPr>
          <w:p w14:paraId="247E6620" w14:textId="77777777" w:rsidR="008E4EBD" w:rsidRDefault="00483AC6">
            <w:pPr>
              <w:pStyle w:val="Compact"/>
              <w:jc w:val="center"/>
            </w:pPr>
            <w:r>
              <w:t>0.470</w:t>
            </w:r>
          </w:p>
        </w:tc>
      </w:tr>
    </w:tbl>
    <w:p w14:paraId="247E6622" w14:textId="0EE2E8AE" w:rsidR="008E4EBD" w:rsidRDefault="00483AC6">
      <w:pPr>
        <w:pStyle w:val="BodyText"/>
      </w:pPr>
      <w:r>
        <w:t>Table A.2 reports the missing-cell results. The theoretical leading term for missing cells equals A = 1 whenever ρ_u = 0, irrespective of ρ_e: sampling-error autocorrelation alone creates no information about a missing area-year, because C_mo = G_mo = 0. The oracle confirms this known-parameter benchmark (0.996 in all three Group A scenarios, with Monte Carlo variation around the theoretical value of 1.000). The feasible synthetic predictor uses estimated β, and MFH-full pays a small additional estimation p</w:t>
      </w:r>
      <w:r>
        <w:t>remium while correctly learning the absence of borrowing opportunities. MFH-diag instead manufactures spurious borrowing and is worse than synthetic prediction whenever ρ_e &gt; ρ_u. Where genuine persistence exists, MFH-full nearly attains the oracle bound, while MFH-diag forfeits between half and all of the achievable gain.</w:t>
      </w:r>
    </w:p>
    <w:p w14:paraId="247E6623" w14:textId="77777777" w:rsidR="008E4EBD" w:rsidRDefault="00483AC6">
      <w:pPr>
        <w:pStyle w:val="BodyText"/>
      </w:pPr>
      <w:r>
        <w:t>Table A.2—Missing Area-Years: Empirical MSE, Monte Carlo Standard Errors, and Theoretical Benchmark</w:t>
      </w:r>
    </w:p>
    <w:tbl>
      <w:tblPr>
        <w:tblStyle w:val="Table"/>
        <w:tblW w:w="9026" w:type="dxa"/>
        <w:tblLayout w:type="fixed"/>
        <w:tblLook w:val="07E0" w:firstRow="1" w:lastRow="1" w:firstColumn="1" w:lastColumn="1" w:noHBand="1" w:noVBand="1"/>
      </w:tblPr>
      <w:tblGrid>
        <w:gridCol w:w="593"/>
        <w:gridCol w:w="593"/>
        <w:gridCol w:w="1781"/>
        <w:gridCol w:w="1543"/>
        <w:gridCol w:w="1543"/>
        <w:gridCol w:w="1543"/>
        <w:gridCol w:w="1430"/>
      </w:tblGrid>
      <w:tr w:rsidR="008E4EBD" w14:paraId="247E662B" w14:textId="77777777">
        <w:tc>
          <w:tcPr>
            <w:tcW w:w="593" w:type="dxa"/>
            <w:tcBorders>
              <w:top w:val="single" w:sz="12" w:space="0" w:color="auto"/>
              <w:left w:val="nil"/>
              <w:bottom w:val="single" w:sz="4" w:space="0" w:color="auto"/>
              <w:right w:val="nil"/>
            </w:tcBorders>
            <w:vAlign w:val="bottom"/>
          </w:tcPr>
          <w:p w14:paraId="247E6624"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593" w:type="dxa"/>
            <w:tcBorders>
              <w:top w:val="single" w:sz="12" w:space="0" w:color="auto"/>
              <w:left w:val="nil"/>
              <w:bottom w:val="single" w:sz="4" w:space="0" w:color="auto"/>
              <w:right w:val="nil"/>
            </w:tcBorders>
            <w:vAlign w:val="bottom"/>
          </w:tcPr>
          <w:p w14:paraId="247E6625"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1781" w:type="dxa"/>
            <w:tcBorders>
              <w:top w:val="single" w:sz="12" w:space="0" w:color="auto"/>
              <w:left w:val="nil"/>
              <w:bottom w:val="single" w:sz="4" w:space="0" w:color="auto"/>
              <w:right w:val="nil"/>
            </w:tcBorders>
            <w:vAlign w:val="bottom"/>
          </w:tcPr>
          <w:p w14:paraId="247E6626" w14:textId="77777777" w:rsidR="008E4EBD" w:rsidRDefault="00483AC6">
            <w:pPr>
              <w:pStyle w:val="Compact"/>
              <w:jc w:val="center"/>
            </w:pPr>
            <w:r>
              <w:rPr>
                <w:b/>
                <w:bCs/>
              </w:rPr>
              <w:t>Synthetic (UFH)</w:t>
            </w:r>
          </w:p>
        </w:tc>
        <w:tc>
          <w:tcPr>
            <w:tcW w:w="1543" w:type="dxa"/>
            <w:tcBorders>
              <w:top w:val="single" w:sz="12" w:space="0" w:color="auto"/>
              <w:left w:val="nil"/>
              <w:bottom w:val="single" w:sz="4" w:space="0" w:color="auto"/>
              <w:right w:val="nil"/>
            </w:tcBorders>
            <w:vAlign w:val="bottom"/>
          </w:tcPr>
          <w:p w14:paraId="247E6627" w14:textId="77777777" w:rsidR="008E4EBD" w:rsidRDefault="00483AC6">
            <w:pPr>
              <w:pStyle w:val="Compact"/>
              <w:jc w:val="center"/>
            </w:pPr>
            <w:r>
              <w:rPr>
                <w:b/>
                <w:bCs/>
              </w:rPr>
              <w:t>MFH-diag</w:t>
            </w:r>
          </w:p>
        </w:tc>
        <w:tc>
          <w:tcPr>
            <w:tcW w:w="1543" w:type="dxa"/>
            <w:tcBorders>
              <w:top w:val="single" w:sz="12" w:space="0" w:color="auto"/>
              <w:left w:val="nil"/>
              <w:bottom w:val="single" w:sz="4" w:space="0" w:color="auto"/>
              <w:right w:val="nil"/>
            </w:tcBorders>
            <w:vAlign w:val="bottom"/>
          </w:tcPr>
          <w:p w14:paraId="247E6628" w14:textId="77777777" w:rsidR="008E4EBD" w:rsidRDefault="00483AC6">
            <w:pPr>
              <w:pStyle w:val="Compact"/>
              <w:jc w:val="center"/>
            </w:pPr>
            <w:r>
              <w:rPr>
                <w:b/>
                <w:bCs/>
              </w:rPr>
              <w:t>MFH-full</w:t>
            </w:r>
          </w:p>
        </w:tc>
        <w:tc>
          <w:tcPr>
            <w:tcW w:w="1543" w:type="dxa"/>
            <w:tcBorders>
              <w:top w:val="single" w:sz="12" w:space="0" w:color="auto"/>
              <w:left w:val="nil"/>
              <w:bottom w:val="single" w:sz="4" w:space="0" w:color="auto"/>
              <w:right w:val="nil"/>
            </w:tcBorders>
            <w:vAlign w:val="bottom"/>
          </w:tcPr>
          <w:p w14:paraId="247E6629" w14:textId="77777777" w:rsidR="008E4EBD" w:rsidRDefault="00483AC6">
            <w:pPr>
              <w:pStyle w:val="Compact"/>
              <w:jc w:val="center"/>
            </w:pPr>
            <w:r>
              <w:rPr>
                <w:b/>
                <w:bCs/>
              </w:rPr>
              <w:t>Oracle BLUP</w:t>
            </w:r>
          </w:p>
        </w:tc>
        <w:tc>
          <w:tcPr>
            <w:tcW w:w="1430" w:type="dxa"/>
            <w:tcBorders>
              <w:top w:val="single" w:sz="12" w:space="0" w:color="auto"/>
              <w:left w:val="nil"/>
              <w:bottom w:val="single" w:sz="4" w:space="0" w:color="auto"/>
              <w:right w:val="nil"/>
            </w:tcBorders>
            <w:vAlign w:val="bottom"/>
          </w:tcPr>
          <w:p w14:paraId="247E662A" w14:textId="77777777" w:rsidR="008E4EBD" w:rsidRDefault="00483AC6">
            <w:pPr>
              <w:pStyle w:val="Compact"/>
              <w:jc w:val="center"/>
            </w:pPr>
            <w:r>
              <w:rPr>
                <w:b/>
                <w:bCs/>
              </w:rPr>
              <w:t>Leading term</w:t>
            </w:r>
          </w:p>
        </w:tc>
      </w:tr>
      <w:tr w:rsidR="008E4EBD" w14:paraId="247E6633" w14:textId="77777777">
        <w:tc>
          <w:tcPr>
            <w:tcW w:w="593" w:type="dxa"/>
            <w:tcBorders>
              <w:top w:val="nil"/>
              <w:left w:val="nil"/>
              <w:bottom w:val="nil"/>
              <w:right w:val="nil"/>
            </w:tcBorders>
          </w:tcPr>
          <w:p w14:paraId="247E662C" w14:textId="77777777" w:rsidR="008E4EBD" w:rsidRDefault="00483AC6">
            <w:pPr>
              <w:pStyle w:val="Compact"/>
              <w:jc w:val="center"/>
            </w:pPr>
            <w:r>
              <w:t>0.0</w:t>
            </w:r>
          </w:p>
        </w:tc>
        <w:tc>
          <w:tcPr>
            <w:tcW w:w="593" w:type="dxa"/>
            <w:tcBorders>
              <w:top w:val="nil"/>
              <w:left w:val="nil"/>
              <w:bottom w:val="nil"/>
              <w:right w:val="nil"/>
            </w:tcBorders>
          </w:tcPr>
          <w:p w14:paraId="247E662D" w14:textId="77777777" w:rsidR="008E4EBD" w:rsidRDefault="00483AC6">
            <w:pPr>
              <w:pStyle w:val="Compact"/>
              <w:jc w:val="center"/>
            </w:pPr>
            <w:r>
              <w:t>0.0</w:t>
            </w:r>
          </w:p>
        </w:tc>
        <w:tc>
          <w:tcPr>
            <w:tcW w:w="1781" w:type="dxa"/>
            <w:tcBorders>
              <w:top w:val="nil"/>
              <w:left w:val="nil"/>
              <w:bottom w:val="nil"/>
              <w:right w:val="nil"/>
            </w:tcBorders>
          </w:tcPr>
          <w:p w14:paraId="247E662E" w14:textId="77777777" w:rsidR="008E4EBD" w:rsidRDefault="00483AC6">
            <w:pPr>
              <w:pStyle w:val="Compact"/>
              <w:jc w:val="center"/>
            </w:pPr>
            <w:r>
              <w:t>1.011 (0.015)</w:t>
            </w:r>
          </w:p>
        </w:tc>
        <w:tc>
          <w:tcPr>
            <w:tcW w:w="1543" w:type="dxa"/>
            <w:tcBorders>
              <w:top w:val="nil"/>
              <w:left w:val="nil"/>
              <w:bottom w:val="nil"/>
              <w:right w:val="nil"/>
            </w:tcBorders>
          </w:tcPr>
          <w:p w14:paraId="247E662F" w14:textId="77777777" w:rsidR="008E4EBD" w:rsidRDefault="00483AC6">
            <w:pPr>
              <w:pStyle w:val="Compact"/>
              <w:jc w:val="center"/>
            </w:pPr>
            <w:r>
              <w:t>1.028 (0.015)</w:t>
            </w:r>
          </w:p>
        </w:tc>
        <w:tc>
          <w:tcPr>
            <w:tcW w:w="1543" w:type="dxa"/>
            <w:tcBorders>
              <w:top w:val="nil"/>
              <w:left w:val="nil"/>
              <w:bottom w:val="nil"/>
              <w:right w:val="nil"/>
            </w:tcBorders>
          </w:tcPr>
          <w:p w14:paraId="247E6630" w14:textId="77777777" w:rsidR="008E4EBD" w:rsidRDefault="00483AC6">
            <w:pPr>
              <w:pStyle w:val="Compact"/>
              <w:jc w:val="center"/>
            </w:pPr>
            <w:r>
              <w:t>1.028 (0.015)</w:t>
            </w:r>
          </w:p>
        </w:tc>
        <w:tc>
          <w:tcPr>
            <w:tcW w:w="1543" w:type="dxa"/>
            <w:tcBorders>
              <w:top w:val="nil"/>
              <w:left w:val="nil"/>
              <w:bottom w:val="nil"/>
              <w:right w:val="nil"/>
            </w:tcBorders>
          </w:tcPr>
          <w:p w14:paraId="247E6631" w14:textId="77777777" w:rsidR="008E4EBD" w:rsidRDefault="00483AC6">
            <w:pPr>
              <w:pStyle w:val="Compact"/>
              <w:jc w:val="center"/>
            </w:pPr>
            <w:r>
              <w:t>0.996 (0.014)</w:t>
            </w:r>
          </w:p>
        </w:tc>
        <w:tc>
          <w:tcPr>
            <w:tcW w:w="1430" w:type="dxa"/>
            <w:tcBorders>
              <w:top w:val="nil"/>
              <w:left w:val="nil"/>
              <w:bottom w:val="nil"/>
              <w:right w:val="nil"/>
            </w:tcBorders>
          </w:tcPr>
          <w:p w14:paraId="247E6632" w14:textId="77777777" w:rsidR="008E4EBD" w:rsidRDefault="00483AC6">
            <w:pPr>
              <w:pStyle w:val="Compact"/>
              <w:jc w:val="center"/>
            </w:pPr>
            <w:r>
              <w:t>1.000</w:t>
            </w:r>
          </w:p>
        </w:tc>
      </w:tr>
      <w:tr w:rsidR="008E4EBD" w14:paraId="247E663B" w14:textId="77777777">
        <w:tc>
          <w:tcPr>
            <w:tcW w:w="593" w:type="dxa"/>
            <w:tcBorders>
              <w:top w:val="nil"/>
              <w:left w:val="nil"/>
              <w:bottom w:val="nil"/>
              <w:right w:val="nil"/>
            </w:tcBorders>
          </w:tcPr>
          <w:p w14:paraId="247E6634" w14:textId="77777777" w:rsidR="008E4EBD" w:rsidRDefault="00483AC6">
            <w:pPr>
              <w:pStyle w:val="Compact"/>
              <w:jc w:val="center"/>
            </w:pPr>
            <w:r>
              <w:t>0.0</w:t>
            </w:r>
          </w:p>
        </w:tc>
        <w:tc>
          <w:tcPr>
            <w:tcW w:w="593" w:type="dxa"/>
            <w:tcBorders>
              <w:top w:val="nil"/>
              <w:left w:val="nil"/>
              <w:bottom w:val="nil"/>
              <w:right w:val="nil"/>
            </w:tcBorders>
          </w:tcPr>
          <w:p w14:paraId="247E6635" w14:textId="77777777" w:rsidR="008E4EBD" w:rsidRDefault="00483AC6">
            <w:pPr>
              <w:pStyle w:val="Compact"/>
              <w:jc w:val="center"/>
            </w:pPr>
            <w:r>
              <w:t>0.4</w:t>
            </w:r>
          </w:p>
        </w:tc>
        <w:tc>
          <w:tcPr>
            <w:tcW w:w="1781" w:type="dxa"/>
            <w:tcBorders>
              <w:top w:val="nil"/>
              <w:left w:val="nil"/>
              <w:bottom w:val="nil"/>
              <w:right w:val="nil"/>
            </w:tcBorders>
          </w:tcPr>
          <w:p w14:paraId="247E6636" w14:textId="77777777" w:rsidR="008E4EBD" w:rsidRDefault="00483AC6">
            <w:pPr>
              <w:pStyle w:val="Compact"/>
              <w:jc w:val="center"/>
            </w:pPr>
            <w:r>
              <w:t>1.014 (0.015)</w:t>
            </w:r>
          </w:p>
        </w:tc>
        <w:tc>
          <w:tcPr>
            <w:tcW w:w="1543" w:type="dxa"/>
            <w:tcBorders>
              <w:top w:val="nil"/>
              <w:left w:val="nil"/>
              <w:bottom w:val="nil"/>
              <w:right w:val="nil"/>
            </w:tcBorders>
          </w:tcPr>
          <w:p w14:paraId="247E6637" w14:textId="77777777" w:rsidR="008E4EBD" w:rsidRDefault="00483AC6">
            <w:pPr>
              <w:pStyle w:val="Compact"/>
              <w:jc w:val="center"/>
            </w:pPr>
            <w:r>
              <w:t>1.099 (0.016)</w:t>
            </w:r>
          </w:p>
        </w:tc>
        <w:tc>
          <w:tcPr>
            <w:tcW w:w="1543" w:type="dxa"/>
            <w:tcBorders>
              <w:top w:val="nil"/>
              <w:left w:val="nil"/>
              <w:bottom w:val="nil"/>
              <w:right w:val="nil"/>
            </w:tcBorders>
          </w:tcPr>
          <w:p w14:paraId="247E6638" w14:textId="77777777" w:rsidR="008E4EBD" w:rsidRDefault="00483AC6">
            <w:pPr>
              <w:pStyle w:val="Compact"/>
              <w:jc w:val="center"/>
            </w:pPr>
            <w:r>
              <w:t>1.031 (0.015)</w:t>
            </w:r>
          </w:p>
        </w:tc>
        <w:tc>
          <w:tcPr>
            <w:tcW w:w="1543" w:type="dxa"/>
            <w:tcBorders>
              <w:top w:val="nil"/>
              <w:left w:val="nil"/>
              <w:bottom w:val="nil"/>
              <w:right w:val="nil"/>
            </w:tcBorders>
          </w:tcPr>
          <w:p w14:paraId="247E6639" w14:textId="77777777" w:rsidR="008E4EBD" w:rsidRDefault="00483AC6">
            <w:pPr>
              <w:pStyle w:val="Compact"/>
              <w:jc w:val="center"/>
            </w:pPr>
            <w:r>
              <w:t>0.996 (0.014)</w:t>
            </w:r>
          </w:p>
        </w:tc>
        <w:tc>
          <w:tcPr>
            <w:tcW w:w="1430" w:type="dxa"/>
            <w:tcBorders>
              <w:top w:val="nil"/>
              <w:left w:val="nil"/>
              <w:bottom w:val="nil"/>
              <w:right w:val="nil"/>
            </w:tcBorders>
          </w:tcPr>
          <w:p w14:paraId="247E663A" w14:textId="77777777" w:rsidR="008E4EBD" w:rsidRDefault="00483AC6">
            <w:pPr>
              <w:pStyle w:val="Compact"/>
              <w:jc w:val="center"/>
            </w:pPr>
            <w:r>
              <w:t>1.000</w:t>
            </w:r>
          </w:p>
        </w:tc>
      </w:tr>
      <w:tr w:rsidR="008E4EBD" w14:paraId="247E6643" w14:textId="77777777">
        <w:tc>
          <w:tcPr>
            <w:tcW w:w="593" w:type="dxa"/>
            <w:tcBorders>
              <w:top w:val="nil"/>
              <w:left w:val="nil"/>
              <w:bottom w:val="nil"/>
              <w:right w:val="nil"/>
            </w:tcBorders>
          </w:tcPr>
          <w:p w14:paraId="247E663C" w14:textId="77777777" w:rsidR="008E4EBD" w:rsidRDefault="00483AC6">
            <w:pPr>
              <w:pStyle w:val="Compact"/>
              <w:jc w:val="center"/>
            </w:pPr>
            <w:r>
              <w:t>0.0</w:t>
            </w:r>
          </w:p>
        </w:tc>
        <w:tc>
          <w:tcPr>
            <w:tcW w:w="593" w:type="dxa"/>
            <w:tcBorders>
              <w:top w:val="nil"/>
              <w:left w:val="nil"/>
              <w:bottom w:val="nil"/>
              <w:right w:val="nil"/>
            </w:tcBorders>
          </w:tcPr>
          <w:p w14:paraId="247E663D" w14:textId="77777777" w:rsidR="008E4EBD" w:rsidRDefault="00483AC6">
            <w:pPr>
              <w:pStyle w:val="Compact"/>
              <w:jc w:val="center"/>
            </w:pPr>
            <w:r>
              <w:t>0.8</w:t>
            </w:r>
          </w:p>
        </w:tc>
        <w:tc>
          <w:tcPr>
            <w:tcW w:w="1781" w:type="dxa"/>
            <w:tcBorders>
              <w:top w:val="nil"/>
              <w:left w:val="nil"/>
              <w:bottom w:val="nil"/>
              <w:right w:val="nil"/>
            </w:tcBorders>
          </w:tcPr>
          <w:p w14:paraId="247E663E" w14:textId="77777777" w:rsidR="008E4EBD" w:rsidRDefault="00483AC6">
            <w:pPr>
              <w:pStyle w:val="Compact"/>
              <w:jc w:val="center"/>
            </w:pPr>
            <w:r>
              <w:t>1.016 (0.015)</w:t>
            </w:r>
          </w:p>
        </w:tc>
        <w:tc>
          <w:tcPr>
            <w:tcW w:w="1543" w:type="dxa"/>
            <w:tcBorders>
              <w:top w:val="nil"/>
              <w:left w:val="nil"/>
              <w:bottom w:val="nil"/>
              <w:right w:val="nil"/>
            </w:tcBorders>
          </w:tcPr>
          <w:p w14:paraId="247E663F" w14:textId="77777777" w:rsidR="008E4EBD" w:rsidRDefault="00483AC6">
            <w:pPr>
              <w:pStyle w:val="Compact"/>
              <w:jc w:val="center"/>
            </w:pPr>
            <w:r>
              <w:t>1.346 (0.020)</w:t>
            </w:r>
          </w:p>
        </w:tc>
        <w:tc>
          <w:tcPr>
            <w:tcW w:w="1543" w:type="dxa"/>
            <w:tcBorders>
              <w:top w:val="nil"/>
              <w:left w:val="nil"/>
              <w:bottom w:val="nil"/>
              <w:right w:val="nil"/>
            </w:tcBorders>
          </w:tcPr>
          <w:p w14:paraId="247E6640" w14:textId="77777777" w:rsidR="008E4EBD" w:rsidRDefault="00483AC6">
            <w:pPr>
              <w:pStyle w:val="Compact"/>
              <w:jc w:val="center"/>
            </w:pPr>
            <w:r>
              <w:t>1.034 (0.015)</w:t>
            </w:r>
          </w:p>
        </w:tc>
        <w:tc>
          <w:tcPr>
            <w:tcW w:w="1543" w:type="dxa"/>
            <w:tcBorders>
              <w:top w:val="nil"/>
              <w:left w:val="nil"/>
              <w:bottom w:val="nil"/>
              <w:right w:val="nil"/>
            </w:tcBorders>
          </w:tcPr>
          <w:p w14:paraId="247E6641" w14:textId="77777777" w:rsidR="008E4EBD" w:rsidRDefault="00483AC6">
            <w:pPr>
              <w:pStyle w:val="Compact"/>
              <w:jc w:val="center"/>
            </w:pPr>
            <w:r>
              <w:t>0.996 (0.014)</w:t>
            </w:r>
          </w:p>
        </w:tc>
        <w:tc>
          <w:tcPr>
            <w:tcW w:w="1430" w:type="dxa"/>
            <w:tcBorders>
              <w:top w:val="nil"/>
              <w:left w:val="nil"/>
              <w:bottom w:val="nil"/>
              <w:right w:val="nil"/>
            </w:tcBorders>
          </w:tcPr>
          <w:p w14:paraId="247E6642" w14:textId="77777777" w:rsidR="008E4EBD" w:rsidRDefault="00483AC6">
            <w:pPr>
              <w:pStyle w:val="Compact"/>
              <w:jc w:val="center"/>
            </w:pPr>
            <w:r>
              <w:t>1.000</w:t>
            </w:r>
          </w:p>
        </w:tc>
      </w:tr>
      <w:tr w:rsidR="008E4EBD" w14:paraId="247E664B" w14:textId="77777777">
        <w:tc>
          <w:tcPr>
            <w:tcW w:w="593" w:type="dxa"/>
            <w:tcBorders>
              <w:top w:val="nil"/>
              <w:left w:val="nil"/>
              <w:bottom w:val="nil"/>
              <w:right w:val="nil"/>
            </w:tcBorders>
          </w:tcPr>
          <w:p w14:paraId="247E6644" w14:textId="77777777" w:rsidR="008E4EBD" w:rsidRDefault="00483AC6">
            <w:pPr>
              <w:pStyle w:val="Compact"/>
              <w:jc w:val="center"/>
            </w:pPr>
            <w:r>
              <w:t>0.4</w:t>
            </w:r>
          </w:p>
        </w:tc>
        <w:tc>
          <w:tcPr>
            <w:tcW w:w="593" w:type="dxa"/>
            <w:tcBorders>
              <w:top w:val="nil"/>
              <w:left w:val="nil"/>
              <w:bottom w:val="nil"/>
              <w:right w:val="nil"/>
            </w:tcBorders>
          </w:tcPr>
          <w:p w14:paraId="247E6645" w14:textId="77777777" w:rsidR="008E4EBD" w:rsidRDefault="00483AC6">
            <w:pPr>
              <w:pStyle w:val="Compact"/>
              <w:jc w:val="center"/>
            </w:pPr>
            <w:r>
              <w:t>0.0</w:t>
            </w:r>
          </w:p>
        </w:tc>
        <w:tc>
          <w:tcPr>
            <w:tcW w:w="1781" w:type="dxa"/>
            <w:tcBorders>
              <w:top w:val="nil"/>
              <w:left w:val="nil"/>
              <w:bottom w:val="nil"/>
              <w:right w:val="nil"/>
            </w:tcBorders>
          </w:tcPr>
          <w:p w14:paraId="247E6646" w14:textId="77777777" w:rsidR="008E4EBD" w:rsidRDefault="00483AC6">
            <w:pPr>
              <w:pStyle w:val="Compact"/>
              <w:jc w:val="center"/>
            </w:pPr>
            <w:r>
              <w:t>1.015 (0.015)</w:t>
            </w:r>
          </w:p>
        </w:tc>
        <w:tc>
          <w:tcPr>
            <w:tcW w:w="1543" w:type="dxa"/>
            <w:tcBorders>
              <w:top w:val="nil"/>
              <w:left w:val="nil"/>
              <w:bottom w:val="nil"/>
              <w:right w:val="nil"/>
            </w:tcBorders>
          </w:tcPr>
          <w:p w14:paraId="247E6647" w14:textId="77777777" w:rsidR="008E4EBD" w:rsidRDefault="00483AC6">
            <w:pPr>
              <w:pStyle w:val="Compact"/>
              <w:jc w:val="center"/>
            </w:pPr>
            <w:r>
              <w:t>0.942 (0.014)</w:t>
            </w:r>
          </w:p>
        </w:tc>
        <w:tc>
          <w:tcPr>
            <w:tcW w:w="1543" w:type="dxa"/>
            <w:tcBorders>
              <w:top w:val="nil"/>
              <w:left w:val="nil"/>
              <w:bottom w:val="nil"/>
              <w:right w:val="nil"/>
            </w:tcBorders>
          </w:tcPr>
          <w:p w14:paraId="247E6648" w14:textId="77777777" w:rsidR="008E4EBD" w:rsidRDefault="00483AC6">
            <w:pPr>
              <w:pStyle w:val="Compact"/>
              <w:jc w:val="center"/>
            </w:pPr>
            <w:r>
              <w:t>0.942 (0.014)</w:t>
            </w:r>
          </w:p>
        </w:tc>
        <w:tc>
          <w:tcPr>
            <w:tcW w:w="1543" w:type="dxa"/>
            <w:tcBorders>
              <w:top w:val="nil"/>
              <w:left w:val="nil"/>
              <w:bottom w:val="nil"/>
              <w:right w:val="nil"/>
            </w:tcBorders>
          </w:tcPr>
          <w:p w14:paraId="247E6649" w14:textId="77777777" w:rsidR="008E4EBD" w:rsidRDefault="00483AC6">
            <w:pPr>
              <w:pStyle w:val="Compact"/>
              <w:jc w:val="center"/>
            </w:pPr>
            <w:r>
              <w:t>0.910 (0.013)</w:t>
            </w:r>
          </w:p>
        </w:tc>
        <w:tc>
          <w:tcPr>
            <w:tcW w:w="1430" w:type="dxa"/>
            <w:tcBorders>
              <w:top w:val="nil"/>
              <w:left w:val="nil"/>
              <w:bottom w:val="nil"/>
              <w:right w:val="nil"/>
            </w:tcBorders>
          </w:tcPr>
          <w:p w14:paraId="247E664A" w14:textId="77777777" w:rsidR="008E4EBD" w:rsidRDefault="00483AC6">
            <w:pPr>
              <w:pStyle w:val="Compact"/>
              <w:jc w:val="center"/>
            </w:pPr>
            <w:r>
              <w:t>0.916</w:t>
            </w:r>
          </w:p>
        </w:tc>
      </w:tr>
      <w:tr w:rsidR="008E4EBD" w14:paraId="247E6653" w14:textId="77777777">
        <w:tc>
          <w:tcPr>
            <w:tcW w:w="593" w:type="dxa"/>
            <w:tcBorders>
              <w:top w:val="nil"/>
              <w:left w:val="nil"/>
              <w:bottom w:val="nil"/>
              <w:right w:val="nil"/>
            </w:tcBorders>
          </w:tcPr>
          <w:p w14:paraId="247E664C" w14:textId="77777777" w:rsidR="008E4EBD" w:rsidRDefault="00483AC6">
            <w:pPr>
              <w:pStyle w:val="Compact"/>
              <w:jc w:val="center"/>
            </w:pPr>
            <w:r>
              <w:t>0.8</w:t>
            </w:r>
          </w:p>
        </w:tc>
        <w:tc>
          <w:tcPr>
            <w:tcW w:w="593" w:type="dxa"/>
            <w:tcBorders>
              <w:top w:val="nil"/>
              <w:left w:val="nil"/>
              <w:bottom w:val="nil"/>
              <w:right w:val="nil"/>
            </w:tcBorders>
          </w:tcPr>
          <w:p w14:paraId="247E664D" w14:textId="77777777" w:rsidR="008E4EBD" w:rsidRDefault="00483AC6">
            <w:pPr>
              <w:pStyle w:val="Compact"/>
              <w:jc w:val="center"/>
            </w:pPr>
            <w:r>
              <w:t>0.0</w:t>
            </w:r>
          </w:p>
        </w:tc>
        <w:tc>
          <w:tcPr>
            <w:tcW w:w="1781" w:type="dxa"/>
            <w:tcBorders>
              <w:top w:val="nil"/>
              <w:left w:val="nil"/>
              <w:bottom w:val="nil"/>
              <w:right w:val="nil"/>
            </w:tcBorders>
          </w:tcPr>
          <w:p w14:paraId="247E664E" w14:textId="77777777" w:rsidR="008E4EBD" w:rsidRDefault="00483AC6">
            <w:pPr>
              <w:pStyle w:val="Compact"/>
              <w:jc w:val="center"/>
            </w:pPr>
            <w:r>
              <w:t>1.031 (0.015)</w:t>
            </w:r>
          </w:p>
        </w:tc>
        <w:tc>
          <w:tcPr>
            <w:tcW w:w="1543" w:type="dxa"/>
            <w:tcBorders>
              <w:top w:val="nil"/>
              <w:left w:val="nil"/>
              <w:bottom w:val="nil"/>
              <w:right w:val="nil"/>
            </w:tcBorders>
          </w:tcPr>
          <w:p w14:paraId="247E664F" w14:textId="77777777" w:rsidR="008E4EBD" w:rsidRDefault="00483AC6">
            <w:pPr>
              <w:pStyle w:val="Compact"/>
              <w:jc w:val="center"/>
            </w:pPr>
            <w:r>
              <w:t>0.636 (0.009)</w:t>
            </w:r>
          </w:p>
        </w:tc>
        <w:tc>
          <w:tcPr>
            <w:tcW w:w="1543" w:type="dxa"/>
            <w:tcBorders>
              <w:top w:val="nil"/>
              <w:left w:val="nil"/>
              <w:bottom w:val="nil"/>
              <w:right w:val="nil"/>
            </w:tcBorders>
          </w:tcPr>
          <w:p w14:paraId="247E6650" w14:textId="77777777" w:rsidR="008E4EBD" w:rsidRDefault="00483AC6">
            <w:pPr>
              <w:pStyle w:val="Compact"/>
              <w:jc w:val="center"/>
            </w:pPr>
            <w:r>
              <w:t>0.636 (0.009)</w:t>
            </w:r>
          </w:p>
        </w:tc>
        <w:tc>
          <w:tcPr>
            <w:tcW w:w="1543" w:type="dxa"/>
            <w:tcBorders>
              <w:top w:val="nil"/>
              <w:left w:val="nil"/>
              <w:bottom w:val="nil"/>
              <w:right w:val="nil"/>
            </w:tcBorders>
          </w:tcPr>
          <w:p w14:paraId="247E6651" w14:textId="77777777" w:rsidR="008E4EBD" w:rsidRDefault="00483AC6">
            <w:pPr>
              <w:pStyle w:val="Compact"/>
              <w:jc w:val="center"/>
            </w:pPr>
            <w:r>
              <w:t>0.611 (0.009)</w:t>
            </w:r>
          </w:p>
        </w:tc>
        <w:tc>
          <w:tcPr>
            <w:tcW w:w="1430" w:type="dxa"/>
            <w:tcBorders>
              <w:top w:val="nil"/>
              <w:left w:val="nil"/>
              <w:bottom w:val="nil"/>
              <w:right w:val="nil"/>
            </w:tcBorders>
          </w:tcPr>
          <w:p w14:paraId="247E6652" w14:textId="77777777" w:rsidR="008E4EBD" w:rsidRDefault="00483AC6">
            <w:pPr>
              <w:pStyle w:val="Compact"/>
              <w:jc w:val="center"/>
            </w:pPr>
            <w:r>
              <w:t>0.613</w:t>
            </w:r>
          </w:p>
        </w:tc>
      </w:tr>
      <w:tr w:rsidR="008E4EBD" w14:paraId="247E665B" w14:textId="77777777">
        <w:tc>
          <w:tcPr>
            <w:tcW w:w="593" w:type="dxa"/>
            <w:tcBorders>
              <w:top w:val="nil"/>
              <w:left w:val="nil"/>
              <w:bottom w:val="nil"/>
              <w:right w:val="nil"/>
            </w:tcBorders>
          </w:tcPr>
          <w:p w14:paraId="247E6654" w14:textId="77777777" w:rsidR="008E4EBD" w:rsidRDefault="00483AC6">
            <w:pPr>
              <w:pStyle w:val="Compact"/>
              <w:jc w:val="center"/>
            </w:pPr>
            <w:r>
              <w:t>0.4</w:t>
            </w:r>
          </w:p>
        </w:tc>
        <w:tc>
          <w:tcPr>
            <w:tcW w:w="593" w:type="dxa"/>
            <w:tcBorders>
              <w:top w:val="nil"/>
              <w:left w:val="nil"/>
              <w:bottom w:val="nil"/>
              <w:right w:val="nil"/>
            </w:tcBorders>
          </w:tcPr>
          <w:p w14:paraId="247E6655" w14:textId="77777777" w:rsidR="008E4EBD" w:rsidRDefault="00483AC6">
            <w:pPr>
              <w:pStyle w:val="Compact"/>
              <w:jc w:val="center"/>
            </w:pPr>
            <w:r>
              <w:t>0.4</w:t>
            </w:r>
          </w:p>
        </w:tc>
        <w:tc>
          <w:tcPr>
            <w:tcW w:w="1781" w:type="dxa"/>
            <w:tcBorders>
              <w:top w:val="nil"/>
              <w:left w:val="nil"/>
              <w:bottom w:val="nil"/>
              <w:right w:val="nil"/>
            </w:tcBorders>
          </w:tcPr>
          <w:p w14:paraId="247E6656" w14:textId="77777777" w:rsidR="008E4EBD" w:rsidRDefault="00483AC6">
            <w:pPr>
              <w:pStyle w:val="Compact"/>
              <w:jc w:val="center"/>
            </w:pPr>
            <w:r>
              <w:t>1.017 (0.015)</w:t>
            </w:r>
          </w:p>
        </w:tc>
        <w:tc>
          <w:tcPr>
            <w:tcW w:w="1543" w:type="dxa"/>
            <w:tcBorders>
              <w:top w:val="nil"/>
              <w:left w:val="nil"/>
              <w:bottom w:val="nil"/>
              <w:right w:val="nil"/>
            </w:tcBorders>
          </w:tcPr>
          <w:p w14:paraId="247E6657" w14:textId="77777777" w:rsidR="008E4EBD" w:rsidRDefault="00483AC6">
            <w:pPr>
              <w:pStyle w:val="Compact"/>
              <w:jc w:val="center"/>
            </w:pPr>
            <w:r>
              <w:t>1.010 (0.015)</w:t>
            </w:r>
          </w:p>
        </w:tc>
        <w:tc>
          <w:tcPr>
            <w:tcW w:w="1543" w:type="dxa"/>
            <w:tcBorders>
              <w:top w:val="nil"/>
              <w:left w:val="nil"/>
              <w:bottom w:val="nil"/>
              <w:right w:val="nil"/>
            </w:tcBorders>
          </w:tcPr>
          <w:p w14:paraId="247E6658" w14:textId="77777777" w:rsidR="008E4EBD" w:rsidRDefault="00483AC6">
            <w:pPr>
              <w:pStyle w:val="Compact"/>
              <w:jc w:val="center"/>
            </w:pPr>
            <w:r>
              <w:t>0.947 (0.014)</w:t>
            </w:r>
          </w:p>
        </w:tc>
        <w:tc>
          <w:tcPr>
            <w:tcW w:w="1543" w:type="dxa"/>
            <w:tcBorders>
              <w:top w:val="nil"/>
              <w:left w:val="nil"/>
              <w:bottom w:val="nil"/>
              <w:right w:val="nil"/>
            </w:tcBorders>
          </w:tcPr>
          <w:p w14:paraId="247E6659" w14:textId="77777777" w:rsidR="008E4EBD" w:rsidRDefault="00483AC6">
            <w:pPr>
              <w:pStyle w:val="Compact"/>
              <w:jc w:val="center"/>
            </w:pPr>
            <w:r>
              <w:t>0.914 (0.013)</w:t>
            </w:r>
          </w:p>
        </w:tc>
        <w:tc>
          <w:tcPr>
            <w:tcW w:w="1430" w:type="dxa"/>
            <w:tcBorders>
              <w:top w:val="nil"/>
              <w:left w:val="nil"/>
              <w:bottom w:val="nil"/>
              <w:right w:val="nil"/>
            </w:tcBorders>
          </w:tcPr>
          <w:p w14:paraId="247E665A" w14:textId="77777777" w:rsidR="008E4EBD" w:rsidRDefault="00483AC6">
            <w:pPr>
              <w:pStyle w:val="Compact"/>
              <w:jc w:val="center"/>
            </w:pPr>
            <w:r>
              <w:t>0.919</w:t>
            </w:r>
          </w:p>
        </w:tc>
      </w:tr>
      <w:tr w:rsidR="008E4EBD" w14:paraId="247E6663" w14:textId="77777777">
        <w:tc>
          <w:tcPr>
            <w:tcW w:w="593" w:type="dxa"/>
            <w:tcBorders>
              <w:top w:val="nil"/>
              <w:left w:val="nil"/>
              <w:bottom w:val="nil"/>
              <w:right w:val="nil"/>
            </w:tcBorders>
          </w:tcPr>
          <w:p w14:paraId="247E665C" w14:textId="77777777" w:rsidR="008E4EBD" w:rsidRDefault="00483AC6">
            <w:pPr>
              <w:pStyle w:val="Compact"/>
              <w:jc w:val="center"/>
            </w:pPr>
            <w:r>
              <w:t>0.4</w:t>
            </w:r>
          </w:p>
        </w:tc>
        <w:tc>
          <w:tcPr>
            <w:tcW w:w="593" w:type="dxa"/>
            <w:tcBorders>
              <w:top w:val="nil"/>
              <w:left w:val="nil"/>
              <w:bottom w:val="nil"/>
              <w:right w:val="nil"/>
            </w:tcBorders>
          </w:tcPr>
          <w:p w14:paraId="247E665D" w14:textId="77777777" w:rsidR="008E4EBD" w:rsidRDefault="00483AC6">
            <w:pPr>
              <w:pStyle w:val="Compact"/>
              <w:jc w:val="center"/>
            </w:pPr>
            <w:r>
              <w:t>0.8</w:t>
            </w:r>
          </w:p>
        </w:tc>
        <w:tc>
          <w:tcPr>
            <w:tcW w:w="1781" w:type="dxa"/>
            <w:tcBorders>
              <w:top w:val="nil"/>
              <w:left w:val="nil"/>
              <w:bottom w:val="nil"/>
              <w:right w:val="nil"/>
            </w:tcBorders>
          </w:tcPr>
          <w:p w14:paraId="247E665E" w14:textId="77777777" w:rsidR="008E4EBD" w:rsidRDefault="00483AC6">
            <w:pPr>
              <w:pStyle w:val="Compact"/>
              <w:jc w:val="center"/>
            </w:pPr>
            <w:r>
              <w:t>1.020 (0.015)</w:t>
            </w:r>
          </w:p>
        </w:tc>
        <w:tc>
          <w:tcPr>
            <w:tcW w:w="1543" w:type="dxa"/>
            <w:tcBorders>
              <w:top w:val="nil"/>
              <w:left w:val="nil"/>
              <w:bottom w:val="nil"/>
              <w:right w:val="nil"/>
            </w:tcBorders>
          </w:tcPr>
          <w:p w14:paraId="247E665F" w14:textId="77777777" w:rsidR="008E4EBD" w:rsidRDefault="00483AC6">
            <w:pPr>
              <w:pStyle w:val="Compact"/>
              <w:jc w:val="center"/>
            </w:pPr>
            <w:r>
              <w:t>1.253 (0.018)</w:t>
            </w:r>
          </w:p>
        </w:tc>
        <w:tc>
          <w:tcPr>
            <w:tcW w:w="1543" w:type="dxa"/>
            <w:tcBorders>
              <w:top w:val="nil"/>
              <w:left w:val="nil"/>
              <w:bottom w:val="nil"/>
              <w:right w:val="nil"/>
            </w:tcBorders>
          </w:tcPr>
          <w:p w14:paraId="247E6660" w14:textId="77777777" w:rsidR="008E4EBD" w:rsidRDefault="00483AC6">
            <w:pPr>
              <w:pStyle w:val="Compact"/>
              <w:jc w:val="center"/>
            </w:pPr>
            <w:r>
              <w:t>0.946 (0.014)</w:t>
            </w:r>
          </w:p>
        </w:tc>
        <w:tc>
          <w:tcPr>
            <w:tcW w:w="1543" w:type="dxa"/>
            <w:tcBorders>
              <w:top w:val="nil"/>
              <w:left w:val="nil"/>
              <w:bottom w:val="nil"/>
              <w:right w:val="nil"/>
            </w:tcBorders>
          </w:tcPr>
          <w:p w14:paraId="247E6661" w14:textId="77777777" w:rsidR="008E4EBD" w:rsidRDefault="00483AC6">
            <w:pPr>
              <w:pStyle w:val="Compact"/>
              <w:jc w:val="center"/>
            </w:pPr>
            <w:r>
              <w:t>0.911 (0.013)</w:t>
            </w:r>
          </w:p>
        </w:tc>
        <w:tc>
          <w:tcPr>
            <w:tcW w:w="1430" w:type="dxa"/>
            <w:tcBorders>
              <w:top w:val="nil"/>
              <w:left w:val="nil"/>
              <w:bottom w:val="nil"/>
              <w:right w:val="nil"/>
            </w:tcBorders>
          </w:tcPr>
          <w:p w14:paraId="247E6662" w14:textId="77777777" w:rsidR="008E4EBD" w:rsidRDefault="00483AC6">
            <w:pPr>
              <w:pStyle w:val="Compact"/>
              <w:jc w:val="center"/>
            </w:pPr>
            <w:r>
              <w:t>0.914</w:t>
            </w:r>
          </w:p>
        </w:tc>
      </w:tr>
      <w:tr w:rsidR="008E4EBD" w14:paraId="247E666B" w14:textId="77777777">
        <w:tc>
          <w:tcPr>
            <w:tcW w:w="593" w:type="dxa"/>
            <w:tcBorders>
              <w:top w:val="nil"/>
              <w:left w:val="nil"/>
              <w:bottom w:val="nil"/>
              <w:right w:val="nil"/>
            </w:tcBorders>
          </w:tcPr>
          <w:p w14:paraId="247E6664" w14:textId="77777777" w:rsidR="008E4EBD" w:rsidRDefault="00483AC6">
            <w:pPr>
              <w:pStyle w:val="Compact"/>
              <w:jc w:val="center"/>
            </w:pPr>
            <w:r>
              <w:t>0.8</w:t>
            </w:r>
          </w:p>
        </w:tc>
        <w:tc>
          <w:tcPr>
            <w:tcW w:w="593" w:type="dxa"/>
            <w:tcBorders>
              <w:top w:val="nil"/>
              <w:left w:val="nil"/>
              <w:bottom w:val="nil"/>
              <w:right w:val="nil"/>
            </w:tcBorders>
          </w:tcPr>
          <w:p w14:paraId="247E6665" w14:textId="77777777" w:rsidR="008E4EBD" w:rsidRDefault="00483AC6">
            <w:pPr>
              <w:pStyle w:val="Compact"/>
              <w:jc w:val="center"/>
            </w:pPr>
            <w:r>
              <w:t>0.4</w:t>
            </w:r>
          </w:p>
        </w:tc>
        <w:tc>
          <w:tcPr>
            <w:tcW w:w="1781" w:type="dxa"/>
            <w:tcBorders>
              <w:top w:val="nil"/>
              <w:left w:val="nil"/>
              <w:bottom w:val="nil"/>
              <w:right w:val="nil"/>
            </w:tcBorders>
          </w:tcPr>
          <w:p w14:paraId="247E6666" w14:textId="77777777" w:rsidR="008E4EBD" w:rsidRDefault="00483AC6">
            <w:pPr>
              <w:pStyle w:val="Compact"/>
              <w:jc w:val="center"/>
            </w:pPr>
            <w:r>
              <w:t>1.033 (0.015)</w:t>
            </w:r>
          </w:p>
        </w:tc>
        <w:tc>
          <w:tcPr>
            <w:tcW w:w="1543" w:type="dxa"/>
            <w:tcBorders>
              <w:top w:val="nil"/>
              <w:left w:val="nil"/>
              <w:bottom w:val="nil"/>
              <w:right w:val="nil"/>
            </w:tcBorders>
          </w:tcPr>
          <w:p w14:paraId="247E6667" w14:textId="77777777" w:rsidR="008E4EBD" w:rsidRDefault="00483AC6">
            <w:pPr>
              <w:pStyle w:val="Compact"/>
              <w:jc w:val="center"/>
            </w:pPr>
            <w:r>
              <w:t>0.725 (0.011)</w:t>
            </w:r>
          </w:p>
        </w:tc>
        <w:tc>
          <w:tcPr>
            <w:tcW w:w="1543" w:type="dxa"/>
            <w:tcBorders>
              <w:top w:val="nil"/>
              <w:left w:val="nil"/>
              <w:bottom w:val="nil"/>
              <w:right w:val="nil"/>
            </w:tcBorders>
          </w:tcPr>
          <w:p w14:paraId="247E6668" w14:textId="77777777" w:rsidR="008E4EBD" w:rsidRDefault="00483AC6">
            <w:pPr>
              <w:pStyle w:val="Compact"/>
              <w:jc w:val="center"/>
            </w:pPr>
            <w:r>
              <w:t>0.678 (0.010)</w:t>
            </w:r>
          </w:p>
        </w:tc>
        <w:tc>
          <w:tcPr>
            <w:tcW w:w="1543" w:type="dxa"/>
            <w:tcBorders>
              <w:top w:val="nil"/>
              <w:left w:val="nil"/>
              <w:bottom w:val="nil"/>
              <w:right w:val="nil"/>
            </w:tcBorders>
          </w:tcPr>
          <w:p w14:paraId="247E6669" w14:textId="77777777" w:rsidR="008E4EBD" w:rsidRDefault="00483AC6">
            <w:pPr>
              <w:pStyle w:val="Compact"/>
              <w:jc w:val="center"/>
            </w:pPr>
            <w:r>
              <w:t>0.652 (0.010)</w:t>
            </w:r>
          </w:p>
        </w:tc>
        <w:tc>
          <w:tcPr>
            <w:tcW w:w="1430" w:type="dxa"/>
            <w:tcBorders>
              <w:top w:val="nil"/>
              <w:left w:val="nil"/>
              <w:bottom w:val="nil"/>
              <w:right w:val="nil"/>
            </w:tcBorders>
          </w:tcPr>
          <w:p w14:paraId="247E666A" w14:textId="77777777" w:rsidR="008E4EBD" w:rsidRDefault="00483AC6">
            <w:pPr>
              <w:pStyle w:val="Compact"/>
              <w:jc w:val="center"/>
            </w:pPr>
            <w:r>
              <w:t>0.652</w:t>
            </w:r>
          </w:p>
        </w:tc>
      </w:tr>
      <w:tr w:rsidR="008E4EBD" w14:paraId="247E6673" w14:textId="77777777">
        <w:tc>
          <w:tcPr>
            <w:tcW w:w="593" w:type="dxa"/>
            <w:tcBorders>
              <w:top w:val="nil"/>
              <w:left w:val="nil"/>
              <w:bottom w:val="single" w:sz="12" w:space="0" w:color="auto"/>
              <w:right w:val="nil"/>
            </w:tcBorders>
          </w:tcPr>
          <w:p w14:paraId="247E666C" w14:textId="77777777" w:rsidR="008E4EBD" w:rsidRDefault="00483AC6">
            <w:pPr>
              <w:pStyle w:val="Compact"/>
              <w:jc w:val="center"/>
            </w:pPr>
            <w:r>
              <w:t>0.8</w:t>
            </w:r>
          </w:p>
        </w:tc>
        <w:tc>
          <w:tcPr>
            <w:tcW w:w="593" w:type="dxa"/>
            <w:tcBorders>
              <w:top w:val="nil"/>
              <w:left w:val="nil"/>
              <w:bottom w:val="single" w:sz="12" w:space="0" w:color="auto"/>
              <w:right w:val="nil"/>
            </w:tcBorders>
          </w:tcPr>
          <w:p w14:paraId="247E666D" w14:textId="77777777" w:rsidR="008E4EBD" w:rsidRDefault="00483AC6">
            <w:pPr>
              <w:pStyle w:val="Compact"/>
              <w:jc w:val="center"/>
            </w:pPr>
            <w:r>
              <w:t>0.8</w:t>
            </w:r>
          </w:p>
        </w:tc>
        <w:tc>
          <w:tcPr>
            <w:tcW w:w="1781" w:type="dxa"/>
            <w:tcBorders>
              <w:top w:val="nil"/>
              <w:left w:val="nil"/>
              <w:bottom w:val="single" w:sz="12" w:space="0" w:color="auto"/>
              <w:right w:val="nil"/>
            </w:tcBorders>
          </w:tcPr>
          <w:p w14:paraId="247E666E" w14:textId="77777777" w:rsidR="008E4EBD" w:rsidRDefault="00483AC6">
            <w:pPr>
              <w:pStyle w:val="Compact"/>
              <w:jc w:val="center"/>
            </w:pPr>
            <w:r>
              <w:t>1.036 (0.015)</w:t>
            </w:r>
          </w:p>
        </w:tc>
        <w:tc>
          <w:tcPr>
            <w:tcW w:w="1543" w:type="dxa"/>
            <w:tcBorders>
              <w:top w:val="nil"/>
              <w:left w:val="nil"/>
              <w:bottom w:val="single" w:sz="12" w:space="0" w:color="auto"/>
              <w:right w:val="nil"/>
            </w:tcBorders>
          </w:tcPr>
          <w:p w14:paraId="247E666F" w14:textId="77777777" w:rsidR="008E4EBD" w:rsidRDefault="00483AC6">
            <w:pPr>
              <w:pStyle w:val="Compact"/>
              <w:jc w:val="center"/>
            </w:pPr>
            <w:r>
              <w:t>0.880 (0.013)</w:t>
            </w:r>
          </w:p>
        </w:tc>
        <w:tc>
          <w:tcPr>
            <w:tcW w:w="1543" w:type="dxa"/>
            <w:tcBorders>
              <w:top w:val="nil"/>
              <w:left w:val="nil"/>
              <w:bottom w:val="single" w:sz="12" w:space="0" w:color="auto"/>
              <w:right w:val="nil"/>
            </w:tcBorders>
          </w:tcPr>
          <w:p w14:paraId="247E6670" w14:textId="77777777" w:rsidR="008E4EBD" w:rsidRDefault="00483AC6">
            <w:pPr>
              <w:pStyle w:val="Compact"/>
              <w:jc w:val="center"/>
            </w:pPr>
            <w:r>
              <w:t>0.698 (0.010)</w:t>
            </w:r>
          </w:p>
        </w:tc>
        <w:tc>
          <w:tcPr>
            <w:tcW w:w="1543" w:type="dxa"/>
            <w:tcBorders>
              <w:top w:val="nil"/>
              <w:left w:val="nil"/>
              <w:bottom w:val="single" w:sz="12" w:space="0" w:color="auto"/>
              <w:right w:val="nil"/>
            </w:tcBorders>
          </w:tcPr>
          <w:p w14:paraId="247E6671" w14:textId="77777777" w:rsidR="008E4EBD" w:rsidRDefault="00483AC6">
            <w:pPr>
              <w:pStyle w:val="Compact"/>
              <w:jc w:val="center"/>
            </w:pPr>
            <w:r>
              <w:t>0.671 (0.010)</w:t>
            </w:r>
          </w:p>
        </w:tc>
        <w:tc>
          <w:tcPr>
            <w:tcW w:w="1430" w:type="dxa"/>
            <w:tcBorders>
              <w:top w:val="nil"/>
              <w:left w:val="nil"/>
              <w:bottom w:val="single" w:sz="12" w:space="0" w:color="auto"/>
              <w:right w:val="nil"/>
            </w:tcBorders>
          </w:tcPr>
          <w:p w14:paraId="247E6672" w14:textId="77777777" w:rsidR="008E4EBD" w:rsidRDefault="00483AC6">
            <w:pPr>
              <w:pStyle w:val="Compact"/>
              <w:jc w:val="center"/>
            </w:pPr>
            <w:r>
              <w:t>0.671</w:t>
            </w:r>
          </w:p>
        </w:tc>
      </w:tr>
    </w:tbl>
    <w:p w14:paraId="247E6674" w14:textId="57A27803" w:rsidR="008E4EBD" w:rsidRDefault="00483AC6">
      <w:pPr>
        <w:pStyle w:val="BodyText"/>
      </w:pPr>
      <w:r>
        <w:t xml:space="preserve">Table A.3 summarizes the </w:t>
      </w:r>
      <w:r w:rsidR="00B3142B">
        <w:t>maximum-likelihood estimates of the covariance parameters for</w:t>
      </w:r>
      <w:r>
        <w:t xml:space="preserve"> the two MFH working models. Under the correct working model (MFH-full), both </w:t>
      </w:r>
      <m:oMath>
        <m:acc>
          <m:accPr>
            <m:ctrlPr>
              <w:rPr>
                <w:rFonts w:ascii="Cambria Math" w:hAnsi="Cambria Math"/>
              </w:rPr>
            </m:ctrlPr>
          </m:accPr>
          <m:e>
            <m:r>
              <w:rPr>
                <w:rFonts w:ascii="Cambria Math" w:hAnsi="Cambria Math"/>
              </w:rPr>
              <m:t>A</m:t>
            </m:r>
          </m:e>
        </m:acc>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t xml:space="preserve"> are nearly unbiased in </w:t>
      </w:r>
      <w:r>
        <w:lastRenderedPageBreak/>
        <w:t xml:space="preserve">every scenario. Under the diagonal- </w:t>
      </w:r>
      <m:oMath>
        <m:sSub>
          <m:sSubPr>
            <m:ctrlPr>
              <w:rPr>
                <w:rFonts w:ascii="Cambria Math" w:hAnsi="Cambria Math"/>
              </w:rPr>
            </m:ctrlPr>
          </m:sSubPr>
          <m:e>
            <m:r>
              <w:rPr>
                <w:rFonts w:ascii="Cambria Math" w:hAnsi="Cambria Math"/>
              </w:rPr>
              <m:t>D</m:t>
            </m:r>
          </m:e>
          <m:sub>
            <m:r>
              <w:rPr>
                <w:rFonts w:ascii="Cambria Math" w:hAnsi="Cambria Math"/>
              </w:rPr>
              <m:t>i</m:t>
            </m:r>
          </m:sub>
        </m:sSub>
      </m:oMath>
      <w:r>
        <w:t xml:space="preserve"> working model the estimates converge to the values that make the wrong model fit the data best, not to the true parameters: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t xml:space="preserve"> absorbs the sampling-error autocorrelation (e.g., a mean of 0.732 when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=0</m:t>
        </m:r>
      </m:oMath>
      <w:r>
        <w:t xml:space="preserve"> and </w:t>
      </w:r>
      <m:oMath>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and in the most severe scenario (</w:t>
      </w:r>
      <m:oMath>
        <m:sSub>
          <m:sSubPr>
            <m:ctrlPr>
              <w:rPr>
                <w:rFonts w:ascii="Cambria Math" w:hAnsi="Cambria Math"/>
              </w:rPr>
            </m:ctrlPr>
          </m:sSubPr>
          <m:e>
            <m:r>
              <w:rPr>
                <w:rFonts w:ascii="Cambria Math" w:hAnsi="Cambria Math"/>
              </w:rPr>
              <m:t>ρ</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m:t>
            </m:r>
          </m:sub>
        </m:sSub>
        <m:r>
          <w:rPr>
            <w:rFonts w:ascii="Cambria Math" w:hAnsi="Cambria Math"/>
          </w:rPr>
          <m:t>=0.8</m:t>
        </m:r>
      </m:oMath>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t xml:space="preserve"> piles up at the boundary near 1 while </w:t>
      </w:r>
      <m:oMath>
        <m:acc>
          <m:accPr>
            <m:ctrlPr>
              <w:rPr>
                <w:rFonts w:ascii="Cambria Math" w:hAnsi="Cambria Math"/>
              </w:rPr>
            </m:ctrlPr>
          </m:accPr>
          <m:e>
            <m:r>
              <w:rPr>
                <w:rFonts w:ascii="Cambria Math" w:hAnsi="Cambria Math"/>
              </w:rPr>
              <m:t>A</m:t>
            </m:r>
          </m:e>
        </m:acc>
      </m:oMath>
      <w:r>
        <w:t xml:space="preserve"> is inflated to 1.256. These are not estimation failures; they are the maximum likelihood estimator faithfully fitting the wrong model, which is precisely why the resulting predictor fails to converge to the true BLUP.</w:t>
      </w:r>
    </w:p>
    <w:p w14:paraId="247E6675" w14:textId="77777777" w:rsidR="008E4EBD" w:rsidRDefault="00483AC6">
      <w:pPr>
        <w:pStyle w:val="BodyText"/>
      </w:pPr>
      <w:r>
        <w:t>Table A.3—Maximum Likelihood Estimates of the Covariance Parameters (Means and Standard Deviations over 500 Replications)</w:t>
      </w:r>
    </w:p>
    <w:tbl>
      <w:tblPr>
        <w:tblStyle w:val="Table"/>
        <w:tblW w:w="9026" w:type="dxa"/>
        <w:tblLayout w:type="fixed"/>
        <w:tblLook w:val="07E0" w:firstRow="1" w:lastRow="1" w:firstColumn="1" w:lastColumn="1" w:noHBand="1" w:noVBand="1"/>
      </w:tblPr>
      <w:tblGrid>
        <w:gridCol w:w="716"/>
        <w:gridCol w:w="716"/>
        <w:gridCol w:w="1862"/>
        <w:gridCol w:w="1862"/>
        <w:gridCol w:w="1862"/>
        <w:gridCol w:w="2008"/>
      </w:tblGrid>
      <w:tr w:rsidR="008E4EBD" w14:paraId="247E667C" w14:textId="77777777">
        <w:tc>
          <w:tcPr>
            <w:tcW w:w="716" w:type="dxa"/>
            <w:tcBorders>
              <w:top w:val="single" w:sz="12" w:space="0" w:color="auto"/>
              <w:left w:val="nil"/>
              <w:bottom w:val="single" w:sz="4" w:space="0" w:color="auto"/>
              <w:right w:val="nil"/>
            </w:tcBorders>
            <w:vAlign w:val="bottom"/>
          </w:tcPr>
          <w:p w14:paraId="247E6676"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u</m:t>
                    </m:r>
                  </m:sub>
                </m:sSub>
              </m:oMath>
            </m:oMathPara>
          </w:p>
        </w:tc>
        <w:tc>
          <w:tcPr>
            <w:tcW w:w="716" w:type="dxa"/>
            <w:tcBorders>
              <w:top w:val="single" w:sz="12" w:space="0" w:color="auto"/>
              <w:left w:val="nil"/>
              <w:bottom w:val="single" w:sz="4" w:space="0" w:color="auto"/>
              <w:right w:val="nil"/>
            </w:tcBorders>
            <w:vAlign w:val="bottom"/>
          </w:tcPr>
          <w:p w14:paraId="247E6677" w14:textId="77777777" w:rsidR="008E4EBD" w:rsidRDefault="00483AC6">
            <w:pPr>
              <w:pStyle w:val="Compact"/>
              <w:jc w:val="center"/>
            </w:pPr>
            <m:oMathPara>
              <m:oMath>
                <m:sSub>
                  <m:sSubPr>
                    <m:ctrlPr>
                      <w:rPr>
                        <w:rFonts w:ascii="Cambria Math" w:hAnsi="Cambria Math"/>
                      </w:rPr>
                    </m:ctrlPr>
                  </m:sSubPr>
                  <m:e>
                    <m:r>
                      <w:rPr>
                        <w:rFonts w:ascii="Cambria Math" w:hAnsi="Cambria Math"/>
                      </w:rPr>
                      <m:t>ρ</m:t>
                    </m:r>
                  </m:e>
                  <m:sub>
                    <m:r>
                      <w:rPr>
                        <w:rFonts w:ascii="Cambria Math" w:hAnsi="Cambria Math"/>
                      </w:rPr>
                      <m:t>e</m:t>
                    </m:r>
                  </m:sub>
                </m:sSub>
              </m:oMath>
            </m:oMathPara>
          </w:p>
        </w:tc>
        <w:tc>
          <w:tcPr>
            <w:tcW w:w="1862" w:type="dxa"/>
            <w:tcBorders>
              <w:top w:val="single" w:sz="12" w:space="0" w:color="auto"/>
              <w:left w:val="nil"/>
              <w:bottom w:val="single" w:sz="4" w:space="0" w:color="auto"/>
              <w:right w:val="nil"/>
            </w:tcBorders>
            <w:vAlign w:val="bottom"/>
          </w:tcPr>
          <w:p w14:paraId="247E6678" w14:textId="77777777" w:rsidR="008E4EBD" w:rsidRDefault="00483AC6">
            <w:pPr>
              <w:pStyle w:val="Compact"/>
              <w:jc w:val="center"/>
            </w:pPr>
            <w:r>
              <w:rPr>
                <w:b/>
                <w:bCs/>
              </w:rPr>
              <w:t xml:space="preserve"> </w:t>
            </w:r>
            <m:oMath>
              <m:acc>
                <m:accPr>
                  <m:ctrlPr>
                    <w:rPr>
                      <w:rFonts w:ascii="Cambria Math" w:hAnsi="Cambria Math"/>
                    </w:rPr>
                  </m:ctrlPr>
                </m:accPr>
                <m:e>
                  <m:r>
                    <w:rPr>
                      <w:rFonts w:ascii="Cambria Math" w:hAnsi="Cambria Math"/>
                    </w:rPr>
                    <m:t>A</m:t>
                  </m:r>
                </m:e>
              </m:acc>
            </m:oMath>
            <w:r>
              <w:rPr>
                <w:b/>
                <w:bCs/>
              </w:rPr>
              <w:t xml:space="preserve"> (diag)</w:t>
            </w:r>
          </w:p>
        </w:tc>
        <w:tc>
          <w:tcPr>
            <w:tcW w:w="1862" w:type="dxa"/>
            <w:tcBorders>
              <w:top w:val="single" w:sz="12" w:space="0" w:color="auto"/>
              <w:left w:val="nil"/>
              <w:bottom w:val="single" w:sz="4" w:space="0" w:color="auto"/>
              <w:right w:val="nil"/>
            </w:tcBorders>
            <w:vAlign w:val="bottom"/>
          </w:tcPr>
          <w:p w14:paraId="247E6679" w14:textId="77777777" w:rsidR="008E4EBD" w:rsidRDefault="00483AC6">
            <w:pPr>
              <w:pStyle w:val="Compact"/>
              <w:jc w:val="center"/>
            </w:pPr>
            <w:r>
              <w:rPr>
                <w:b/>
                <w:bC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rPr>
                <w:b/>
                <w:bCs/>
              </w:rPr>
              <w:t xml:space="preserve"> (diag)</w:t>
            </w:r>
          </w:p>
        </w:tc>
        <w:tc>
          <w:tcPr>
            <w:tcW w:w="1862" w:type="dxa"/>
            <w:tcBorders>
              <w:top w:val="single" w:sz="12" w:space="0" w:color="auto"/>
              <w:left w:val="nil"/>
              <w:bottom w:val="single" w:sz="4" w:space="0" w:color="auto"/>
              <w:right w:val="nil"/>
            </w:tcBorders>
            <w:vAlign w:val="bottom"/>
          </w:tcPr>
          <w:p w14:paraId="247E667A" w14:textId="77777777" w:rsidR="008E4EBD" w:rsidRDefault="00483AC6">
            <w:pPr>
              <w:pStyle w:val="Compact"/>
              <w:jc w:val="center"/>
            </w:pPr>
            <w:r>
              <w:rPr>
                <w:b/>
                <w:bCs/>
              </w:rPr>
              <w:t xml:space="preserve"> </w:t>
            </w:r>
            <m:oMath>
              <m:acc>
                <m:accPr>
                  <m:ctrlPr>
                    <w:rPr>
                      <w:rFonts w:ascii="Cambria Math" w:hAnsi="Cambria Math"/>
                    </w:rPr>
                  </m:ctrlPr>
                </m:accPr>
                <m:e>
                  <m:r>
                    <w:rPr>
                      <w:rFonts w:ascii="Cambria Math" w:hAnsi="Cambria Math"/>
                    </w:rPr>
                    <m:t>A</m:t>
                  </m:r>
                </m:e>
              </m:acc>
            </m:oMath>
            <w:r>
              <w:rPr>
                <w:b/>
                <w:bCs/>
              </w:rPr>
              <w:t xml:space="preserve"> (full)</w:t>
            </w:r>
          </w:p>
        </w:tc>
        <w:tc>
          <w:tcPr>
            <w:tcW w:w="2008" w:type="dxa"/>
            <w:tcBorders>
              <w:top w:val="single" w:sz="12" w:space="0" w:color="auto"/>
              <w:left w:val="nil"/>
              <w:bottom w:val="single" w:sz="4" w:space="0" w:color="auto"/>
              <w:right w:val="nil"/>
            </w:tcBorders>
            <w:vAlign w:val="bottom"/>
          </w:tcPr>
          <w:p w14:paraId="247E667B" w14:textId="77777777" w:rsidR="008E4EBD" w:rsidRDefault="00483AC6">
            <w:pPr>
              <w:pStyle w:val="Compact"/>
              <w:jc w:val="center"/>
            </w:pPr>
            <w:r>
              <w:rPr>
                <w:b/>
                <w:bC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ρ</m:t>
                      </m:r>
                    </m:e>
                  </m:acc>
                </m:e>
                <m:sub>
                  <m:r>
                    <w:rPr>
                      <w:rFonts w:ascii="Cambria Math" w:hAnsi="Cambria Math"/>
                    </w:rPr>
                    <m:t>u</m:t>
                  </m:r>
                </m:sub>
              </m:sSub>
            </m:oMath>
            <w:r>
              <w:rPr>
                <w:b/>
                <w:bCs/>
              </w:rPr>
              <w:t xml:space="preserve"> (full)</w:t>
            </w:r>
          </w:p>
        </w:tc>
      </w:tr>
      <w:tr w:rsidR="008E4EBD" w14:paraId="247E6683" w14:textId="77777777">
        <w:tc>
          <w:tcPr>
            <w:tcW w:w="716" w:type="dxa"/>
            <w:tcBorders>
              <w:top w:val="nil"/>
              <w:left w:val="nil"/>
              <w:bottom w:val="nil"/>
              <w:right w:val="nil"/>
            </w:tcBorders>
          </w:tcPr>
          <w:p w14:paraId="247E667D" w14:textId="77777777" w:rsidR="008E4EBD" w:rsidRDefault="00483AC6">
            <w:pPr>
              <w:pStyle w:val="Compact"/>
              <w:jc w:val="center"/>
            </w:pPr>
            <w:r>
              <w:t>0.0</w:t>
            </w:r>
          </w:p>
        </w:tc>
        <w:tc>
          <w:tcPr>
            <w:tcW w:w="716" w:type="dxa"/>
            <w:tcBorders>
              <w:top w:val="nil"/>
              <w:left w:val="nil"/>
              <w:bottom w:val="nil"/>
              <w:right w:val="nil"/>
            </w:tcBorders>
          </w:tcPr>
          <w:p w14:paraId="247E667E" w14:textId="77777777" w:rsidR="008E4EBD" w:rsidRDefault="00483AC6">
            <w:pPr>
              <w:pStyle w:val="Compact"/>
              <w:jc w:val="center"/>
            </w:pPr>
            <w:r>
              <w:t>0.0</w:t>
            </w:r>
          </w:p>
        </w:tc>
        <w:tc>
          <w:tcPr>
            <w:tcW w:w="1862" w:type="dxa"/>
            <w:tcBorders>
              <w:top w:val="nil"/>
              <w:left w:val="nil"/>
              <w:bottom w:val="nil"/>
              <w:right w:val="nil"/>
            </w:tcBorders>
          </w:tcPr>
          <w:p w14:paraId="247E667F" w14:textId="77777777" w:rsidR="008E4EBD" w:rsidRDefault="00483AC6">
            <w:pPr>
              <w:pStyle w:val="Compact"/>
              <w:jc w:val="center"/>
            </w:pPr>
            <w:r>
              <w:t>0.989 (0.175)</w:t>
            </w:r>
          </w:p>
        </w:tc>
        <w:tc>
          <w:tcPr>
            <w:tcW w:w="1862" w:type="dxa"/>
            <w:tcBorders>
              <w:top w:val="nil"/>
              <w:left w:val="nil"/>
              <w:bottom w:val="nil"/>
              <w:right w:val="nil"/>
            </w:tcBorders>
          </w:tcPr>
          <w:p w14:paraId="247E6680" w14:textId="77777777" w:rsidR="008E4EBD" w:rsidRDefault="00483AC6">
            <w:pPr>
              <w:pStyle w:val="Compact"/>
              <w:jc w:val="center"/>
            </w:pPr>
            <w:r>
              <w:t>0.002 (0.155)</w:t>
            </w:r>
          </w:p>
        </w:tc>
        <w:tc>
          <w:tcPr>
            <w:tcW w:w="1862" w:type="dxa"/>
            <w:tcBorders>
              <w:top w:val="nil"/>
              <w:left w:val="nil"/>
              <w:bottom w:val="nil"/>
              <w:right w:val="nil"/>
            </w:tcBorders>
          </w:tcPr>
          <w:p w14:paraId="247E6681" w14:textId="77777777" w:rsidR="008E4EBD" w:rsidRDefault="00483AC6">
            <w:pPr>
              <w:pStyle w:val="Compact"/>
              <w:jc w:val="center"/>
            </w:pPr>
            <w:r>
              <w:t>0.989 (0.175)</w:t>
            </w:r>
          </w:p>
        </w:tc>
        <w:tc>
          <w:tcPr>
            <w:tcW w:w="2008" w:type="dxa"/>
            <w:tcBorders>
              <w:top w:val="nil"/>
              <w:left w:val="nil"/>
              <w:bottom w:val="nil"/>
              <w:right w:val="nil"/>
            </w:tcBorders>
          </w:tcPr>
          <w:p w14:paraId="247E6682" w14:textId="77777777" w:rsidR="008E4EBD" w:rsidRDefault="00483AC6">
            <w:pPr>
              <w:pStyle w:val="Compact"/>
              <w:jc w:val="center"/>
            </w:pPr>
            <w:r>
              <w:t>0.002 (0.155)</w:t>
            </w:r>
          </w:p>
        </w:tc>
      </w:tr>
      <w:tr w:rsidR="008E4EBD" w14:paraId="247E668A" w14:textId="77777777">
        <w:tc>
          <w:tcPr>
            <w:tcW w:w="716" w:type="dxa"/>
            <w:tcBorders>
              <w:top w:val="nil"/>
              <w:left w:val="nil"/>
              <w:bottom w:val="nil"/>
              <w:right w:val="nil"/>
            </w:tcBorders>
          </w:tcPr>
          <w:p w14:paraId="247E6684" w14:textId="77777777" w:rsidR="008E4EBD" w:rsidRDefault="00483AC6">
            <w:pPr>
              <w:pStyle w:val="Compact"/>
              <w:jc w:val="center"/>
            </w:pPr>
            <w:r>
              <w:t>0.0</w:t>
            </w:r>
          </w:p>
        </w:tc>
        <w:tc>
          <w:tcPr>
            <w:tcW w:w="716" w:type="dxa"/>
            <w:tcBorders>
              <w:top w:val="nil"/>
              <w:left w:val="nil"/>
              <w:bottom w:val="nil"/>
              <w:right w:val="nil"/>
            </w:tcBorders>
          </w:tcPr>
          <w:p w14:paraId="247E6685" w14:textId="77777777" w:rsidR="008E4EBD" w:rsidRDefault="00483AC6">
            <w:pPr>
              <w:pStyle w:val="Compact"/>
              <w:jc w:val="center"/>
            </w:pPr>
            <w:r>
              <w:t>0.4</w:t>
            </w:r>
          </w:p>
        </w:tc>
        <w:tc>
          <w:tcPr>
            <w:tcW w:w="1862" w:type="dxa"/>
            <w:tcBorders>
              <w:top w:val="nil"/>
              <w:left w:val="nil"/>
              <w:bottom w:val="nil"/>
              <w:right w:val="nil"/>
            </w:tcBorders>
          </w:tcPr>
          <w:p w14:paraId="247E6686" w14:textId="77777777" w:rsidR="008E4EBD" w:rsidRDefault="00483AC6">
            <w:pPr>
              <w:pStyle w:val="Compact"/>
              <w:jc w:val="center"/>
            </w:pPr>
            <w:r>
              <w:t>0.993 (0.178)</w:t>
            </w:r>
          </w:p>
        </w:tc>
        <w:tc>
          <w:tcPr>
            <w:tcW w:w="1862" w:type="dxa"/>
            <w:tcBorders>
              <w:top w:val="nil"/>
              <w:left w:val="nil"/>
              <w:bottom w:val="nil"/>
              <w:right w:val="nil"/>
            </w:tcBorders>
          </w:tcPr>
          <w:p w14:paraId="247E6687" w14:textId="77777777" w:rsidR="008E4EBD" w:rsidRDefault="00483AC6">
            <w:pPr>
              <w:pStyle w:val="Compact"/>
              <w:jc w:val="center"/>
            </w:pPr>
            <w:r>
              <w:t>0.366 (0.151)</w:t>
            </w:r>
          </w:p>
        </w:tc>
        <w:tc>
          <w:tcPr>
            <w:tcW w:w="1862" w:type="dxa"/>
            <w:tcBorders>
              <w:top w:val="nil"/>
              <w:left w:val="nil"/>
              <w:bottom w:val="nil"/>
              <w:right w:val="nil"/>
            </w:tcBorders>
          </w:tcPr>
          <w:p w14:paraId="247E6688" w14:textId="77777777" w:rsidR="008E4EBD" w:rsidRDefault="00483AC6">
            <w:pPr>
              <w:pStyle w:val="Compact"/>
              <w:jc w:val="center"/>
            </w:pPr>
            <w:r>
              <w:t>0.996 (0.176)</w:t>
            </w:r>
          </w:p>
        </w:tc>
        <w:tc>
          <w:tcPr>
            <w:tcW w:w="2008" w:type="dxa"/>
            <w:tcBorders>
              <w:top w:val="nil"/>
              <w:left w:val="nil"/>
              <w:bottom w:val="nil"/>
              <w:right w:val="nil"/>
            </w:tcBorders>
          </w:tcPr>
          <w:p w14:paraId="247E6689" w14:textId="77777777" w:rsidR="008E4EBD" w:rsidRDefault="00483AC6">
            <w:pPr>
              <w:pStyle w:val="Compact"/>
              <w:jc w:val="center"/>
            </w:pPr>
            <w:r>
              <w:t>-0.006 (0.154)</w:t>
            </w:r>
          </w:p>
        </w:tc>
      </w:tr>
      <w:tr w:rsidR="008E4EBD" w14:paraId="247E6691" w14:textId="77777777">
        <w:tc>
          <w:tcPr>
            <w:tcW w:w="716" w:type="dxa"/>
            <w:tcBorders>
              <w:top w:val="nil"/>
              <w:left w:val="nil"/>
              <w:bottom w:val="nil"/>
              <w:right w:val="nil"/>
            </w:tcBorders>
          </w:tcPr>
          <w:p w14:paraId="247E668B" w14:textId="77777777" w:rsidR="008E4EBD" w:rsidRDefault="00483AC6">
            <w:pPr>
              <w:pStyle w:val="Compact"/>
              <w:jc w:val="center"/>
            </w:pPr>
            <w:r>
              <w:t>0.0</w:t>
            </w:r>
          </w:p>
        </w:tc>
        <w:tc>
          <w:tcPr>
            <w:tcW w:w="716" w:type="dxa"/>
            <w:tcBorders>
              <w:top w:val="nil"/>
              <w:left w:val="nil"/>
              <w:bottom w:val="nil"/>
              <w:right w:val="nil"/>
            </w:tcBorders>
          </w:tcPr>
          <w:p w14:paraId="247E668C" w14:textId="77777777" w:rsidR="008E4EBD" w:rsidRDefault="00483AC6">
            <w:pPr>
              <w:pStyle w:val="Compact"/>
              <w:jc w:val="center"/>
            </w:pPr>
            <w:r>
              <w:t>0.8</w:t>
            </w:r>
          </w:p>
        </w:tc>
        <w:tc>
          <w:tcPr>
            <w:tcW w:w="1862" w:type="dxa"/>
            <w:tcBorders>
              <w:top w:val="nil"/>
              <w:left w:val="nil"/>
              <w:bottom w:val="nil"/>
              <w:right w:val="nil"/>
            </w:tcBorders>
          </w:tcPr>
          <w:p w14:paraId="247E668D" w14:textId="77777777" w:rsidR="008E4EBD" w:rsidRDefault="00483AC6">
            <w:pPr>
              <w:pStyle w:val="Compact"/>
              <w:jc w:val="center"/>
            </w:pPr>
            <w:r>
              <w:t>1.000 (0.196)</w:t>
            </w:r>
          </w:p>
        </w:tc>
        <w:tc>
          <w:tcPr>
            <w:tcW w:w="1862" w:type="dxa"/>
            <w:tcBorders>
              <w:top w:val="nil"/>
              <w:left w:val="nil"/>
              <w:bottom w:val="nil"/>
              <w:right w:val="nil"/>
            </w:tcBorders>
          </w:tcPr>
          <w:p w14:paraId="247E668E" w14:textId="77777777" w:rsidR="008E4EBD" w:rsidRDefault="00483AC6">
            <w:pPr>
              <w:pStyle w:val="Compact"/>
              <w:jc w:val="center"/>
            </w:pPr>
            <w:r>
              <w:t>0.732 (0.111)</w:t>
            </w:r>
          </w:p>
        </w:tc>
        <w:tc>
          <w:tcPr>
            <w:tcW w:w="1862" w:type="dxa"/>
            <w:tcBorders>
              <w:top w:val="nil"/>
              <w:left w:val="nil"/>
              <w:bottom w:val="nil"/>
              <w:right w:val="nil"/>
            </w:tcBorders>
          </w:tcPr>
          <w:p w14:paraId="247E668F" w14:textId="77777777" w:rsidR="008E4EBD" w:rsidRDefault="00483AC6">
            <w:pPr>
              <w:pStyle w:val="Compact"/>
              <w:jc w:val="center"/>
            </w:pPr>
            <w:r>
              <w:t>1.008 (0.165)</w:t>
            </w:r>
          </w:p>
        </w:tc>
        <w:tc>
          <w:tcPr>
            <w:tcW w:w="2008" w:type="dxa"/>
            <w:tcBorders>
              <w:top w:val="nil"/>
              <w:left w:val="nil"/>
              <w:bottom w:val="nil"/>
              <w:right w:val="nil"/>
            </w:tcBorders>
          </w:tcPr>
          <w:p w14:paraId="247E6690" w14:textId="77777777" w:rsidR="008E4EBD" w:rsidRDefault="00483AC6">
            <w:pPr>
              <w:pStyle w:val="Compact"/>
              <w:jc w:val="center"/>
            </w:pPr>
            <w:r>
              <w:t>-0.005 (0.151)</w:t>
            </w:r>
          </w:p>
        </w:tc>
      </w:tr>
      <w:tr w:rsidR="008E4EBD" w14:paraId="247E6698" w14:textId="77777777">
        <w:tc>
          <w:tcPr>
            <w:tcW w:w="716" w:type="dxa"/>
            <w:tcBorders>
              <w:top w:val="nil"/>
              <w:left w:val="nil"/>
              <w:bottom w:val="nil"/>
              <w:right w:val="nil"/>
            </w:tcBorders>
          </w:tcPr>
          <w:p w14:paraId="247E6692" w14:textId="77777777" w:rsidR="008E4EBD" w:rsidRDefault="00483AC6">
            <w:pPr>
              <w:pStyle w:val="Compact"/>
              <w:jc w:val="center"/>
            </w:pPr>
            <w:r>
              <w:t>0.4</w:t>
            </w:r>
          </w:p>
        </w:tc>
        <w:tc>
          <w:tcPr>
            <w:tcW w:w="716" w:type="dxa"/>
            <w:tcBorders>
              <w:top w:val="nil"/>
              <w:left w:val="nil"/>
              <w:bottom w:val="nil"/>
              <w:right w:val="nil"/>
            </w:tcBorders>
          </w:tcPr>
          <w:p w14:paraId="247E6693" w14:textId="77777777" w:rsidR="008E4EBD" w:rsidRDefault="00483AC6">
            <w:pPr>
              <w:pStyle w:val="Compact"/>
              <w:jc w:val="center"/>
            </w:pPr>
            <w:r>
              <w:t>0.0</w:t>
            </w:r>
          </w:p>
        </w:tc>
        <w:tc>
          <w:tcPr>
            <w:tcW w:w="1862" w:type="dxa"/>
            <w:tcBorders>
              <w:top w:val="nil"/>
              <w:left w:val="nil"/>
              <w:bottom w:val="nil"/>
              <w:right w:val="nil"/>
            </w:tcBorders>
          </w:tcPr>
          <w:p w14:paraId="247E6694" w14:textId="77777777" w:rsidR="008E4EBD" w:rsidRDefault="00483AC6">
            <w:pPr>
              <w:pStyle w:val="Compact"/>
              <w:jc w:val="center"/>
            </w:pPr>
            <w:r>
              <w:t>0.986 (0.176)</w:t>
            </w:r>
          </w:p>
        </w:tc>
        <w:tc>
          <w:tcPr>
            <w:tcW w:w="1862" w:type="dxa"/>
            <w:tcBorders>
              <w:top w:val="nil"/>
              <w:left w:val="nil"/>
              <w:bottom w:val="nil"/>
              <w:right w:val="nil"/>
            </w:tcBorders>
          </w:tcPr>
          <w:p w14:paraId="247E6695" w14:textId="77777777" w:rsidR="008E4EBD" w:rsidRDefault="00483AC6">
            <w:pPr>
              <w:pStyle w:val="Compact"/>
              <w:jc w:val="center"/>
            </w:pPr>
            <w:r>
              <w:t>0.393 (0.152)</w:t>
            </w:r>
          </w:p>
        </w:tc>
        <w:tc>
          <w:tcPr>
            <w:tcW w:w="1862" w:type="dxa"/>
            <w:tcBorders>
              <w:top w:val="nil"/>
              <w:left w:val="nil"/>
              <w:bottom w:val="nil"/>
              <w:right w:val="nil"/>
            </w:tcBorders>
          </w:tcPr>
          <w:p w14:paraId="247E6696" w14:textId="77777777" w:rsidR="008E4EBD" w:rsidRDefault="00483AC6">
            <w:pPr>
              <w:pStyle w:val="Compact"/>
              <w:jc w:val="center"/>
            </w:pPr>
            <w:r>
              <w:t>0.986 (0.176)</w:t>
            </w:r>
          </w:p>
        </w:tc>
        <w:tc>
          <w:tcPr>
            <w:tcW w:w="2008" w:type="dxa"/>
            <w:tcBorders>
              <w:top w:val="nil"/>
              <w:left w:val="nil"/>
              <w:bottom w:val="nil"/>
              <w:right w:val="nil"/>
            </w:tcBorders>
          </w:tcPr>
          <w:p w14:paraId="247E6697" w14:textId="77777777" w:rsidR="008E4EBD" w:rsidRDefault="00483AC6">
            <w:pPr>
              <w:pStyle w:val="Compact"/>
              <w:jc w:val="center"/>
            </w:pPr>
            <w:r>
              <w:t>0.393 (0.152)</w:t>
            </w:r>
          </w:p>
        </w:tc>
      </w:tr>
      <w:tr w:rsidR="008E4EBD" w14:paraId="247E669F" w14:textId="77777777">
        <w:tc>
          <w:tcPr>
            <w:tcW w:w="716" w:type="dxa"/>
            <w:tcBorders>
              <w:top w:val="nil"/>
              <w:left w:val="nil"/>
              <w:bottom w:val="nil"/>
              <w:right w:val="nil"/>
            </w:tcBorders>
          </w:tcPr>
          <w:p w14:paraId="247E6699" w14:textId="77777777" w:rsidR="008E4EBD" w:rsidRDefault="00483AC6">
            <w:pPr>
              <w:pStyle w:val="Compact"/>
              <w:jc w:val="center"/>
            </w:pPr>
            <w:r>
              <w:t>0.8</w:t>
            </w:r>
          </w:p>
        </w:tc>
        <w:tc>
          <w:tcPr>
            <w:tcW w:w="716" w:type="dxa"/>
            <w:tcBorders>
              <w:top w:val="nil"/>
              <w:left w:val="nil"/>
              <w:bottom w:val="nil"/>
              <w:right w:val="nil"/>
            </w:tcBorders>
          </w:tcPr>
          <w:p w14:paraId="247E669A" w14:textId="77777777" w:rsidR="008E4EBD" w:rsidRDefault="00483AC6">
            <w:pPr>
              <w:pStyle w:val="Compact"/>
              <w:jc w:val="center"/>
            </w:pPr>
            <w:r>
              <w:t>0.0</w:t>
            </w:r>
          </w:p>
        </w:tc>
        <w:tc>
          <w:tcPr>
            <w:tcW w:w="1862" w:type="dxa"/>
            <w:tcBorders>
              <w:top w:val="nil"/>
              <w:left w:val="nil"/>
              <w:bottom w:val="nil"/>
              <w:right w:val="nil"/>
            </w:tcBorders>
          </w:tcPr>
          <w:p w14:paraId="247E669B" w14:textId="77777777" w:rsidR="008E4EBD" w:rsidRDefault="00483AC6">
            <w:pPr>
              <w:pStyle w:val="Compact"/>
              <w:jc w:val="center"/>
            </w:pPr>
            <w:r>
              <w:t>0.985 (0.187)</w:t>
            </w:r>
          </w:p>
        </w:tc>
        <w:tc>
          <w:tcPr>
            <w:tcW w:w="1862" w:type="dxa"/>
            <w:tcBorders>
              <w:top w:val="nil"/>
              <w:left w:val="nil"/>
              <w:bottom w:val="nil"/>
              <w:right w:val="nil"/>
            </w:tcBorders>
          </w:tcPr>
          <w:p w14:paraId="247E669C" w14:textId="77777777" w:rsidR="008E4EBD" w:rsidRDefault="00483AC6">
            <w:pPr>
              <w:pStyle w:val="Compact"/>
              <w:jc w:val="center"/>
            </w:pPr>
            <w:r>
              <w:t>0.793 (0.106)</w:t>
            </w:r>
          </w:p>
        </w:tc>
        <w:tc>
          <w:tcPr>
            <w:tcW w:w="1862" w:type="dxa"/>
            <w:tcBorders>
              <w:top w:val="nil"/>
              <w:left w:val="nil"/>
              <w:bottom w:val="nil"/>
              <w:right w:val="nil"/>
            </w:tcBorders>
          </w:tcPr>
          <w:p w14:paraId="247E669D" w14:textId="77777777" w:rsidR="008E4EBD" w:rsidRDefault="00483AC6">
            <w:pPr>
              <w:pStyle w:val="Compact"/>
              <w:jc w:val="center"/>
            </w:pPr>
            <w:r>
              <w:t>0.985 (0.187)</w:t>
            </w:r>
          </w:p>
        </w:tc>
        <w:tc>
          <w:tcPr>
            <w:tcW w:w="2008" w:type="dxa"/>
            <w:tcBorders>
              <w:top w:val="nil"/>
              <w:left w:val="nil"/>
              <w:bottom w:val="nil"/>
              <w:right w:val="nil"/>
            </w:tcBorders>
          </w:tcPr>
          <w:p w14:paraId="247E669E" w14:textId="77777777" w:rsidR="008E4EBD" w:rsidRDefault="00483AC6">
            <w:pPr>
              <w:pStyle w:val="Compact"/>
              <w:jc w:val="center"/>
            </w:pPr>
            <w:r>
              <w:t>0.793 (0.106)</w:t>
            </w:r>
          </w:p>
        </w:tc>
      </w:tr>
      <w:tr w:rsidR="008E4EBD" w14:paraId="247E66A6" w14:textId="77777777">
        <w:tc>
          <w:tcPr>
            <w:tcW w:w="716" w:type="dxa"/>
            <w:tcBorders>
              <w:top w:val="nil"/>
              <w:left w:val="nil"/>
              <w:bottom w:val="nil"/>
              <w:right w:val="nil"/>
            </w:tcBorders>
          </w:tcPr>
          <w:p w14:paraId="247E66A0" w14:textId="77777777" w:rsidR="008E4EBD" w:rsidRDefault="00483AC6">
            <w:pPr>
              <w:pStyle w:val="Compact"/>
              <w:jc w:val="center"/>
            </w:pPr>
            <w:r>
              <w:t>0.4</w:t>
            </w:r>
          </w:p>
        </w:tc>
        <w:tc>
          <w:tcPr>
            <w:tcW w:w="716" w:type="dxa"/>
            <w:tcBorders>
              <w:top w:val="nil"/>
              <w:left w:val="nil"/>
              <w:bottom w:val="nil"/>
              <w:right w:val="nil"/>
            </w:tcBorders>
          </w:tcPr>
          <w:p w14:paraId="247E66A1" w14:textId="77777777" w:rsidR="008E4EBD" w:rsidRDefault="00483AC6">
            <w:pPr>
              <w:pStyle w:val="Compact"/>
              <w:jc w:val="center"/>
            </w:pPr>
            <w:r>
              <w:t>0.4</w:t>
            </w:r>
          </w:p>
        </w:tc>
        <w:tc>
          <w:tcPr>
            <w:tcW w:w="1862" w:type="dxa"/>
            <w:tcBorders>
              <w:top w:val="nil"/>
              <w:left w:val="nil"/>
              <w:bottom w:val="nil"/>
              <w:right w:val="nil"/>
            </w:tcBorders>
          </w:tcPr>
          <w:p w14:paraId="247E66A2" w14:textId="77777777" w:rsidR="008E4EBD" w:rsidRDefault="00483AC6">
            <w:pPr>
              <w:pStyle w:val="Compact"/>
              <w:jc w:val="center"/>
            </w:pPr>
            <w:r>
              <w:t>1.011 (0.189)</w:t>
            </w:r>
          </w:p>
        </w:tc>
        <w:tc>
          <w:tcPr>
            <w:tcW w:w="1862" w:type="dxa"/>
            <w:tcBorders>
              <w:top w:val="nil"/>
              <w:left w:val="nil"/>
              <w:bottom w:val="nil"/>
              <w:right w:val="nil"/>
            </w:tcBorders>
          </w:tcPr>
          <w:p w14:paraId="247E66A3" w14:textId="77777777" w:rsidR="008E4EBD" w:rsidRDefault="00483AC6">
            <w:pPr>
              <w:pStyle w:val="Compact"/>
              <w:jc w:val="center"/>
            </w:pPr>
            <w:r>
              <w:t>0.670 (0.108)</w:t>
            </w:r>
          </w:p>
        </w:tc>
        <w:tc>
          <w:tcPr>
            <w:tcW w:w="1862" w:type="dxa"/>
            <w:tcBorders>
              <w:top w:val="nil"/>
              <w:left w:val="nil"/>
              <w:bottom w:val="nil"/>
              <w:right w:val="nil"/>
            </w:tcBorders>
          </w:tcPr>
          <w:p w14:paraId="247E66A4" w14:textId="77777777" w:rsidR="008E4EBD" w:rsidRDefault="00483AC6">
            <w:pPr>
              <w:pStyle w:val="Compact"/>
              <w:jc w:val="center"/>
            </w:pPr>
            <w:r>
              <w:t>0.987 (0.188)</w:t>
            </w:r>
          </w:p>
        </w:tc>
        <w:tc>
          <w:tcPr>
            <w:tcW w:w="2008" w:type="dxa"/>
            <w:tcBorders>
              <w:top w:val="nil"/>
              <w:left w:val="nil"/>
              <w:bottom w:val="nil"/>
              <w:right w:val="nil"/>
            </w:tcBorders>
          </w:tcPr>
          <w:p w14:paraId="247E66A5" w14:textId="77777777" w:rsidR="008E4EBD" w:rsidRDefault="00483AC6">
            <w:pPr>
              <w:pStyle w:val="Compact"/>
              <w:jc w:val="center"/>
            </w:pPr>
            <w:r>
              <w:t>0.386 (0.142)</w:t>
            </w:r>
          </w:p>
        </w:tc>
      </w:tr>
      <w:tr w:rsidR="008E4EBD" w14:paraId="247E66AD" w14:textId="77777777">
        <w:tc>
          <w:tcPr>
            <w:tcW w:w="716" w:type="dxa"/>
            <w:tcBorders>
              <w:top w:val="nil"/>
              <w:left w:val="nil"/>
              <w:bottom w:val="nil"/>
              <w:right w:val="nil"/>
            </w:tcBorders>
          </w:tcPr>
          <w:p w14:paraId="247E66A7" w14:textId="77777777" w:rsidR="008E4EBD" w:rsidRDefault="00483AC6">
            <w:pPr>
              <w:pStyle w:val="Compact"/>
              <w:jc w:val="center"/>
            </w:pPr>
            <w:r>
              <w:t>0.4</w:t>
            </w:r>
          </w:p>
        </w:tc>
        <w:tc>
          <w:tcPr>
            <w:tcW w:w="716" w:type="dxa"/>
            <w:tcBorders>
              <w:top w:val="nil"/>
              <w:left w:val="nil"/>
              <w:bottom w:val="nil"/>
              <w:right w:val="nil"/>
            </w:tcBorders>
          </w:tcPr>
          <w:p w14:paraId="247E66A8" w14:textId="77777777" w:rsidR="008E4EBD" w:rsidRDefault="00483AC6">
            <w:pPr>
              <w:pStyle w:val="Compact"/>
              <w:jc w:val="center"/>
            </w:pPr>
            <w:r>
              <w:t>0.8</w:t>
            </w:r>
          </w:p>
        </w:tc>
        <w:tc>
          <w:tcPr>
            <w:tcW w:w="1862" w:type="dxa"/>
            <w:tcBorders>
              <w:top w:val="nil"/>
              <w:left w:val="nil"/>
              <w:bottom w:val="nil"/>
              <w:right w:val="nil"/>
            </w:tcBorders>
          </w:tcPr>
          <w:p w14:paraId="247E66A9" w14:textId="77777777" w:rsidR="008E4EBD" w:rsidRDefault="00483AC6">
            <w:pPr>
              <w:pStyle w:val="Compact"/>
              <w:jc w:val="center"/>
            </w:pPr>
            <w:r>
              <w:t>1.064 (0.214)</w:t>
            </w:r>
          </w:p>
        </w:tc>
        <w:tc>
          <w:tcPr>
            <w:tcW w:w="1862" w:type="dxa"/>
            <w:tcBorders>
              <w:top w:val="nil"/>
              <w:left w:val="nil"/>
              <w:bottom w:val="nil"/>
              <w:right w:val="nil"/>
            </w:tcBorders>
          </w:tcPr>
          <w:p w14:paraId="247E66AA" w14:textId="77777777" w:rsidR="008E4EBD" w:rsidRDefault="00483AC6">
            <w:pPr>
              <w:pStyle w:val="Compact"/>
              <w:jc w:val="center"/>
            </w:pPr>
            <w:r>
              <w:t>0.913 (0.063)</w:t>
            </w:r>
          </w:p>
        </w:tc>
        <w:tc>
          <w:tcPr>
            <w:tcW w:w="1862" w:type="dxa"/>
            <w:tcBorders>
              <w:top w:val="nil"/>
              <w:left w:val="nil"/>
              <w:bottom w:val="nil"/>
              <w:right w:val="nil"/>
            </w:tcBorders>
          </w:tcPr>
          <w:p w14:paraId="247E66AB" w14:textId="77777777" w:rsidR="008E4EBD" w:rsidRDefault="00483AC6">
            <w:pPr>
              <w:pStyle w:val="Compact"/>
              <w:jc w:val="center"/>
            </w:pPr>
            <w:r>
              <w:t>0.996 (0.202)</w:t>
            </w:r>
          </w:p>
        </w:tc>
        <w:tc>
          <w:tcPr>
            <w:tcW w:w="2008" w:type="dxa"/>
            <w:tcBorders>
              <w:top w:val="nil"/>
              <w:left w:val="nil"/>
              <w:bottom w:val="nil"/>
              <w:right w:val="nil"/>
            </w:tcBorders>
          </w:tcPr>
          <w:p w14:paraId="247E66AC" w14:textId="77777777" w:rsidR="008E4EBD" w:rsidRDefault="00483AC6">
            <w:pPr>
              <w:pStyle w:val="Compact"/>
              <w:jc w:val="center"/>
            </w:pPr>
            <w:r>
              <w:t>0.380 (0.133)</w:t>
            </w:r>
          </w:p>
        </w:tc>
      </w:tr>
      <w:tr w:rsidR="008E4EBD" w14:paraId="247E66B4" w14:textId="77777777">
        <w:tc>
          <w:tcPr>
            <w:tcW w:w="716" w:type="dxa"/>
            <w:tcBorders>
              <w:top w:val="nil"/>
              <w:left w:val="nil"/>
              <w:bottom w:val="nil"/>
              <w:right w:val="nil"/>
            </w:tcBorders>
          </w:tcPr>
          <w:p w14:paraId="247E66AE" w14:textId="77777777" w:rsidR="008E4EBD" w:rsidRDefault="00483AC6">
            <w:pPr>
              <w:pStyle w:val="Compact"/>
              <w:jc w:val="center"/>
            </w:pPr>
            <w:r>
              <w:t>0.8</w:t>
            </w:r>
          </w:p>
        </w:tc>
        <w:tc>
          <w:tcPr>
            <w:tcW w:w="716" w:type="dxa"/>
            <w:tcBorders>
              <w:top w:val="nil"/>
              <w:left w:val="nil"/>
              <w:bottom w:val="nil"/>
              <w:right w:val="nil"/>
            </w:tcBorders>
          </w:tcPr>
          <w:p w14:paraId="247E66AF" w14:textId="77777777" w:rsidR="008E4EBD" w:rsidRDefault="00483AC6">
            <w:pPr>
              <w:pStyle w:val="Compact"/>
              <w:jc w:val="center"/>
            </w:pPr>
            <w:r>
              <w:t>0.4</w:t>
            </w:r>
          </w:p>
        </w:tc>
        <w:tc>
          <w:tcPr>
            <w:tcW w:w="1862" w:type="dxa"/>
            <w:tcBorders>
              <w:top w:val="nil"/>
              <w:left w:val="nil"/>
              <w:bottom w:val="nil"/>
              <w:right w:val="nil"/>
            </w:tcBorders>
          </w:tcPr>
          <w:p w14:paraId="247E66B0" w14:textId="77777777" w:rsidR="008E4EBD" w:rsidRDefault="00483AC6">
            <w:pPr>
              <w:pStyle w:val="Compact"/>
              <w:jc w:val="center"/>
            </w:pPr>
            <w:r>
              <w:t>1.063 (0.208)</w:t>
            </w:r>
          </w:p>
        </w:tc>
        <w:tc>
          <w:tcPr>
            <w:tcW w:w="1862" w:type="dxa"/>
            <w:tcBorders>
              <w:top w:val="nil"/>
              <w:left w:val="nil"/>
              <w:bottom w:val="nil"/>
              <w:right w:val="nil"/>
            </w:tcBorders>
          </w:tcPr>
          <w:p w14:paraId="247E66B1" w14:textId="77777777" w:rsidR="008E4EBD" w:rsidRDefault="00483AC6">
            <w:pPr>
              <w:pStyle w:val="Compact"/>
              <w:jc w:val="center"/>
            </w:pPr>
            <w:r>
              <w:t>0.938 (0.055)</w:t>
            </w:r>
          </w:p>
        </w:tc>
        <w:tc>
          <w:tcPr>
            <w:tcW w:w="1862" w:type="dxa"/>
            <w:tcBorders>
              <w:top w:val="nil"/>
              <w:left w:val="nil"/>
              <w:bottom w:val="nil"/>
              <w:right w:val="nil"/>
            </w:tcBorders>
          </w:tcPr>
          <w:p w14:paraId="247E66B2" w14:textId="77777777" w:rsidR="008E4EBD" w:rsidRDefault="00483AC6">
            <w:pPr>
              <w:pStyle w:val="Compact"/>
              <w:jc w:val="center"/>
            </w:pPr>
            <w:r>
              <w:t>0.980 (0.209)</w:t>
            </w:r>
          </w:p>
        </w:tc>
        <w:tc>
          <w:tcPr>
            <w:tcW w:w="2008" w:type="dxa"/>
            <w:tcBorders>
              <w:top w:val="nil"/>
              <w:left w:val="nil"/>
              <w:bottom w:val="nil"/>
              <w:right w:val="nil"/>
            </w:tcBorders>
          </w:tcPr>
          <w:p w14:paraId="247E66B3" w14:textId="77777777" w:rsidR="008E4EBD" w:rsidRDefault="00483AC6">
            <w:pPr>
              <w:pStyle w:val="Compact"/>
              <w:jc w:val="center"/>
            </w:pPr>
            <w:r>
              <w:t>0.790 (0.095)</w:t>
            </w:r>
          </w:p>
        </w:tc>
      </w:tr>
      <w:tr w:rsidR="008E4EBD" w14:paraId="247E66BB" w14:textId="77777777">
        <w:tc>
          <w:tcPr>
            <w:tcW w:w="716" w:type="dxa"/>
            <w:tcBorders>
              <w:top w:val="nil"/>
              <w:left w:val="nil"/>
              <w:bottom w:val="single" w:sz="12" w:space="0" w:color="auto"/>
              <w:right w:val="nil"/>
            </w:tcBorders>
          </w:tcPr>
          <w:p w14:paraId="247E66B5" w14:textId="77777777" w:rsidR="008E4EBD" w:rsidRDefault="00483AC6">
            <w:pPr>
              <w:pStyle w:val="Compact"/>
              <w:jc w:val="center"/>
            </w:pPr>
            <w:r>
              <w:t>0.8</w:t>
            </w:r>
          </w:p>
        </w:tc>
        <w:tc>
          <w:tcPr>
            <w:tcW w:w="716" w:type="dxa"/>
            <w:tcBorders>
              <w:top w:val="nil"/>
              <w:left w:val="nil"/>
              <w:bottom w:val="single" w:sz="12" w:space="0" w:color="auto"/>
              <w:right w:val="nil"/>
            </w:tcBorders>
          </w:tcPr>
          <w:p w14:paraId="247E66B6" w14:textId="77777777" w:rsidR="008E4EBD" w:rsidRDefault="00483AC6">
            <w:pPr>
              <w:pStyle w:val="Compact"/>
              <w:jc w:val="center"/>
            </w:pPr>
            <w:r>
              <w:t>0.8</w:t>
            </w:r>
          </w:p>
        </w:tc>
        <w:tc>
          <w:tcPr>
            <w:tcW w:w="1862" w:type="dxa"/>
            <w:tcBorders>
              <w:top w:val="nil"/>
              <w:left w:val="nil"/>
              <w:bottom w:val="single" w:sz="12" w:space="0" w:color="auto"/>
              <w:right w:val="nil"/>
            </w:tcBorders>
          </w:tcPr>
          <w:p w14:paraId="247E66B7" w14:textId="77777777" w:rsidR="008E4EBD" w:rsidRDefault="00483AC6">
            <w:pPr>
              <w:pStyle w:val="Compact"/>
              <w:jc w:val="center"/>
            </w:pPr>
            <w:r>
              <w:t>1.256 (0.248)</w:t>
            </w:r>
          </w:p>
        </w:tc>
        <w:tc>
          <w:tcPr>
            <w:tcW w:w="1862" w:type="dxa"/>
            <w:tcBorders>
              <w:top w:val="nil"/>
              <w:left w:val="nil"/>
              <w:bottom w:val="single" w:sz="12" w:space="0" w:color="auto"/>
              <w:right w:val="nil"/>
            </w:tcBorders>
          </w:tcPr>
          <w:p w14:paraId="247E66B8" w14:textId="77777777" w:rsidR="008E4EBD" w:rsidRDefault="00483AC6">
            <w:pPr>
              <w:pStyle w:val="Compact"/>
              <w:jc w:val="center"/>
            </w:pPr>
            <w:r>
              <w:t>1.000 (0.002)</w:t>
            </w:r>
          </w:p>
        </w:tc>
        <w:tc>
          <w:tcPr>
            <w:tcW w:w="1862" w:type="dxa"/>
            <w:tcBorders>
              <w:top w:val="nil"/>
              <w:left w:val="nil"/>
              <w:bottom w:val="single" w:sz="12" w:space="0" w:color="auto"/>
              <w:right w:val="nil"/>
            </w:tcBorders>
          </w:tcPr>
          <w:p w14:paraId="247E66B9" w14:textId="77777777" w:rsidR="008E4EBD" w:rsidRDefault="00483AC6">
            <w:pPr>
              <w:pStyle w:val="Compact"/>
              <w:jc w:val="center"/>
            </w:pPr>
            <w:r>
              <w:t>0.976 (0.237)</w:t>
            </w:r>
          </w:p>
        </w:tc>
        <w:tc>
          <w:tcPr>
            <w:tcW w:w="2008" w:type="dxa"/>
            <w:tcBorders>
              <w:top w:val="nil"/>
              <w:left w:val="nil"/>
              <w:bottom w:val="single" w:sz="12" w:space="0" w:color="auto"/>
              <w:right w:val="nil"/>
            </w:tcBorders>
          </w:tcPr>
          <w:p w14:paraId="247E66BA" w14:textId="77777777" w:rsidR="008E4EBD" w:rsidRDefault="00483AC6">
            <w:pPr>
              <w:pStyle w:val="Compact"/>
              <w:jc w:val="center"/>
            </w:pPr>
            <w:r>
              <w:t>0.783 (0.075)</w:t>
            </w:r>
          </w:p>
        </w:tc>
      </w:tr>
    </w:tbl>
    <w:p w14:paraId="247E66BC" w14:textId="77777777" w:rsidR="008E4EBD" w:rsidRDefault="00483AC6">
      <w:pPr>
        <w:pStyle w:val="Heading2"/>
      </w:pPr>
      <w:bookmarkStart w:id="31" w:name="a.5.-computational-notes"/>
      <w:r>
        <w:t>A.5. Computational notes</w:t>
      </w:r>
      <w:bookmarkEnd w:id="31"/>
    </w:p>
    <w:p w14:paraId="247E66BD" w14:textId="4D5EAF39" w:rsidR="008E4EBD" w:rsidRDefault="00483AC6">
      <w:pPr>
        <w:pStyle w:val="FirstParagraph"/>
      </w:pPr>
      <w:r>
        <w:t xml:space="preserve">The replication script supplied with this revision is implemented in base R. It uses Cholesky simulation for the area effects and area-specific sampling errors, a bisection solver for the UFH Fay–Herriot moment estimator, Nelder–Mead optimization for the MFH Gaussian likelihood under both working sampling-error covariance specifications, and optional parallel execution across scenarios. The script writes a full results file plus separate CSV tables for observed-cell MSEs, missing-cell MSEs, point-deviation </w:t>
      </w:r>
      <w:r>
        <w:t>summaries, MFH parameter estimates, and prediction biases. Because R's default random number generator differs from NumPy's PCG64 generator, the R and Python scripts are Monte Carlo-equivalent rather than bit-for-bit identical.</w:t>
      </w:r>
    </w:p>
    <w:p w14:paraId="247E66BE" w14:textId="700365A0" w:rsidR="008E4EBD" w:rsidRDefault="00483AC6">
      <w:pPr>
        <w:pStyle w:val="BodyText"/>
      </w:pPr>
      <w:r>
        <w:t xml:space="preserve">Two simplifications relative to a production implementation deserve note. First, the MFH covariance parameters are estimated </w:t>
      </w:r>
      <w:r w:rsidR="00B3142B">
        <w:t>only from areas with complete data; in applications, the likelihood can be extended to include observed blocks from</w:t>
      </w:r>
      <w:r>
        <w:t xml:space="preserve"> incomplete areas, which would slightly improve efficiency. Second, the simulation evaluates </w:t>
      </w:r>
      <w:r w:rsidR="00B3142B">
        <w:t>only point-prediction accuracy</w:t>
      </w:r>
      <w:r>
        <w:t xml:space="preserve">; MSE </w:t>
      </w:r>
      <w:r>
        <w:rPr>
          <w:i/>
        </w:rPr>
        <w:t>estimation</w:t>
      </w:r>
      <w:r>
        <w:t xml:space="preserve"> for the EBLUPs—via second-order approximations or parametric bootstrap, as discussed in Section 12.1—is a separate exercise not undertaken here.</w:t>
      </w:r>
    </w:p>
    <w:sectPr w:rsidR="008E4EB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29F35" w14:textId="77777777" w:rsidR="00483AC6" w:rsidRDefault="00483AC6">
      <w:pPr>
        <w:spacing w:after="0" w:line="240" w:lineRule="auto"/>
      </w:pPr>
      <w:r>
        <w:separator/>
      </w:r>
    </w:p>
  </w:endnote>
  <w:endnote w:type="continuationSeparator" w:id="0">
    <w:p w14:paraId="50E095A8" w14:textId="77777777" w:rsidR="00483AC6" w:rsidRDefault="00483A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5672" w14:textId="77777777" w:rsidR="00483AC6" w:rsidRDefault="00483AC6">
      <w:r>
        <w:separator/>
      </w:r>
    </w:p>
  </w:footnote>
  <w:footnote w:type="continuationSeparator" w:id="0">
    <w:p w14:paraId="0E9C8A1A" w14:textId="77777777" w:rsidR="00483AC6" w:rsidRDefault="00483A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E5DA936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8338882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09577255">
    <w:abstractNumId w:val="1"/>
  </w:num>
  <w:num w:numId="2" w16cid:durableId="411004611">
    <w:abstractNumId w:val="0"/>
  </w:num>
  <w:num w:numId="3" w16cid:durableId="94374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1726D0"/>
    <w:rsid w:val="0022340A"/>
    <w:rsid w:val="0035735F"/>
    <w:rsid w:val="00483AC6"/>
    <w:rsid w:val="00491010"/>
    <w:rsid w:val="004912B7"/>
    <w:rsid w:val="004E29B3"/>
    <w:rsid w:val="00530C79"/>
    <w:rsid w:val="00590D07"/>
    <w:rsid w:val="006D0744"/>
    <w:rsid w:val="00784D58"/>
    <w:rsid w:val="008D6863"/>
    <w:rsid w:val="008E4EBD"/>
    <w:rsid w:val="009221FB"/>
    <w:rsid w:val="009C18C8"/>
    <w:rsid w:val="009E3E7E"/>
    <w:rsid w:val="00B3142B"/>
    <w:rsid w:val="00B86B75"/>
    <w:rsid w:val="00BC48D5"/>
    <w:rsid w:val="00C36279"/>
    <w:rsid w:val="00C54403"/>
    <w:rsid w:val="00CD61AD"/>
    <w:rsid w:val="00E308C7"/>
    <w:rsid w:val="00E315A3"/>
    <w:rsid w:val="00E420AA"/>
    <w:rsid w:val="00E84017"/>
    <w:rsid w:val="00ED0F7F"/>
    <w:rsid w:val="00FC61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E635F"/>
  <w15:docId w15:val="{491847C2-4E21-42AC-8989-940E8CDA1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8" w:lineRule="auto"/>
      <w:jc w:val="both"/>
    </w:pPr>
    <w:rPr>
      <w:rFonts w:ascii="Times New Roman" w:eastAsia="Times New Roman" w:hAnsi="Times New Roman" w:cs="Times New Roman"/>
      <w:sz w:val="22"/>
      <w:szCs w:val="22"/>
    </w:rPr>
  </w:style>
  <w:style w:type="paragraph" w:styleId="Heading1">
    <w:name w:val="heading 1"/>
    <w:basedOn w:val="Normal"/>
    <w:next w:val="BodyText"/>
    <w:uiPriority w:val="9"/>
    <w:qFormat/>
    <w:pPr>
      <w:keepNext/>
      <w:keepLines/>
      <w:spacing w:before="480" w:after="240"/>
      <w:jc w:val="center"/>
      <w:outlineLvl w:val="0"/>
    </w:pPr>
    <w:rPr>
      <w:b/>
      <w:bCs/>
      <w:color w:val="000000"/>
      <w:sz w:val="24"/>
      <w:szCs w:val="24"/>
    </w:rPr>
  </w:style>
  <w:style w:type="paragraph" w:styleId="Heading2">
    <w:name w:val="heading 2"/>
    <w:basedOn w:val="Normal"/>
    <w:next w:val="BodyText"/>
    <w:uiPriority w:val="9"/>
    <w:unhideWhenUsed/>
    <w:qFormat/>
    <w:pPr>
      <w:keepNext/>
      <w:keepLines/>
      <w:spacing w:before="280"/>
      <w:jc w:val="left"/>
      <w:outlineLvl w:val="1"/>
    </w:pPr>
    <w:rPr>
      <w:b/>
      <w:bCs/>
      <w:i/>
      <w:iCs/>
      <w:color w:val="000000"/>
    </w:rPr>
  </w:style>
  <w:style w:type="paragraph" w:styleId="Heading3">
    <w:name w:val="heading 3"/>
    <w:basedOn w:val="Normal"/>
    <w:next w:val="BodyText"/>
    <w:uiPriority w:val="9"/>
    <w:unhideWhenUsed/>
    <w:qFormat/>
    <w:pPr>
      <w:keepNext/>
      <w:keepLines/>
      <w:spacing w:before="200" w:after="80"/>
      <w:jc w:val="left"/>
      <w:outlineLvl w:val="2"/>
    </w:pPr>
    <w:rPr>
      <w:i/>
      <w:i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29</Pages>
  <Words>12887</Words>
  <Characters>73457</Characters>
  <Application>Microsoft Office Word</Application>
  <DocSecurity>0</DocSecurity>
  <Lines>1669</Lines>
  <Paragraphs>959</Paragraphs>
  <ScaleCrop>false</ScaleCrop>
  <Company/>
  <LinksUpToDate>false</LinksUpToDate>
  <CharactersWithSpaces>85385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Nobuo Yoshida</cp:lastModifiedBy>
  <cp:revision>14</cp:revision>
  <dcterms:created xsi:type="dcterms:W3CDTF">2026-06-12T23:12:00Z</dcterms:created>
  <dcterms:modified xsi:type="dcterms:W3CDTF">2026-06-13T00:17:00Z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344144ca-fd08-4d93-b29e-f32b6a03cd23</vt:lpwstr>
  </property>
</Properties>
</file>