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w:t>
            </w:r>
            <w:r>
              <w:rPr>
                <w:rStyle w:val="Hyperlink"/>
                <w:noProof/>
              </w:rPr>
              <w:t xml:space="preserve">year-specific</w:t>
            </w:r>
            <w:r>
              <w:rPr>
                <w:rStyle w:val="Hyperlink"/>
                <w:noProof/>
              </w:rPr>
              <w:t xml:space="preserve">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r>
              <w:rPr>
                <w:rStyle w:val="Hyperlink"/>
                <w:noProof/>
              </w:rPr>
              <w:t xml:space="preserve">Route A: Supply</w:t>
            </w:r>
            <w:r>
              <w:rPr>
                <w:rStyle w:val="Hyperlink"/>
                <w:noProof/>
              </w:rPr>
              <w:t xml:space="preserve"> anchored lines in the survey</w:t>
            </w:r>
            <w:r>
              <w:rPr>
                <w:noProof/>
                <w:webHidden/>
              </w:rPr>
              <w:tab/>
              <w:fldChar w:fldCharType="begin"/>
              <w:instrText xml:space="preserve"> PAGEREF _Toc242266101 \h </w:instrText>
              <w:fldChar w:fldCharType="separate"/>
              <w:t>92</w:t>
              <w:fldChar w:fldCharType="end"/>
            </w:r>
          </w:hyperlink>
        </w:p>
        <w:p w14:paraId="26941B2E" w14:textId="29821032" w:rsidR="000222B2" w:rsidRDefault="000222B2">
          <w:pPr>
            <w:pStyle w:val="TOC3"/>
            <w:tabs>
              <w:tab w:val="right" w:leader="dot" w:pos="9350"/>
            </w:tabs>
            <w:rPr>
              <w:noProof/>
              <w14:ligatures w14:val="standardContextual"/>
            </w:rPr>
          </w:pPr>
          <w:hyperlink w:anchor="_Toc242266102" w:history="1">
            <w:r>
              <w:rPr>
                <w:rStyle w:val="Hyperlink"/>
                <w:noProof/>
              </w:rPr>
              <w:t xml:space="preserve">11.11.2 </w:t>
            </w:r>
            <w:r>
              <w:rPr>
                <w:rStyle w:val="Hyperlink"/>
                <w:noProof/>
              </w:rPr>
              <w:t xml:space="preserve">Route B: Proposed</w:t>
            </w:r>
            <w:r>
              <w:rPr>
                <w:rStyle w:val="Hyperlink"/>
                <w:noProof/>
              </w:rPr>
              <w:t xml:space="preserve"> CPI calculation in the app</w:t>
            </w:r>
            <w:r>
              <w:rPr>
                <w:noProof/>
                <w:webHidden/>
              </w:rPr>
              <w:tab/>
              <w:fldChar w:fldCharType="begin"/>
              <w:instrText xml:space="preserve"> PAGEREF _Toc242266102 \h </w:instrText>
              <w:fldChar w:fldCharType="separate"/>
              <w:t>93</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11.11.3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w:t>
            </w:r>
            <w:r>
              <w:rPr>
                <w:rStyle w:val="Hyperlink"/>
                <w:noProof/>
              </w:rPr>
              <w:t xml:space="preserve">Route A: Supply</w:t>
            </w:r>
            <w:r>
              <w:rPr>
                <w:rStyle w:val="Hyperlink"/>
                <w:noProof/>
              </w:rPr>
              <w:t xml:space="preserve"> welfare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w:t>
            </w:r>
            <w:r>
              <w:rPr>
                <w:rStyle w:val="Hyperlink"/>
                <w:noProof/>
              </w:rPr>
              <w:t xml:space="preserve">Route B: Convert</w:t>
            </w:r>
            <w:r>
              <w:rPr>
                <w:rStyle w:val="Hyperlink"/>
                <w:noProof/>
              </w:rPr>
              <w:t xml:space="preserve">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900001" w:history="1">
            <w:r>
              <w:rPr>
                <w:rStyle w:val="Hyperlink"/>
                <w:noProof/>
              </w:rPr>
              <w:t>11.13 Reading the change outputs</w:t>
            </w:r>
            <w:r>
              <w:rPr>
                <w:noProof/>
                <w:webHidden/>
              </w:rPr>
              <w:tab/>
              <w:fldChar w:fldCharType="begin"/>
              <w:instrText xml:space="preserve"> PAGEREF _Toc900001 \h </w:instrText>
              <w:fldChar w:fldCharType="separate"/>
              <w:t>97</w:t>
              <w:fldChar w:fldCharType="end"/>
            </w:r>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w:t>
      </w:r>
      <w:r>
        <w:t xml:space="preserve">Anchored poverty currently requires precomputed anchored lines, supplied as a survey column or as one numeric line per survey year. Automatic calculation from CPI values, an anchor income year and a monetary anchor-year threshold is a proposed extension and is not available in this release (Section 11.11).</w:t>
      </w:r>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w:t>
      </w:r>
      <w:r>
        <w:t xml:space="preserve">(Section 11.13)</w:t>
      </w:r>
      <w:r>
        <w:t xml:space="preserve">.</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w:t>
      </w:r>
      <w:r>
        <w:t xml:space="preserve">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
      <w:r>
        <w:t>Compute direct estimates and sampling variances for each area and year.</w:t>
      </w:r>
    </w:p>
    <w:p w14:paraId="74B9DC6A" w14:textId="77777777" w:rsidR="004F44B0" w:rsidRDefault="001F4DFD">
      <w:pPr>
        <w:numPr>
          <w:ilvl w:val="0"/>
          <w:numId w:val="7"/>
        </w:numPr>
      </w:pPr>
      <w:r>
        <w:t>Review direct estimates, sample sizes, standard errors, and coefficients of variation.</w:t>
      </w:r>
    </w:p>
    <w:p w14:paraId="1949C99E" w14:textId="77777777" w:rsidR="004F44B0" w:rsidRDefault="001F4DFD">
      <w:pPr>
        <w:numPr>
          <w:ilvl w:val="0"/>
          <w:numId w:val="7"/>
        </w:numPr>
      </w:pPr>
      <w:r>
        <w:lastRenderedPageBreak/>
        <w:t>Run UFH models separately by year.</w:t>
      </w:r>
    </w:p>
    <w:p w14:paraId="3EC876A9" w14:textId="77777777" w:rsidR="004F44B0" w:rsidRDefault="001F4DFD">
      <w:pPr>
        <w:numPr>
          <w:ilvl w:val="0"/>
          <w:numId w:val="7"/>
        </w:numPr>
      </w:pPr>
      <w:r>
        <w:t>Review UFH diagnostics and compare UFH estimates with direct estimates.</w:t>
      </w:r>
    </w:p>
    <w:p w14:paraId="2B7CF714" w14:textId="77777777" w:rsidR="004F44B0" w:rsidRDefault="001F4DFD">
      <w:pPr>
        <w:numPr>
          <w:ilvl w:val="0"/>
          <w:numId w:val="7"/>
        </w:numPr>
      </w:pPr>
      <w:r>
        <w:t>Run MFH models when two or more comparable years are available.</w:t>
      </w:r>
    </w:p>
    <w:p w14:paraId="741F9141" w14:textId="77777777" w:rsidR="004F44B0" w:rsidRDefault="001F4DFD">
      <w:pPr>
        <w:numPr>
          <w:ilvl w:val="0"/>
          <w:numId w:val="7"/>
        </w:numPr>
      </w:pPr>
      <w:r>
        <w:t>Compare direct, UFH, and MFH estimates.</w:t>
      </w:r>
    </w:p>
    <w:p w14:paraId="7A146664" w14:textId="77777777" w:rsidR="004F44B0" w:rsidRDefault="001F4DFD">
      <w:pPr>
        <w:numPr>
          <w:ilvl w:val="0"/>
          <w:numId w:val="7"/>
        </w:numPr>
      </w:pPr>
      <w:r>
        <w:t>Review uncertainty, diagnostics, sensitivity checks, and maps.</w:t>
      </w:r>
    </w:p>
    <w:p w14:paraId="7BA90D39" w14:textId="77777777" w:rsidR="004F44B0" w:rsidRDefault="001F4DFD">
      <w:pPr>
        <w:numPr>
          <w:ilvl w:val="0"/>
          <w:numId w:val="7"/>
        </w:numPr>
      </w:pPr>
      <w:r>
        <w:t>Select recommended estimates for reporting.</w:t>
      </w:r>
    </w:p>
    <w:p w14:paraId="1F6D5080" w14:textId="77777777" w:rsidR="004F44B0" w:rsidRDefault="001F4DFD">
      <w:pPr>
        <w:numPr>
          <w:ilvl w:val="0"/>
          <w:numId w:val="7"/>
        </w:numPr>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In the current release, CPI inputs are applied only to mean welfare; anchored poverty lines must be prepared before loading the survey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r>
              <w:t xml:space="preserve"> Column: the selected benchmark-level variable, or benchmark_level, level, group, group_id, region, reg or region_id; it can be omitted when there is a single group.</w:t>
            </w:r>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w:t>
            </w:r>
            <w:r>
              <w:t xml:space="preserve"> Name the column year, time or period.</w:t>
            </w:r>
            <w:r>
              <w:t xml:space="preserve">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r>
              <w:t xml:space="preserve"> Name the column benchmark or target (also accepted: B_r, benchmark_target, regional_benchmark, direct, direct_rate, poverty_rate).</w:t>
            </w:r>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r>
              <w:t>Population size, if needed for aggregation.</w:t>
            </w:r>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w:t>
      </w:r>
      <w:r>
        <w:t xml:space="preserve">so targets should then be supplied in the same current prices as that survey year’s welfare, that is, the prices of its income reference year (for EU-SILC, usually the year before the survey);</w:t>
      </w:r>
      <w:r>
        <w:t xml:space="preserve">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For anchored poverty in the current release, use the same CPI principles to calculate the line outside the app and store it in the survey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For an anchored poverty line, keep the anchor-year threshold fixed in real terms and express it in the same prices as each survey welfare observation. The current app accepts externally prepared anchored lines in a survey column. Section 11.11 distinguishes this available route from the proposed automatic CPI route.</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(equal to the survey weight for person records with household size 1)</w:t>
      </w:r>
      <w:r>
        <w:t xml:space="preserve">,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w:t>
      </w:r>
      <w:r>
        <w:t xml:space="preserve">persons</w:t>
      </w:r>
      <w:r>
        <w:t xml:space="preserve">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Section 4.6)</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r>
              <w:t xml:space="preserve">Coefficient of variation: standard error divided by the direct estimate, often shown as a percentage.</w:t>
            </w:r>
          </w:p>
        </w:tc>
      </w:tr>
    </w:tbl>
    <w:p w14:paraId="1F3AABD8" w14:textId="77777777" w:rsidR="004F44B0" w:rsidRDefault="001F4DFD">
      <w:pPr>
        <w:pStyle w:val="BodyText"/>
      </w:pPr>
      <w:r>
        <w:t xml:space="preserve">Direct estimates should be computed using the appropriate survey weights and, where possible, the survey design variables. </w:t>
      </w:r>
      <w:r>
        <w:t xml:space="preserve">In the Dashboard, direct estimates are therefore person-weighted; household size must be present in the survey data and mapped in the app (use a constant-one column for person records with person weights).</w:t>
      </w:r>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w:t>
      </w:r>
      <w:r>
        <w:t xml:space="preserve"> It is often shown as a percentage, 100 × SE / estimate.</w:t>
      </w:r>
      <w:r>
        <w:t xml:space="preserv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w:t>
      </w:r>
      <w:r>
        <w:t xml:space="preserve">for each domain and year:</w:t>
      </w:r>
      <w:r>
        <w:t xml:space="preserve">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w:t>
      </w:r>
      <w:r>
        <w:t xml:space="preserve">arcsin or no transformation for the headcount ratio (FGT(0)), and log or no transformation for mean welfare. FGT(1) and FGT(2) are always modeled without transformation.</w:t>
      </w:r>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w:t>
      </w:r>
      <w:r>
        <w:t xml:space="preserve">use bc_sm when the objective is an arithmetic mean on the currency scale: it multiplies each back-transformed estimate by the domain’s ratio of its direct arithmetic mean to its direct geometric mean (Annex G.4). Exponentiating without this factor (none) estimates the geometric mean;</w:t>
      </w:r>
      <w:r>
        <w:t xml:space="preserve">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w:t>
      </w:r>
      <w:r>
        <w:t xml:space="preserve">(Section 11.13)</w:t>
      </w:r>
      <w:r>
        <w:t xml:space="preserve">.</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pPr>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w:t>
      </w:r>
      <w:r>
        <w:t xml:space="preserve">; and whether results are sensitive to alternative model choices</w:t>
      </w:r>
      <w:r>
        <w:t xml:space="preserve">.</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w:t>
      </w:r>
      <w:r>
        <w:t xml:space="preserve">For poverty rates and mean welfare, the Dashboard applies a region-level</w:t>
      </w:r>
      <w:r>
        <w:t xml:space="preserve">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Because the factor is common within a group and multiplicative, the benchmarked rates remain non-negative, preserve the ordering of areas, and aggregate exactly to the target.</w:t>
      </w:r>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w:t>
      </w:r>
      <w:r>
        <w:t xml:space="preserve">; and the benchmark year matches the survey year</w:t>
      </w:r>
      <w:r>
        <w:t xml:space="preserve">.</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only when the two waves are drawn independently.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w:t>
      </w:r>
      <w:r>
        <w:t xml:space="preserve">Select bc_sm, a domain-year smearing factor (Annex G.4), to obtain</w:t>
      </w:r>
      <w:r>
        <w:t xml:space="preserve"> arithmetic-mean welfare predictions on the currency scale, and document the correction. </w:t>
      </w:r>
      <w:r>
        <w:t xml:space="preserve">With none, the estimates are geometric means.</w:t>
      </w:r>
      <w:r>
        <w:t xml:space="preserve">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w:t>
      </w:r>
      <w:r>
        <w:t xml:space="preserve">; and whether results are sensitive to covariance</w:t>
      </w:r>
      <w:r>
        <w:t xml:space="preserv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w:t>
      </w:r>
      <w:r>
        <w:t xml:space="preserve">are identified. Produced by the EU SAE Dashboard.</w:t>
      </w:r>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
      <w:r>
        <w:t>Do UFH and MFH improve precision without producing implausible estimates?</w:t>
      </w:r>
    </w:p>
    <w:p w14:paraId="7954A531" w14:textId="77777777" w:rsidR="004F44B0" w:rsidRDefault="001F4DFD">
      <w:pPr>
        <w:numPr>
          <w:ilvl w:val="0"/>
          <w:numId w:val="8"/>
        </w:numPr>
      </w:pPr>
      <w:r>
        <w:t>Does MFH improve time comparability relative to separate UFH models?</w:t>
      </w:r>
    </w:p>
    <w:p w14:paraId="3F523B25" w14:textId="77777777" w:rsidR="004F44B0" w:rsidRDefault="001F4DFD">
      <w:pPr>
        <w:numPr>
          <w:ilvl w:val="0"/>
          <w:numId w:val="8"/>
        </w:numPr>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w:t>
      </w:r>
      <w:r>
        <w:t xml:space="preserve">to set the indicator and price basis; Section 11.13 explains how to read the change outputs.</w:t>
      </w:r>
      <w:r>
        <w:t xml:space="preserve"> The classic dashboard remains available; the wizard is the recommended interface for routine use. These instructions refer to application 5.2.0-rc.6 with wizard 5.12.</w:t>
      </w:r>
      <w:r>
        <w:t xml:space="preserve"> The screenshots use the Spain example (survey years 2012 and 2013); the worked examples use 2022 and 2023.</w:t>
      </w:r>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Install R 4.2 or later from https://cran.r-project.org/, using a current version approved by your organization. For reliable report generation, the latest stable RStudio Desktop version compatible with your computer is strongly recommended. Install it after R: https://posit.co/download/rstudio-desktop/. RStudio supplies Pandoc; it is optional for running the wizard itself.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w:t>
      </w:r>
      <w:r>
        <w:t xml:space="preserve">if macOS blocks it, open System Settings → Privacy &amp; Security and choose Open Anyway (macOS 15 or later), or Control-click the file and choose Open (macOS 14 or earlier).</w:t>
      </w:r>
      <w:r>
        <w:t xml:space="preserve">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w:t>
      </w:r>
      <w:r>
        <w:t xml:space="preserve">The wizard reports outstanding items at each step. Run Analysis becomes available once the Step 1 inputs are complete (two analysis years, a seed, and the survey, auxiliary and geometry files), but a run starts only after Check Data Readiness has passed without an ERROR; changing an input resets that check (Section 11.8).</w:t>
      </w:r>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The current poverty workflow does not use this CPI input to calculate anchored lines.</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precomputed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w:t>
      </w:r>
      <w:r>
        <w:t xml:space="preserve">(arcsin or no transformation for FGT(0) headcounts, no transformation for FGT(1) and FGT(2); log or no transformation for mean welfare)</w:t>
      </w:r>
      <w:r>
        <w:t xml:space="preserv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w:t>
      </w:r>
      <w:r>
        <w:t xml:space="preserve">choose bc_sm (domain-level smearing; Annex G.4) in both UFH and MFH</w:t>
      </w:r>
      <w:r>
        <w:t xml:space="preserve">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w:t>
      </w:r>
      <w:r>
        <w:t xml:space="preserve">mean welfare can use log with bc_sm.</w:t>
      </w:r>
      <w:r>
        <w:t xml:space="preserve">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r>
        <w:t xml:space="preserve">Run 1. Check Data Readiness, which must pass without an ERROR, before 2. Run Analysis.</w:t>
      </w:r>
      <w:r>
        <w:t xml:space="preserve">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pPr>
      <w:r>
        <w:t xml:space="preserve">Section 11.13 explains how to read the change outputs: their units (percentage points for headcounts, percent for mean welfare, raw log ratios in the box plots), the uncertainty behind each method, and the output fields that hold them.</w:t>
      </w:r>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w:t>
      </w:r>
      <w:r>
        <w:t xml:space="preserve">year-specific</w:t>
      </w:r>
      <w:r>
        <w:t xml:space="preserve">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w:t>
      </w:r>
      <w:r>
        <w:t xml:space="preserve">leave AI off unless required. In Step 6, check the poverty lines in the summary, run Check Data Readiness, then Run Analysis.</w:t>
      </w:r>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w:t>
      </w:r>
      <w:r>
        <w:t xml:space="preserve">Box plots and the change workbook show headcount changes in percentage points; the significance tables and change maps store them as proportions (−0.020 is −2.0 points; Section 11.13).</w:t>
      </w:r>
      <w:r>
        <w:t xml:space="preserve">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61874CD0" w14:textId="77777777" w:rsidR="007E4E93" w:rsidRDefault="00E3560C">
      <w:pPr>
        <w:pStyle w:val="BodyText"/>
      </w:pPr>
      <w:r>
        <w:rPr>
          <w:b/>
        </w:rPr>
        <w:t>Availability.</w:t>
      </w:r>
      <w:r>
        <w:t xml:space="preserve"> Route A, a precomputed anchored-line column, is available in application 5.2.0-rc.6 with wizard 5.12. </w:t>
      </w:r>
      <w:r>
        <w:t xml:space="preserve">Route B, in which the app would calculate the lines from CPI values, an anchor income year and a monetary anchor-year threshold entered by the analyst, is a proposed extension that would require an application update.</w:t>
      </w:r>
      <w:r>
        <w:t xml:space="preserve"> Use Route A in the current release.</w:t>
      </w:r>
    </w:p>
    <w:p w14:paraId="1E9AC123" w14:textId="77777777" w:rsidR="007E4E93" w:rsidRDefault="00E3560C">
      <w:pPr>
        <w:pStyle w:val="Heading3"/>
      </w:pPr>
      <w:bookmarkStart w:id="341" w:name="_Toc242266101"/>
      <w:r>
        <w:t xml:space="preserve">11.11.1 </w:t>
      </w:r>
      <w:r>
        <w:t xml:space="preserve">Route A: Supply</w:t>
      </w:r>
      <w:r>
        <w:t xml:space="preserve"> anchored lines in the survey</w:t>
      </w:r>
      <w:bookmarkEnd w:id="341"/>
    </w:p>
    <w:p w14:paraId="31F0175C" w14:textId="77777777" w:rsidR="007E4E93" w:rsidRDefault="00E3560C">
      <w:pPr>
        <w:pStyle w:val="BodyText"/>
      </w:pPr>
      <w:r>
        <w:t>Choose the anchor income year and its threshold. If welfare is in current prices, calculate the line for each income year outside the app using a consistent annual-average CPI or HICP series:</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0421DC3C" w14:textId="77777777" w:rsidR="007E4E93" w:rsidRDefault="00E3560C">
      <w:pPr>
        <w:pStyle w:val="Heading3"/>
      </w:pPr>
      <w:bookmarkStart w:id="342" w:name="_Toc242266102"/>
      <w:r>
        <w:t xml:space="preserve">11.11.2 </w:t>
      </w:r>
      <w:r>
        <w:t xml:space="preserve">Route B: Proposed</w:t>
      </w:r>
      <w:r>
        <w:t xml:space="preserve"> CPI calculation in the app</w:t>
      </w:r>
      <w:bookmarkEnd w:id="342"/>
    </w:p>
    <w:p w14:paraId="220AA31F" w14:textId="77777777" w:rsidR="007E4E93" w:rsidRDefault="00E3560C">
      <w:pPr>
        <w:pStyle w:val="BodyText"/>
      </w:pPr>
      <w:r>
        <w:rPr>
          <w:b/>
        </w:rPr>
        <w:t xml:space="preserve">Proposed feature (not available in 5.2.0-rc.6 with wizard 5.12).</w:t>
      </w:r>
      <w:r>
        <w:t xml:space="preserve"> The proposed route would take a CPI database, an anchor income year, and the </w:t>
      </w:r>
      <w:r>
        <w:t xml:space="preserve">monetary </w:t>
      </w:r>
      <w:r>
        <w:t xml:space="preserve">anchor-year poverty threshold, then calculate the corresponding line for every survey income year. It must also record whether income refers to the survey year or the preceding calendar year. </w:t>
      </w:r>
      <w:r>
        <w:t xml:space="preserve">An anchor year and CPI values alone cannot determine the line: the analyst must enter the monetary anchor-year threshold (for example, 10,000 EUR a year). If that threshold is itself derived from a survey (for example, 60% of the anchor-year median), compute and document it outside the app.</w:t>
      </w:r>
    </w:p>
    <w:p w14:paraId="0D208E04" w14:textId="77777777" w:rsidR="007E4E93" w:rsidRDefault="00E3560C">
      <w:pPr>
        <w:pStyle w:val="BodyText"/>
      </w:pPr>
      <w:r>
        <w:t>The proposed route should accept the same CPI formats as real mean welfare: a fixed-reference index, a previous-year-equals-100 index, and an annual percentage change. Previous-year indices and annual rates must first be chained into comparable price levels, with all intervening years available. These formats can already be used for the external calculation in Route A. They are not an available automatic anchored-poverty option in this release.</w:t>
      </w:r>
    </w:p>
    <w:p w14:paraId="34F4FA4F" w14:textId="77777777" w:rsidR="007E4E93" w:rsidRDefault="00E3560C">
      <w:pPr>
        <w:pStyle w:val="Heading3"/>
      </w:pPr>
      <w:bookmarkStart w:id="343" w:name="_Toc242266103"/>
      <w:r>
        <w:t>11.11.3 Interpret and report anchored poverty</w:t>
      </w:r>
      <w:bookmarkEnd w:id="343"/>
    </w:p>
    <w:p w14:paraId="35336DC9" w14:textId="77777777" w:rsidR="007E4E93" w:rsidRDefault="00E3560C">
      <w:pPr>
        <w:pStyle w:val="BodyText"/>
      </w:pPr>
      <w:r>
        <w:t xml:space="preserve">Report the anchor income year, anchor threshold, CPI source and frequency, income reference years, and the lines actually applied. </w:t>
      </w:r>
      <w:r>
        <w:t xml:space="preserve">Headcount changes are percentage-point changes; Section 11.13 explains how each output stores them.</w:t>
      </w:r>
      <w:r>
        <w:t xml:space="preserve">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w:t>
      </w:r>
      <w:r>
        <w:t xml:space="preserve">Route A: Supply</w:t>
      </w:r>
      <w:r>
        <w:t xml:space="preserve"> welfare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w:t>
      </w:r>
      <w:r>
        <w:t xml:space="preserve">Route B: Convert</w:t>
      </w:r>
      <w:r>
        <w:t xml:space="preserve">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w:t>
      </w:r>
      <w:r>
        <w:t xml:space="preserve">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estimates are geometric means.</w:t>
      </w:r>
      <w:r>
        <w:t xml:space="preserve"> </w:t>
      </w:r>
      <w:r>
        <w:t xml:space="preserve">Review zero or negative observations: they are left out of the log model but kept in the Direct means, so the two are computed on different records. Count them before a log run; if they matter, use no transformation or document the exclusion.</w:t>
      </w:r>
      <w:r>
        <w:t xml:space="preserve">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w:t>
      </w:r>
      <w:r>
        <w:t xml:space="preserve"> For log fits, level RMSEs are delta-method approximations from the log-scale MSE.</w:t>
      </w:r>
      <w:r>
        <w:t xml:space="preserv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w:t>
      </w:r>
      <w:r>
        <w:t xml:space="preserve">Section 11.13 explains the currency-difference fields, and Section 11.9 explains how to retain the reports and run archive.</w:t>
      </w:r>
    </w:p>
    <w:p>
      <w:pPr>
        <w:pStyle w:val="Heading2"/>
      </w:pPr>
      <w:bookmarkStart w:id="471" w:name="_Toc900001"/>
      <w:r>
        <w:t xml:space="preserve">11.13 Reading the change outputs</w:t>
      </w:r>
      <w:bookmarkEnd w:id="471"/>
    </w:p>
    <w:p>
      <w:pPr>
        <w:pStyle w:val="FirstParagraph"/>
      </w:pPr>
      <w:r>
        <w:t xml:space="preserve">The change box plots compare Direct, UFH, the selected MFH model, and the benchmarked UFH and MFH estimates when benchmarking is on. For poverty, the box plots, change_rmse_by_method.csv and the Domain changes sheet of change_estimate_comparison.xlsx show headcount changes and their RMSEs in percentage points, whereas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p>
    <w:p>
      <w:pPr>
        <w:pStyle w:val="BodyText"/>
      </w:pPr>
      <w:r>
        <w:t xml:space="preserve">For Direct and UFH, the change MSE is the sum of the two level MSEs, and its square root is the RMSE: the years are treated as independent, and the cross-year sampling covariance of Section 6.7 is not used. When PSUs are reused across years, this usually overstates the uncertainty of these changes. Direct changes appear only in the box plots; the significance tables and change maps report UFH changes on this independence basis and MFH changes with the cross-year prediction-error covariance (MCPE). For mean-welfare log-ratio plots, the delta method expresses uncertainty on the log-ratio scale. These are uncertainty measures, not the observed spread of changes across domains.</w:t>
      </w:r>
    </w:p>
    <w:p>
      <w:pPr>
        <w:pStyle w:val="BodyText"/>
      </w:pPr>
      <w:r>
        <w:t xml:space="preserve">The box-plot figure is saved as outputs/figures/change_comparisons/change_rmse_boxplots.png, with values in outputs/tables/change_rmse_by_method.csv and the Change and RMSE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p>
    <w:p>
      <w:pPr>
        <w:pStyle w:val="BodyText"/>
      </w:pPr>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w:t>
      </w:r>
      <w:r>
        <w:t xml:space="preserve">(Section 7.12)</w:t>
      </w:r>
      <w:r>
        <w:t xml:space="preserve">.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w:t>
      </w:r>
      <w:r>
        <w:t xml:space="preserve">log with bc_sm targets</w:t>
      </w:r>
      <w:r>
        <w:t xml:space="preserve">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w:t>
      </w:r>
      <w:r>
        <w:t xml:space="preserve">This is why the note recommends</w:t>
      </w:r>
      <w:r>
        <w:t xml:space="preserve">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5B31904C" w14:textId="77777777"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17799D30" w14:textId="77777777"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2F8FEB4B" w14:textId="77777777" w:rsidR="007F26F4" w:rsidRDefault="00A66DCC">
      <w:pPr>
        <w:pStyle w:val="BodyText"/>
      </w:pPr>
      <w:r>
        <w:t>Differences between finalized annual poverty rates from different rolling windows may be reported descriptively. However, they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3F426035" w14:textId="77777777"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7071A16D"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524ABA13" w14:textId="77777777" w:rsidR="007F26F4" w:rsidRDefault="007F26F4">
      <w:pPr>
        <w:spacing w:after="40"/>
      </w:pPr>
    </w:p>
    <w:p w14:paraId="17D13EE6"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1F2"/>
            <w:vAlign w:val="center"/>
          </w:tcPr>
          <w:p w14:paraId="5166C8C8"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6F318894"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5A51937E"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06944130"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00957DF2" w14:textId="77777777" w:rsidR="007F26F4" w:rsidRDefault="00A66DCC">
            <w:pPr>
              <w:spacing w:after="0"/>
              <w:jc w:val="center"/>
            </w:pPr>
            <w:r>
              <w:rPr>
                <w:rFonts w:ascii="Arial" w:hAnsi="Arial"/>
                <w:b/>
                <w:sz w:val="16"/>
              </w:rPr>
              <w:t>2027</w:t>
            </w:r>
          </w:p>
        </w:tc>
      </w:tr>
      <w:tr w:rsidR="007F26F4" w14:paraId="349F5BAC" w14:textId="77777777">
        <w:trPr>
          <w:cantSplit/>
          <w:jc w:val="center"/>
        </w:trPr>
        <w:tc>
          <w:tcPr>
            <w:tcW w:w="2736" w:type="dxa"/>
            <w:vAlign w:val="center"/>
          </w:tcPr>
          <w:p w14:paraId="57236365"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03A905ED" w14:textId="77777777" w:rsidR="007F26F4" w:rsidRDefault="00A66DCC">
            <w:pPr>
              <w:spacing w:after="0"/>
              <w:jc w:val="center"/>
            </w:pPr>
            <w:r>
              <w:rPr>
                <w:rFonts w:ascii="Arial" w:hAnsi="Arial"/>
                <w:sz w:val="16"/>
              </w:rPr>
              <w:t>2024</w:t>
              <w:br/>
              <w:t>(input year)</w:t>
            </w:r>
          </w:p>
        </w:tc>
        <w:tc>
          <w:tcPr>
            <w:tcW w:w="1656" w:type="dxa"/>
            <w:shd w:val="clear" w:color="auto" w:fill="FCE4B5"/>
            <w:vAlign w:val="center"/>
          </w:tcPr>
          <w:p w14:paraId="0655135E" w14:textId="77777777" w:rsidR="007F26F4" w:rsidRDefault="00A66DCC">
            <w:pPr>
              <w:spacing w:after="0"/>
              <w:jc w:val="center"/>
            </w:pPr>
            <w:r>
              <w:rPr>
                <w:rFonts w:ascii="Arial" w:hAnsi="Arial"/>
                <w:sz w:val="16"/>
              </w:rPr>
              <w:t>2025</w:t>
              <w:br/>
              <w:t>Preliminary</w:t>
            </w:r>
          </w:p>
        </w:tc>
        <w:tc>
          <w:tcPr>
            <w:tcW w:w="1656" w:type="dxa"/>
            <w:vAlign w:val="center"/>
          </w:tcPr>
          <w:p w14:paraId="08D4AE74" w14:textId="77777777" w:rsidR="007F26F4" w:rsidRDefault="007F26F4">
            <w:pPr>
              <w:spacing w:after="0"/>
              <w:jc w:val="center"/>
            </w:pPr>
          </w:p>
        </w:tc>
        <w:tc>
          <w:tcPr>
            <w:tcW w:w="1656" w:type="dxa"/>
            <w:vAlign w:val="center"/>
          </w:tcPr>
          <w:p w14:paraId="62355F8C" w14:textId="77777777" w:rsidR="007F26F4" w:rsidRDefault="007F26F4">
            <w:pPr>
              <w:spacing w:after="0"/>
              <w:jc w:val="center"/>
            </w:pPr>
          </w:p>
        </w:tc>
      </w:tr>
      <w:tr w:rsidR="007F26F4" w14:paraId="75EED0E9" w14:textId="77777777">
        <w:trPr>
          <w:cantSplit/>
          <w:jc w:val="center"/>
        </w:trPr>
        <w:tc>
          <w:tcPr>
            <w:tcW w:w="2736" w:type="dxa"/>
            <w:vAlign w:val="center"/>
          </w:tcPr>
          <w:p w14:paraId="608C98D8" w14:textId="77777777" w:rsidR="007F26F4" w:rsidRDefault="00A66DCC">
            <w:pPr>
              <w:spacing w:after="0"/>
              <w:jc w:val="left"/>
            </w:pPr>
            <w:r>
              <w:rPr>
                <w:rFonts w:ascii="Arial" w:hAnsi="Arial"/>
                <w:b/>
                <w:sz w:val="16"/>
              </w:rPr>
              <w:t>Run 2 · 2025–2026</w:t>
            </w:r>
          </w:p>
        </w:tc>
        <w:tc>
          <w:tcPr>
            <w:tcW w:w="1656" w:type="dxa"/>
            <w:vAlign w:val="center"/>
          </w:tcPr>
          <w:p w14:paraId="0CD07BA0" w14:textId="77777777" w:rsidR="007F26F4" w:rsidRDefault="007F26F4">
            <w:pPr>
              <w:spacing w:after="0"/>
              <w:jc w:val="center"/>
            </w:pPr>
          </w:p>
        </w:tc>
        <w:tc>
          <w:tcPr>
            <w:tcW w:w="1656" w:type="dxa"/>
            <w:shd w:val="clear" w:color="auto" w:fill="C6E0B4"/>
            <w:vAlign w:val="center"/>
          </w:tcPr>
          <w:p w14:paraId="352364D8" w14:textId="77777777" w:rsidR="007F26F4" w:rsidRDefault="00A66DCC">
            <w:pPr>
              <w:spacing w:after="0"/>
              <w:jc w:val="center"/>
            </w:pPr>
            <w:r>
              <w:rPr>
                <w:rFonts w:ascii="Arial" w:hAnsi="Arial"/>
                <w:sz w:val="16"/>
              </w:rPr>
              <w:t>2025</w:t>
              <w:br/>
              <w:t>Final</w:t>
            </w:r>
          </w:p>
        </w:tc>
        <w:tc>
          <w:tcPr>
            <w:tcW w:w="1656" w:type="dxa"/>
            <w:shd w:val="clear" w:color="auto" w:fill="FCE4B5"/>
            <w:vAlign w:val="center"/>
          </w:tcPr>
          <w:p w14:paraId="29E08365" w14:textId="77777777" w:rsidR="007F26F4" w:rsidRDefault="00A66DCC">
            <w:pPr>
              <w:spacing w:after="0"/>
              <w:jc w:val="center"/>
            </w:pPr>
            <w:r>
              <w:rPr>
                <w:rFonts w:ascii="Arial" w:hAnsi="Arial"/>
                <w:sz w:val="16"/>
              </w:rPr>
              <w:t>2026</w:t>
              <w:br/>
              <w:t>Preliminary</w:t>
            </w:r>
          </w:p>
        </w:tc>
        <w:tc>
          <w:tcPr>
            <w:tcW w:w="1656" w:type="dxa"/>
            <w:vAlign w:val="center"/>
          </w:tcPr>
          <w:p w14:paraId="251D73C3" w14:textId="77777777" w:rsidR="007F26F4" w:rsidRDefault="007F26F4">
            <w:pPr>
              <w:spacing w:after="0"/>
              <w:jc w:val="center"/>
            </w:pPr>
          </w:p>
        </w:tc>
      </w:tr>
      <w:tr w:rsidR="007F26F4" w14:paraId="468EAF89" w14:textId="77777777">
        <w:trPr>
          <w:cantSplit/>
          <w:jc w:val="center"/>
        </w:trPr>
        <w:tc>
          <w:tcPr>
            <w:tcW w:w="2736" w:type="dxa"/>
            <w:vAlign w:val="center"/>
          </w:tcPr>
          <w:p w14:paraId="65D16903" w14:textId="77777777" w:rsidR="007F26F4" w:rsidRDefault="00A66DCC">
            <w:pPr>
              <w:spacing w:after="0"/>
              <w:jc w:val="left"/>
            </w:pPr>
            <w:r>
              <w:rPr>
                <w:rFonts w:ascii="Arial" w:hAnsi="Arial"/>
                <w:b/>
                <w:sz w:val="16"/>
              </w:rPr>
              <w:t>Run 3 · 2026–2027</w:t>
            </w:r>
          </w:p>
        </w:tc>
        <w:tc>
          <w:tcPr>
            <w:tcW w:w="1656" w:type="dxa"/>
            <w:vAlign w:val="center"/>
          </w:tcPr>
          <w:p w14:paraId="2DB6875C" w14:textId="77777777" w:rsidR="007F26F4" w:rsidRDefault="007F26F4">
            <w:pPr>
              <w:spacing w:after="0"/>
              <w:jc w:val="center"/>
            </w:pPr>
          </w:p>
        </w:tc>
        <w:tc>
          <w:tcPr>
            <w:tcW w:w="1656" w:type="dxa"/>
            <w:vAlign w:val="center"/>
          </w:tcPr>
          <w:p w14:paraId="4E73A425" w14:textId="77777777" w:rsidR="007F26F4" w:rsidRDefault="007F26F4">
            <w:pPr>
              <w:spacing w:after="0"/>
              <w:jc w:val="center"/>
            </w:pPr>
          </w:p>
        </w:tc>
        <w:tc>
          <w:tcPr>
            <w:tcW w:w="1656" w:type="dxa"/>
            <w:shd w:val="clear" w:color="auto" w:fill="C6E0B4"/>
            <w:vAlign w:val="center"/>
          </w:tcPr>
          <w:p w14:paraId="456D0378" w14:textId="77777777" w:rsidR="007F26F4" w:rsidRDefault="00A66DCC">
            <w:pPr>
              <w:spacing w:after="0"/>
              <w:jc w:val="center"/>
            </w:pPr>
            <w:r>
              <w:rPr>
                <w:rFonts w:ascii="Arial" w:hAnsi="Arial"/>
                <w:sz w:val="16"/>
              </w:rPr>
              <w:t>2026</w:t>
              <w:br/>
              <w:t>Final</w:t>
            </w:r>
          </w:p>
        </w:tc>
        <w:tc>
          <w:tcPr>
            <w:tcW w:w="1656" w:type="dxa"/>
            <w:shd w:val="clear" w:color="auto" w:fill="FCE4B5"/>
            <w:vAlign w:val="center"/>
          </w:tcPr>
          <w:p w14:paraId="022AFF3E" w14:textId="77777777" w:rsidR="007F26F4" w:rsidRDefault="00A66DCC">
            <w:pPr>
              <w:spacing w:after="0"/>
              <w:jc w:val="center"/>
            </w:pPr>
            <w:r>
              <w:rPr>
                <w:rFonts w:ascii="Arial" w:hAnsi="Arial"/>
                <w:sz w:val="16"/>
              </w:rPr>
              <w:t>2027</w:t>
              <w:br/>
              <w:t>Preliminary</w:t>
            </w:r>
          </w:p>
        </w:tc>
      </w:tr>
      <w:tr w:rsidR="007F26F4" w14:paraId="56C545E6" w14:textId="77777777">
        <w:trPr>
          <w:cantSplit/>
          <w:jc w:val="center"/>
        </w:trPr>
        <w:tc>
          <w:tcPr>
            <w:tcW w:w="2736" w:type="dxa"/>
          </w:tcPr>
          <w:p w14:paraId="6AF0F595" w14:textId="77777777" w:rsidR="007F26F4" w:rsidRDefault="007F26F4"/>
        </w:tc>
        <w:tc>
          <w:tcPr>
            <w:tcW w:w="1656" w:type="dxa"/>
          </w:tcPr>
          <w:p w14:paraId="390A4BAB" w14:textId="77777777" w:rsidR="007F26F4" w:rsidRDefault="007F26F4"/>
        </w:tc>
        <w:tc>
          <w:tcPr>
            <w:tcW w:w="1656" w:type="dxa"/>
          </w:tcPr>
          <w:p w14:paraId="5B05A062" w14:textId="77777777" w:rsidR="007F26F4" w:rsidRDefault="007F26F4"/>
        </w:tc>
        <w:tc>
          <w:tcPr>
            <w:tcW w:w="1656" w:type="dxa"/>
          </w:tcPr>
          <w:p w14:paraId="01E6B176" w14:textId="77777777" w:rsidR="007F26F4" w:rsidRDefault="007F26F4"/>
        </w:tc>
        <w:tc>
          <w:tcPr>
            <w:tcW w:w="1656" w:type="dxa"/>
          </w:tcPr>
          <w:p w14:paraId="0A32B7E3" w14:textId="77777777" w:rsidR="007F26F4" w:rsidRDefault="007F26F4"/>
        </w:tc>
      </w:tr>
    </w:tbl>
    <w:p w14:paraId="69176F7F"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431D3BB8" w14:textId="77777777" w:rsidR="007F26F4" w:rsidRDefault="007F26F4">
      <w:pPr>
        <w:spacing w:after="40"/>
      </w:pPr>
    </w:p>
    <w:p w14:paraId="5388E0DA"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A55EAC7" w14:textId="77777777">
        <w:trPr>
          <w:cantSplit/>
          <w:tblHeader/>
          <w:jc w:val="center"/>
        </w:trPr>
        <w:tc>
          <w:tcPr>
            <w:tcW w:w="2448" w:type="dxa"/>
            <w:shd w:val="clear" w:color="auto" w:fill="D9E1F2"/>
            <w:vAlign w:val="center"/>
          </w:tcPr>
          <w:p w14:paraId="4526F153"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0204C6BC"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0C48DC03"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622D1E08"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77E5F98D"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4CA39347" w14:textId="77777777" w:rsidR="007F26F4" w:rsidRDefault="00A66DCC">
            <w:pPr>
              <w:spacing w:after="0"/>
              <w:jc w:val="center"/>
            </w:pPr>
            <w:r>
              <w:rPr>
                <w:rFonts w:ascii="Arial" w:hAnsi="Arial"/>
                <w:b/>
                <w:sz w:val="16"/>
              </w:rPr>
              <w:t>2026</w:t>
            </w:r>
          </w:p>
        </w:tc>
      </w:tr>
      <w:tr w:rsidR="007F26F4" w14:paraId="728F5063" w14:textId="77777777">
        <w:trPr>
          <w:cantSplit/>
          <w:jc w:val="center"/>
        </w:trPr>
        <w:tc>
          <w:tcPr>
            <w:tcW w:w="2448" w:type="dxa"/>
            <w:vAlign w:val="center"/>
          </w:tcPr>
          <w:p w14:paraId="0D1CA1EC"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1E7C951B" w14:textId="77777777" w:rsidR="007F26F4" w:rsidRDefault="00A66DCC">
            <w:pPr>
              <w:spacing w:after="0"/>
              <w:jc w:val="center"/>
            </w:pPr>
            <w:r>
              <w:rPr>
                <w:rFonts w:ascii="Arial" w:hAnsi="Arial"/>
                <w:sz w:val="16"/>
              </w:rPr>
              <w:t>2022</w:t>
            </w:r>
          </w:p>
        </w:tc>
        <w:tc>
          <w:tcPr>
            <w:tcW w:w="1382" w:type="dxa"/>
            <w:shd w:val="clear" w:color="auto" w:fill="F2F2F2"/>
            <w:vAlign w:val="center"/>
          </w:tcPr>
          <w:p w14:paraId="2C70F364"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4362138" w14:textId="77777777" w:rsidR="007F26F4" w:rsidRDefault="00A66DCC">
            <w:pPr>
              <w:spacing w:after="0"/>
              <w:jc w:val="center"/>
            </w:pPr>
            <w:r>
              <w:rPr>
                <w:rFonts w:ascii="Arial" w:hAnsi="Arial"/>
                <w:sz w:val="16"/>
              </w:rPr>
              <w:t>2024</w:t>
              <w:br/>
              <w:t>estimated</w:t>
            </w:r>
          </w:p>
        </w:tc>
        <w:tc>
          <w:tcPr>
            <w:tcW w:w="1382" w:type="dxa"/>
            <w:vAlign w:val="center"/>
          </w:tcPr>
          <w:p w14:paraId="2BA50550" w14:textId="77777777" w:rsidR="007F26F4" w:rsidRDefault="007F26F4">
            <w:pPr>
              <w:spacing w:after="0"/>
              <w:jc w:val="center"/>
            </w:pPr>
          </w:p>
        </w:tc>
        <w:tc>
          <w:tcPr>
            <w:tcW w:w="1382" w:type="dxa"/>
            <w:vAlign w:val="center"/>
          </w:tcPr>
          <w:p w14:paraId="74C988BA" w14:textId="77777777" w:rsidR="007F26F4" w:rsidRDefault="007F26F4">
            <w:pPr>
              <w:spacing w:after="0"/>
              <w:jc w:val="center"/>
            </w:pPr>
          </w:p>
        </w:tc>
      </w:tr>
      <w:tr w:rsidR="007F26F4" w14:paraId="0D127365" w14:textId="77777777">
        <w:trPr>
          <w:cantSplit/>
          <w:jc w:val="center"/>
        </w:trPr>
        <w:tc>
          <w:tcPr>
            <w:tcW w:w="2448" w:type="dxa"/>
            <w:vAlign w:val="center"/>
          </w:tcPr>
          <w:p w14:paraId="7F0BD9E0" w14:textId="77777777" w:rsidR="007F26F4" w:rsidRDefault="00A66DCC">
            <w:pPr>
              <w:spacing w:after="0"/>
              <w:jc w:val="left"/>
            </w:pPr>
            <w:r>
              <w:rPr>
                <w:rFonts w:ascii="Arial" w:hAnsi="Arial"/>
                <w:b/>
                <w:sz w:val="16"/>
              </w:rPr>
              <w:t>Run 2 · 2023–2025</w:t>
            </w:r>
          </w:p>
        </w:tc>
        <w:tc>
          <w:tcPr>
            <w:tcW w:w="1382" w:type="dxa"/>
            <w:vAlign w:val="center"/>
          </w:tcPr>
          <w:p w14:paraId="04B26695" w14:textId="77777777" w:rsidR="007F26F4" w:rsidRDefault="007F26F4">
            <w:pPr>
              <w:spacing w:after="0"/>
              <w:jc w:val="center"/>
            </w:pPr>
          </w:p>
        </w:tc>
        <w:tc>
          <w:tcPr>
            <w:tcW w:w="1382" w:type="dxa"/>
            <w:shd w:val="clear" w:color="auto" w:fill="F2F2F2"/>
            <w:vAlign w:val="center"/>
          </w:tcPr>
          <w:p w14:paraId="4B160D8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28113AF3" w14:textId="77777777" w:rsidR="007F26F4" w:rsidRDefault="00A66DCC">
            <w:pPr>
              <w:spacing w:after="0"/>
              <w:jc w:val="center"/>
            </w:pPr>
            <w:r>
              <w:rPr>
                <w:rFonts w:ascii="Arial" w:hAnsi="Arial"/>
                <w:sz w:val="16"/>
              </w:rPr>
              <w:t>2024</w:t>
              <w:br/>
              <w:t>revised (1st)</w:t>
            </w:r>
          </w:p>
        </w:tc>
        <w:tc>
          <w:tcPr>
            <w:tcW w:w="1382" w:type="dxa"/>
            <w:shd w:val="clear" w:color="auto" w:fill="F2F2F2"/>
            <w:vAlign w:val="center"/>
          </w:tcPr>
          <w:p w14:paraId="380F4662" w14:textId="77777777" w:rsidR="007F26F4" w:rsidRDefault="00A66DCC">
            <w:pPr>
              <w:spacing w:after="0"/>
              <w:jc w:val="center"/>
            </w:pPr>
            <w:r>
              <w:rPr>
                <w:rFonts w:ascii="Arial" w:hAnsi="Arial"/>
                <w:sz w:val="16"/>
              </w:rPr>
              <w:t>2025</w:t>
            </w:r>
          </w:p>
        </w:tc>
        <w:tc>
          <w:tcPr>
            <w:tcW w:w="1382" w:type="dxa"/>
            <w:vAlign w:val="center"/>
          </w:tcPr>
          <w:p w14:paraId="3D0BE9BB" w14:textId="77777777" w:rsidR="007F26F4" w:rsidRDefault="007F26F4">
            <w:pPr>
              <w:spacing w:after="0"/>
              <w:jc w:val="center"/>
            </w:pPr>
          </w:p>
        </w:tc>
      </w:tr>
      <w:tr w:rsidR="007F26F4" w14:paraId="36397590" w14:textId="77777777">
        <w:trPr>
          <w:cantSplit/>
          <w:jc w:val="center"/>
        </w:trPr>
        <w:tc>
          <w:tcPr>
            <w:tcW w:w="2448" w:type="dxa"/>
            <w:vAlign w:val="center"/>
          </w:tcPr>
          <w:p w14:paraId="17E18F9C" w14:textId="77777777" w:rsidR="007F26F4" w:rsidRDefault="00A66DCC">
            <w:pPr>
              <w:spacing w:after="0"/>
              <w:jc w:val="left"/>
            </w:pPr>
            <w:r>
              <w:rPr>
                <w:rFonts w:ascii="Arial" w:hAnsi="Arial"/>
                <w:b/>
                <w:sz w:val="16"/>
              </w:rPr>
              <w:lastRenderedPageBreak/>
              <w:t>Run 3 · 2024–2026</w:t>
            </w:r>
          </w:p>
        </w:tc>
        <w:tc>
          <w:tcPr>
            <w:tcW w:w="1382" w:type="dxa"/>
            <w:vAlign w:val="center"/>
          </w:tcPr>
          <w:p w14:paraId="434F03B3" w14:textId="77777777" w:rsidR="007F26F4" w:rsidRDefault="007F26F4">
            <w:pPr>
              <w:spacing w:after="0"/>
              <w:jc w:val="center"/>
            </w:pPr>
          </w:p>
        </w:tc>
        <w:tc>
          <w:tcPr>
            <w:tcW w:w="1382" w:type="dxa"/>
            <w:vAlign w:val="center"/>
          </w:tcPr>
          <w:p w14:paraId="494DD46D" w14:textId="77777777" w:rsidR="007F26F4" w:rsidRDefault="007F26F4">
            <w:pPr>
              <w:spacing w:after="0"/>
              <w:jc w:val="center"/>
            </w:pPr>
          </w:p>
        </w:tc>
        <w:tc>
          <w:tcPr>
            <w:tcW w:w="1382" w:type="dxa"/>
            <w:shd w:val="clear" w:color="auto" w:fill="F4B7B7"/>
            <w:vAlign w:val="center"/>
          </w:tcPr>
          <w:p w14:paraId="49DB30BD" w14:textId="77777777" w:rsidR="007F26F4" w:rsidRDefault="00A66DCC">
            <w:pPr>
              <w:spacing w:after="0"/>
              <w:jc w:val="center"/>
            </w:pPr>
            <w:r>
              <w:rPr>
                <w:rFonts w:ascii="Arial" w:hAnsi="Arial"/>
                <w:sz w:val="16"/>
              </w:rPr>
              <w:t>2024</w:t>
              <w:br/>
              <w:t>revised (2nd)</w:t>
            </w:r>
          </w:p>
        </w:tc>
        <w:tc>
          <w:tcPr>
            <w:tcW w:w="1382" w:type="dxa"/>
            <w:shd w:val="clear" w:color="auto" w:fill="F2F2F2"/>
            <w:vAlign w:val="center"/>
          </w:tcPr>
          <w:p w14:paraId="78E9A603"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692BBC0" w14:textId="77777777" w:rsidR="007F26F4" w:rsidRDefault="00A66DCC">
            <w:pPr>
              <w:spacing w:after="0"/>
              <w:jc w:val="center"/>
            </w:pPr>
            <w:r>
              <w:rPr>
                <w:rFonts w:ascii="Arial" w:hAnsi="Arial"/>
                <w:sz w:val="16"/>
              </w:rPr>
              <w:t>2026</w:t>
            </w:r>
          </w:p>
        </w:tc>
      </w:tr>
    </w:tbl>
    <w:p w14:paraId="555FF3B9"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D15D4F3" w14:textId="77777777" w:rsidR="007F26F4" w:rsidRDefault="007F26F4">
      <w:pPr>
        <w:spacing w:after="40"/>
      </w:pPr>
    </w:p>
    <w:p w14:paraId="299758D4" w14:textId="77777777" w:rsidR="00F77958" w:rsidRDefault="00A66DCC">
      <w:pPr>
        <w:pStyle w:val="ImageCaption"/>
      </w:pPr>
      <w:r>
        <w:t xml:space="preserve">Figure 17. Two-year MFH production rule and the revision problem under longer rolling windows. </w:t>
      </w:r>
    </w:p>
    <w:p w14:paraId="2E377BBB" w14:textId="77777777"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 However, they require repeated revisions to previously published estimates, which is difficult to communicate and manage within an operational poverty-mapping system.</w:t>
      </w:r>
    </w:p>
    <w:p w14:paraId="2192900C" w14:textId="77777777" w:rsidR="007F26F4" w:rsidRDefault="007F26F4">
      <w:pPr>
        <w:spacing w:after="80"/>
      </w:pP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w:t>
      </w:r>
      <w:r>
        <w:t xml:space="preserve">Its square root, the root mean squared error (RMSE), is in the units of the estimate and is the model-based counterpart of a standard error.</w:t>
      </w:r>
    </w:p>
    <w:p w14:paraId="5825A431" w14:textId="77777777" w:rsidR="004F44B0" w:rsidRDefault="001F4DFD">
      <w:pPr>
        <w:pStyle w:val="BodyText"/>
      </w:pPr>
      <w:r>
        <w:rPr>
          <w:b/>
        </w:rPr>
        <w:t>CV (Coefficient of Variation).</w:t>
      </w:r>
      <w:r>
        <w:t xml:space="preserve"> </w:t>
      </w:r>
      <w:r>
        <w:t xml:space="preserve">The standard error (the RMSE for model-based estimates) expressed as a percentage of the estimate,</w:t>
      </w:r>
      <w:r>
        <w:t xml:space="preserv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w:t>
      </w:r>
      <w:r>
        <w:t xml:space="preserve">is non-zero when survey rounds share PSUs (for example, rotating panels or retained clusters), even when different households are interviewed.</w:t>
      </w:r>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r>
        <w:t xml:space="preserve">The multiplicative benchmarking adjustment the Dashboard uses for poverty rates and mean welfare, applying</w:t>
      </w:r>
      <w:r>
        <w:t xml:space="preserve"> a common factor within each benchmark area; it preserves non-negativity and proportional ordering. </w:t>
      </w:r>
      <w:r>
        <w:t xml:space="preserve">The main alternative is additive (difference) benchmarking; raking is an iterative ratio method.</w:t>
      </w:r>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t>
      </w:r>
      <w:r>
        <w:t xml:space="preserve">with the bc_sm smearing factor, the domain’s direct arithmetic mean divided by its direct geometric mean (Annex G.4); without it, they estimate the geometric mean.</w:t>
      </w:r>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r>
              <w:rPr>
                <w:rStyle w:val="VerbatimChar"/>
              </w:rPr>
              <w:t xml:space="preserve">hhsize</w:t>
            </w:r>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r>
        <w:rPr>
          <w:b/>
        </w:rPr>
        <w:t xml:space="preserve">Direct-estimate data.</w:t>
      </w:r>
      <w:r>
        <w:t xml:space="preserve"> </w:t>
      </w:r>
      <w:r>
        <w:t xml:space="preserve">Not an input: the wizard and the classic dashboard always compute direct estimates, sampling variances and cross-year covariances from the survey microdata (Sections 6 and 8.7).</w:t>
      </w:r>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R 4.2 or later installed. Latest stable compatible RStudio Desktop strongly recommended for report generation.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For poverty only, choose a mapped line column or a positive numeric line for each survey year. For anchored poverty, prepare the anchored line before loading the data (Section 11.11); the current CPI input does not calculate it.</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w:t>
      </w:r>
      <w:r>
        <w:t xml:space="preserve">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9"/>
        </w:numPr>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w:t>
      </w:r>
      <w:r>
        <w:t xml:space="preserve">headcount changes in percentage points (stored as proportions in the significance tables and change maps), real mean-welfare changes in percent, and mean-welfare box plots in raw log ratios (Section 11.13).</w:t>
      </w:r>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w:t>
            </w:r>
            <w:r>
              <w:t xml:space="preserve">(Section 4.2)</w:t>
            </w:r>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w:t>
            </w:r>
            <w:r>
              <w:t xml:space="preserve">(Section 4.8)</w:t>
            </w:r>
            <w:r>
              <w:t xml:space="preserve">;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r>
              <w:t xml:space="preserve">Use MFH2 (the most parsimonious correlated model)</w:t>
            </w:r>
            <w:r>
              <w:t xml:space="preserve">;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w:t>
            </w:r>
            <w:r>
              <w:t xml:space="preserve">Section 6.6)</w:t>
            </w:r>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w:t>
            </w:r>
            <w:r>
              <w:t xml:space="preserve">(Section 8.7)</w:t>
            </w:r>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Automatic CPI-based anchored lines are not implemented in this release</w:t>
            </w:r>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r>
        <w:t xml:space="preserve"> In this annex, δ denotes the area indicator and σ</w:t>
      </w:r>
      <w:r>
        <w:rPr>
          <w:vertAlign w:val="subscript"/>
        </w:rPr>
        <w:t xml:space="preserve">ed</w:t>
      </w:r>
      <w:r>
        <w:t xml:space="preserve">² its sampling variance; Sections 6 to 8 write these as θ and ψ.</w:t>
      </w:r>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population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the survey-weighted (Hájek) direct estimator of an FGT indicator and its sampling-variance estimator are</w:t>
      </w:r>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w:rPr>
              <w:rFonts w:ascii="Cambria Math" w:hAnsi="Cambria Math"/>
            </w:rPr>
            <m:t>)</m:t>
          </m:r>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sub>
            <m:sup>
              <m:r>
                <m:rPr>
                  <m:lit/>
                  <m:nor/>
                </m:rPr>
                <w:rPr>
                  <w:rFonts w:ascii="Cambria Math" w:hAnsi="Cambria Math"/>
                </w:rPr>
                <m:t>-</m:t>
              </m:r>
              <m:r>
                <w:rPr>
                  <w:rFonts w:ascii="Cambria Math" w:hAnsi="Cambria Math"/>
                </w:rPr>
                <m:t>2</m:t>
              </m:r>
            </m:sup>
          </m:sSubSup>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m:rPr>
                  <m:lit/>
                  <m:nor/>
                </m:rPr>
                <w:rPr>
                  <w:rFonts w:ascii="Cambria Math" w:hAnsi="Cambria Math"/>
                </w:rPr>
                <m:t>di</m:t>
              </m:r>
            </m:sub>
          </m:sSub>
          <m:r>
            <m:rPr>
              <m:lit/>
              <m:nor/>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up>
              <m:r>
                <w:rPr>
                  <w:rFonts w:ascii="Cambria Math" w:hAnsi="Cambria Math"/>
                </w:rPr>
                <m:t>2</m:t>
              </m:r>
            </m:sup>
          </m:sSubSup>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pPr>
      <w:r>
        <w:t xml:space="preserve">In the package, the weights are population weights (survey weight × household size), so the denominator estimates the number of persons in the domain; for mean welfare, the FGT term is replaced by the welfare value. The variance formula above is the textbook form, which ignores clustering. The package computes direct estimates and their variances with the R survey package: a design with the PSUs as clusters, the strata where mapped, and the population weights; Hájek weighted means (svymean); and Taylor-linearization variances without a finite-population correction (Section 4.7).</w:t>
      </w:r>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r>
        <w:t xml:space="preserve"> The area-level model is fitted to each domain’s (MFH: domain-year’s) direct mean of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computed from households with positive welfare;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estimates the geometric mean, which lies below the arithmetic mean. In a unit-level model, Duan’s (1983) smearing estimator multiplies it by the empirical mean of the n exponentiated unit-level residuals,</w:t>
      </w:r>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pPr>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With none, the Dashboard reports exp(η̂</w:t>
      </w:r>
      <w:r>
        <w:rPr>
          <w:vertAlign w:val="subscript"/>
        </w:rPr>
        <w:t xml:space="preserve">d</w:t>
      </w:r>
      <w:r>
        <w:t xml:space="preserve">), the geometric mean.</w:t>
      </w:r>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r>
        <w:t xml:space="preserve"> The Dashboard uses the ratio form for both poverty rates and mean welfare (Section 7.12); the additive form is shown for reference.</w:t>
      </w:r>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only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