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del w:id="900151" w:author="Claude" w:date="2026-10-07T16:45:00Z">
              <w:r>
                <w:rPr>
                  <w:rStyle w:val="Hyperlink"/>
                  <w:noProof/>
                </w:rPr>
                <w:delText xml:space="preserve">year specific</w:delText>
              </w:r>
            </w:del>
            <w:ins w:id="900152" w:author="Claude" w:date="2026-10-07T16:45:00Z">
              <w:r>
                <w:rPr>
                  <w:rStyle w:val="Hyperlink"/>
                  <w:noProof/>
                </w:rPr>
                <w:t xml:space="preserve">year-specific</w:t>
              </w:r>
            </w:ins>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del w:id="900155" w:author="Claude" w:date="2026-10-07T16:45:00Z">
              <w:r>
                <w:rPr>
                  <w:rStyle w:val="Hyperlink"/>
                  <w:noProof/>
                </w:rPr>
                <w:delText xml:space="preserve">Route A Supply</w:delText>
              </w:r>
            </w:del>
            <w:ins w:id="900156" w:author="Claude" w:date="2026-10-07T16:45:00Z">
              <w:r>
                <w:rPr>
                  <w:rStyle w:val="Hyperlink"/>
                  <w:noProof/>
                </w:rPr>
                <w:t xml:space="preserve">Route A: Supply</w:t>
              </w:r>
            </w:ins>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del w:id="900163" w:author="Claude" w:date="2026-10-07T16:45:00Z">
              <w:r>
                <w:rPr>
                  <w:rStyle w:val="Hyperlink"/>
                  <w:noProof/>
                </w:rPr>
                <w:delText xml:space="preserve">Route B Proposed</w:delText>
              </w:r>
            </w:del>
            <w:ins w:id="900164" w:author="Claude" w:date="2026-10-07T16:45:00Z">
              <w:r>
                <w:rPr>
                  <w:rStyle w:val="Hyperlink"/>
                  <w:noProof/>
                </w:rPr>
                <w:t xml:space="preserve">Route B: Proposed</w:t>
              </w:r>
            </w:ins>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del w:id="900157" w:author="Claude" w:date="2026-10-07T16:45:00Z">
              <w:r>
                <w:rPr>
                  <w:rStyle w:val="Hyperlink"/>
                  <w:noProof/>
                </w:rPr>
                <w:delText xml:space="preserve">Route A Supply</w:delText>
              </w:r>
            </w:del>
            <w:ins w:id="900158" w:author="Claude" w:date="2026-10-07T16:45:00Z">
              <w:r>
                <w:rPr>
                  <w:rStyle w:val="Hyperlink"/>
                  <w:noProof/>
                </w:rPr>
                <w:t xml:space="preserve">Route A: Supply</w:t>
              </w:r>
            </w:ins>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del w:id="900167" w:author="Claude" w:date="2026-10-07T16:45:00Z">
              <w:r>
                <w:rPr>
                  <w:rStyle w:val="Hyperlink"/>
                  <w:noProof/>
                </w:rPr>
                <w:delText xml:space="preserve">Route B Convert</w:delText>
              </w:r>
            </w:del>
            <w:ins w:id="900168" w:author="Claude" w:date="2026-10-07T16:45:00Z">
              <w:r>
                <w:rPr>
                  <w:rStyle w:val="Hyperlink"/>
                  <w:noProof/>
                </w:rPr>
                <w:t xml:space="preserve">Route B: Convert</w:t>
              </w:r>
            </w:ins>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ins w:id="900206" w:author="Claude" w:date="2026-10-07T16:45:00Z"/>
              <w:rFonts w:asciiTheme="minorHAnsi" w:eastAsiaTheme="minorEastAsia" w:hAnsiTheme="minorHAnsi"/>
              <w:noProof/>
              <w:color w:val="auto"/>
              <w:kern w:val="2"/>
              <w:sz w:val="24"/>
              <w14:ligatures w14:val="standardContextual"/>
            </w:rPr>
          </w:pPr>
          <w:hyperlink w:anchor="_Toc900001" w:history="1">
            <w:ins w:id="900204" w:author="Claude" w:date="2026-10-07T16:45:00Z">
              <w:r>
                <w:rPr>
                  <w:rStyle w:val="Hyperlink"/>
                  <w:noProof/>
                </w:rPr>
                <w:t>11.13 Reading the change outputs</w:t>
              </w:r>
            </w:ins>
            <w:ins w:id="900205" w:author="Claude" w:date="2026-10-07T16:45:00Z">
              <w:r>
                <w:rPr>
                  <w:noProof/>
                  <w:webHidden/>
                </w:rPr>
                <w:tab/>
                <w:fldChar w:fldCharType="begin"/>
                <w:instrText xml:space="preserve"> PAGEREF _Toc900001 \h </w:instrText>
                <w:fldChar w:fldCharType="separate"/>
                <w:t>97</w:t>
                <w:fldChar w:fldCharType="end"/>
              </w:r>
            </w:ins>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del w:id="900001" w:author="Claude" w:date="2026-10-07T16:45:00Z">
        <w:r>
          <w:delText xml:space="preserve">Anchored poverty currently requires a precomputed poverty-line column; automatic calculation from a CPI database and an anchor year is a proposed extension (Section 11.11).</w:delText>
        </w:r>
      </w:del>
      <w:ins w:id="900002" w:author="Claude" w:date="2026-10-07T16:45:00Z">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ins>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del w:id="900066" w:author="Claude" w:date="2026-10-07T16:45:00Z">
        <w:r>
          <w:delText xml:space="preserve">(Section 11.9)</w:delText>
        </w:r>
      </w:del>
      <w:ins w:id="900067" w:author="Claude" w:date="2026-10-07T16:45:00Z">
        <w:r>
          <w:t xml:space="preserve">(Section 11.13)</w:t>
        </w:r>
      </w:ins>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del w:id="900113" w:author="Claude" w:date="2026-10-07T16:45:00Z">
        <w:r>
          <w:delText xml:space="preserve">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delText>
        </w:r>
      </w:del>
      <w:ins w:id="900114" w:author="Claude" w:date="2026-10-07T16:45:00Z">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ins>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Change w:id="900181" w:author="Claude" w:date="2026-10-07T16:45:00Z">
          <w:pPr>
            <w:numPr>
              <w:ilvl w:val="0"/>
              <w:numId w:val="3"/>
            </w:numPr>
          </w:pPr>
        </w:pPrChange>
      </w:pPr>
      <w:r>
        <w:t>Compute direct estimates and sampling variances for each area and year.</w:t>
      </w:r>
    </w:p>
    <w:p w14:paraId="74B9DC6A" w14:textId="77777777" w:rsidR="004F44B0" w:rsidRDefault="001F4DFD">
      <w:pPr>
        <w:numPr>
          <w:ilvl w:val="0"/>
          <w:numId w:val="7"/>
        </w:numPr>
        <w:pPrChange w:id="900182" w:author="Claude" w:date="2026-10-07T16:45:00Z">
          <w:pPr>
            <w:numPr>
              <w:ilvl w:val="0"/>
              <w:numId w:val="3"/>
            </w:numPr>
          </w:pPr>
        </w:pPrChange>
      </w:pPr>
      <w:r>
        <w:t>Review direct estimates, sample sizes, standard errors, and coefficients of variation.</w:t>
      </w:r>
    </w:p>
    <w:p w14:paraId="1949C99E" w14:textId="77777777" w:rsidR="004F44B0" w:rsidRDefault="001F4DFD">
      <w:pPr>
        <w:numPr>
          <w:ilvl w:val="0"/>
          <w:numId w:val="7"/>
        </w:numPr>
        <w:pPrChange w:id="900183" w:author="Claude" w:date="2026-10-07T16:45:00Z">
          <w:pPr>
            <w:numPr>
              <w:ilvl w:val="0"/>
              <w:numId w:val="3"/>
            </w:numPr>
          </w:pPr>
        </w:pPrChange>
      </w:pPr>
      <w:r>
        <w:lastRenderedPageBreak/>
        <w:t>Run UFH models separately by year.</w:t>
      </w:r>
    </w:p>
    <w:p w14:paraId="3EC876A9" w14:textId="77777777" w:rsidR="004F44B0" w:rsidRDefault="001F4DFD">
      <w:pPr>
        <w:numPr>
          <w:ilvl w:val="0"/>
          <w:numId w:val="7"/>
        </w:numPr>
        <w:pPrChange w:id="900184" w:author="Claude" w:date="2026-10-07T16:45:00Z">
          <w:pPr>
            <w:numPr>
              <w:ilvl w:val="0"/>
              <w:numId w:val="3"/>
            </w:numPr>
          </w:pPr>
        </w:pPrChange>
      </w:pPr>
      <w:r>
        <w:t>Review UFH diagnostics and compare UFH estimates with direct estimates.</w:t>
      </w:r>
    </w:p>
    <w:p w14:paraId="2B7CF714" w14:textId="77777777" w:rsidR="004F44B0" w:rsidRDefault="001F4DFD">
      <w:pPr>
        <w:numPr>
          <w:ilvl w:val="0"/>
          <w:numId w:val="7"/>
        </w:numPr>
        <w:pPrChange w:id="900185" w:author="Claude" w:date="2026-10-07T16:45:00Z">
          <w:pPr>
            <w:numPr>
              <w:ilvl w:val="0"/>
              <w:numId w:val="3"/>
            </w:numPr>
          </w:pPr>
        </w:pPrChange>
      </w:pPr>
      <w:r>
        <w:t>Run MFH models when two or more comparable years are available.</w:t>
      </w:r>
    </w:p>
    <w:p w14:paraId="741F9141" w14:textId="77777777" w:rsidR="004F44B0" w:rsidRDefault="001F4DFD">
      <w:pPr>
        <w:numPr>
          <w:ilvl w:val="0"/>
          <w:numId w:val="7"/>
        </w:numPr>
        <w:pPrChange w:id="900186" w:author="Claude" w:date="2026-10-07T16:45:00Z">
          <w:pPr>
            <w:numPr>
              <w:ilvl w:val="0"/>
              <w:numId w:val="3"/>
            </w:numPr>
          </w:pPr>
        </w:pPrChange>
      </w:pPr>
      <w:r>
        <w:t>Compare direct, UFH, and MFH estimates.</w:t>
      </w:r>
    </w:p>
    <w:p w14:paraId="7A146664" w14:textId="77777777" w:rsidR="004F44B0" w:rsidRDefault="001F4DFD">
      <w:pPr>
        <w:numPr>
          <w:ilvl w:val="0"/>
          <w:numId w:val="7"/>
        </w:numPr>
        <w:pPrChange w:id="900187" w:author="Claude" w:date="2026-10-07T16:45:00Z">
          <w:pPr>
            <w:numPr>
              <w:ilvl w:val="0"/>
              <w:numId w:val="3"/>
            </w:numPr>
          </w:pPr>
        </w:pPrChange>
      </w:pPr>
      <w:r>
        <w:t>Review uncertainty, diagnostics, sensitivity checks, and maps.</w:t>
      </w:r>
    </w:p>
    <w:p w14:paraId="7BA90D39" w14:textId="77777777" w:rsidR="004F44B0" w:rsidRDefault="001F4DFD">
      <w:pPr>
        <w:numPr>
          <w:ilvl w:val="0"/>
          <w:numId w:val="7"/>
        </w:numPr>
        <w:pPrChange w:id="900188" w:author="Claude" w:date="2026-10-07T16:45:00Z">
          <w:pPr>
            <w:numPr>
              <w:ilvl w:val="0"/>
              <w:numId w:val="3"/>
            </w:numPr>
          </w:pPr>
        </w:pPrChange>
      </w:pPr>
      <w:r>
        <w:t>Select recommended estimates for reporting.</w:t>
      </w:r>
    </w:p>
    <w:p w14:paraId="1F6D5080" w14:textId="77777777" w:rsidR="004F44B0" w:rsidRDefault="001F4DFD">
      <w:pPr>
        <w:numPr>
          <w:ilvl w:val="0"/>
          <w:numId w:val="7"/>
        </w:numPr>
        <w:pPrChange w:id="900189" w:author="Claude" w:date="2026-10-07T16:45:00Z">
          <w:pPr>
            <w:numPr>
              <w:ilvl w:val="0"/>
              <w:numId w:val="3"/>
            </w:numPr>
          </w:pPr>
        </w:pPrChange>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ins w:id="900098" w:author="Claude" w:date="2026-10-07T16:45:00Z">
              <w:r>
                <w:t xml:space="preserve"> Column: the selected benchmark-level variable, or benchmark_level, level, group, group_id, region, reg or region_id; it can be omitted when there is a single group.</w:t>
              </w:r>
            </w:ins>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ins w:id="900099" w:author="Claude" w:date="2026-10-07T16:45:00Z">
              <w:r>
                <w:t xml:space="preserve"> Name the column year, time or period.</w:t>
              </w:r>
            </w:ins>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ins w:id="900100" w:author="Claude" w:date="2026-10-07T16:45:00Z">
              <w:r>
                <w:t xml:space="preserve"> Name the column benchmark or target (also accepted: B_r, benchmark_target, regional_benchmark, direct, direct_rate, poverty_rate).</w:t>
              </w:r>
            </w:ins>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Population size, if needed for aggregation.</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del w:id="900096" w:author="Claude" w:date="2026-10-07T16:45:00Z">
        <w:r>
          <w:delText xml:space="preserve">so targets should then be supplied in the current prices of each year;</w:delText>
        </w:r>
      </w:del>
      <w:ins w:id="900097" w:author="Claude" w:date="2026-10-07T16:45:00Z">
        <w:r>
          <w:t xml:space="preserve">so targets should then be supplied in the same current prices as that survey year’s welfare, that is, the prices of its income reference year (for EU-SILC, usually the year before the survey);</w:t>
        </w:r>
      </w:ins>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0" w:author="Claude" w:date="2026-10-07T16:45:00Z">
        <w:r>
          <w:delText xml:space="preserve"> is the survey weight</w:delText>
        </w:r>
      </w:del>
      <w:ins w:id="900011" w:author="Claude" w:date="2026-10-07T16:45:00Z">
        <w:r>
          <w:t xml:space="preserve"> is the population weight, survey weight × household size (equal to the survey weight for person records with household size 1)</w:t>
        </w:r>
      </w:ins>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del w:id="900012" w:author="Claude" w:date="2026-10-07T16:45:00Z">
        <w:r>
          <w:delText xml:space="preserve">households or individuals</w:delText>
        </w:r>
      </w:del>
      <w:ins w:id="900013" w:author="Claude" w:date="2026-10-07T16:45:00Z">
        <w:r>
          <w:t xml:space="preserve">persons</w:t>
        </w:r>
      </w:ins>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4" w:author="Claude" w:date="2026-10-07T16:45:00Z">
        <w:r>
          <w:delText xml:space="preserve"> is the survey weight</w:delText>
        </w:r>
      </w:del>
      <w:ins w:id="900015" w:author="Claude" w:date="2026-10-07T16:45:00Z">
        <w:r>
          <w:t xml:space="preserve"> is the population weight (survey weight × household size; Section 4.6)</w:t>
        </w:r>
      </w:ins>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del w:id="900087" w:author="Claude" w:date="2026-10-07T16:45:00Z">
              <w:r>
                <w:delText xml:space="preserve">Coefficient of variation, usually standard error divided by the direct estimate.</w:delText>
              </w:r>
            </w:del>
            <w:ins w:id="900088" w:author="Claude" w:date="2026-10-07T16:45:00Z">
              <w:r>
                <w:t xml:space="preserve">Coefficient of variation: standard error divided by the direct estimate, often shown as a percentage.</w:t>
              </w:r>
            </w:ins>
          </w:p>
        </w:tc>
      </w:tr>
    </w:tbl>
    <w:p w14:paraId="1F3AABD8" w14:textId="77777777" w:rsidR="004F44B0" w:rsidRDefault="001F4DFD">
      <w:pPr>
        <w:pStyle w:val="BodyText"/>
      </w:pPr>
      <w:r>
        <w:t xml:space="preserve">Direct estimates should be computed using the appropriate survey weights and, where possible, the survey design variables. </w:t>
      </w:r>
      <w:del w:id="900016" w:author="Claude" w:date="2026-10-07T16:45:00Z">
        <w:r>
          <w:delText xml:space="preserve">In the Dashboard, the weight w used here is the population weight population_weight = weight × household size, so direct estimates are person-weighted; household size must be present in the survey data and mapped in the app.</w:delText>
        </w:r>
      </w:del>
      <w:ins w:id="900017" w:author="Claude" w:date="2026-10-07T16:45:00Z">
        <w:r>
          <w:t xml:space="preserve">In the Dashboard, direct estimates are therefore person-weighted; household size must be present in the survey data and mapped in the app (use a constant-one column for person records with person weights).</w:t>
        </w:r>
      </w:ins>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ins w:id="900086" w:author="Claude" w:date="2026-10-07T16:45:00Z">
        <w:r>
          <w:t xml:space="preserve"> It is often shown as a percentage, 100 × SE / estimate.</w:t>
        </w:r>
      </w:ins>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del w:id="900139" w:author="Claude" w:date="2026-10-07T16:45:00Z">
        <w:r>
          <w:delText xml:space="preserve">; or </w:delText>
        </w:r>
      </w:del>
      <w:ins w:id="900140"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del w:id="900137" w:author="Claude" w:date="2026-10-07T16:45:00Z">
        <w:r>
          <w:delText xml:space="preserve">for each year domain identifier:</w:delText>
        </w:r>
      </w:del>
      <w:ins w:id="900138" w:author="Claude" w:date="2026-10-07T16:45:00Z">
        <w:r>
          <w:t xml:space="preserve">for each domain and year:</w:t>
        </w:r>
      </w:ins>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del w:id="900101" w:author="Claude" w:date="2026-10-07T16:45:00Z">
        <w:r>
          <w:delText xml:space="preserve">arcsin or no transformation for poverty indicators, and log or no transformation for mean welfare.</w:delText>
        </w:r>
      </w:del>
      <w:ins w:id="900102" w:author="Claude" w:date="2026-10-07T16:45:00Z">
        <w:r>
          <w:t xml:space="preserve">arcsin or no transformation for the headcount ratio (FGT(0)), and log or no transformation for mean welfare. FGT(1) and FGT(2) are always modeled without transformation.</w:t>
        </w:r>
      </w:ins>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del w:id="900022" w:author="Claude" w:date="2026-10-07T16:45:00Z">
        <w:r>
          <w:delText xml:space="preserve">use Duan smearing (bc_sm) when the objective is an arithmetic mean on the currency scale. Exponentiating without smearing (none) yields a geometric-mean interpretation;</w:delText>
        </w:r>
      </w:del>
      <w:ins w:id="900023" w:author="Claude" w:date="2026-10-07T16:45:00Z">
        <w:r>
          <w:t xml:space="preserve">use bc_sm when the objective is an arithmetic mean on the currency scale: it multiplies each back-transformed estimate by the domain’s ratio of its direct arithmetic mean to its direct geometric mean (Annex G.4). Exponentiating without this factor (none) estimates the geometric mean;</w:t>
        </w:r>
      </w:ins>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del w:id="900068" w:author="Claude" w:date="2026-10-07T16:45:00Z">
        <w:r>
          <w:delText xml:space="preserve">(Section 11.9)</w:delText>
        </w:r>
      </w:del>
      <w:ins w:id="900069" w:author="Claude" w:date="2026-10-07T16:45:00Z">
        <w:r>
          <w:t xml:space="preserve">(Section 11.13)</w:t>
        </w:r>
      </w:ins>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14D418B" w14:textId="77777777" w:rsidR="008D263D" w:rsidRDefault="00733D29">
      <w:pPr>
        <w:pStyle w:val="BodyText"/>
        <w:rPr>
          <w:del w:id="900134" w:author="Claude" w:date="2026-10-07T16:45:00Z"/>
        </w:rPr>
      </w:pPr>
      <w:del w:id="900133" w:author="Claude" w:date="2026-10-07T16:45:00Z">
        <w:r>
          <w:delTex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delText>
        </w:r>
      </w:del>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rPr>
          <w:ins w:id="900136" w:author="Claude" w:date="2026-10-07T16:45:00Z"/>
        </w:rPr>
      </w:pPr>
      <w:ins w:id="900135" w:author="Claude" w:date="2026-10-07T16:45:00Z">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ins>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del w:id="900143" w:author="Claude" w:date="2026-10-07T16:45:00Z">
        <w:r>
          <w:delText xml:space="preserve">; or whether results are sensitive to alternative model choices</w:delText>
        </w:r>
      </w:del>
      <w:ins w:id="900144" w:author="Claude" w:date="2026-10-07T16:45:00Z">
        <w:r>
          <w:t xml:space="preserve">; and whether results are sensitive to alternative model choices</w:t>
        </w:r>
      </w:ins>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del w:id="900094" w:author="Claude" w:date="2026-10-07T16:45:00Z">
        <w:r>
          <w:delText xml:space="preserve">For poverty rates, the Dashboard applies a region-level</w:delText>
        </w:r>
      </w:del>
      <w:ins w:id="900095" w:author="Claude" w:date="2026-10-07T16:45:00Z">
        <w:r>
          <w:t xml:space="preserve">For poverty rates and mean welfare, the Dashboard applies a region-level</w:t>
        </w:r>
      </w:ins>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the benchmarked rates remain non-negative, preserve the ordering of areas, and aggregate exactly to the target.</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del w:id="900145" w:author="Claude" w:date="2026-10-07T16:45:00Z">
        <w:r>
          <w:delText xml:space="preserve">; or the benchmark year matches the survey year</w:delText>
        </w:r>
      </w:del>
      <w:ins w:id="900146" w:author="Claude" w:date="2026-10-07T16:45:00Z">
        <w:r>
          <w:t xml:space="preserve">; and the benchmark year matches the survey year</w:t>
        </w:r>
      </w:ins>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del w:id="900141" w:author="Claude" w:date="2026-10-07T16:45:00Z">
        <w:r>
          <w:delText xml:space="preserve">; or </w:delText>
        </w:r>
      </w:del>
      <w:ins w:id="900142"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del w:id="900024" w:author="Claude" w:date="2026-10-07T16:45:00Z">
        <w:r>
          <w:delText xml:space="preserve">Select Duan smearing (bc_sm) to obtain</w:delText>
        </w:r>
      </w:del>
      <w:ins w:id="900025" w:author="Claude" w:date="2026-10-07T16:45:00Z">
        <w:r>
          <w:t xml:space="preserve">Select bc_sm, a domain-year smearing factor (Annex G.4), to obtain</w:t>
        </w:r>
      </w:ins>
      <w:r>
        <w:t xml:space="preserve"> arithmetic-mean welfare predictions on the currency scale, and document the correction. </w:t>
      </w:r>
      <w:del w:id="900026" w:author="Claude" w:date="2026-10-07T16:45:00Z">
        <w:r>
          <w:delText xml:space="preserve">The none option has a geometric-mean interpretation.</w:delText>
        </w:r>
      </w:del>
      <w:ins w:id="900027" w:author="Claude" w:date="2026-10-07T16:45:00Z">
        <w:r>
          <w:t xml:space="preserve">With none, the estimates are geometric means.</w:t>
        </w:r>
      </w:ins>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del w:id="900147" w:author="Claude" w:date="2026-10-07T16:45:00Z">
        <w:r>
          <w:delText xml:space="preserve">; or whether results are sensitive to covariance</w:delText>
        </w:r>
      </w:del>
      <w:ins w:id="900148" w:author="Claude" w:date="2026-10-07T16:45:00Z">
        <w:r>
          <w:t xml:space="preserve">; and whether results are sensitive to covariance</w:t>
        </w:r>
      </w:ins>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w:del w:id="900179" w:author="Claude" w:date="2026-10-07T16:45:00Z">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w:del>
          <w:ins w:id="900180" w:author="Claude" w:date="2026-10-07T16:45:00Z">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w:ins>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del w:id="900131" w:author="Claude" w:date="2026-10-07T16:45:00Z">
        <w:r>
          <w:delText xml:space="preserve">are identified and produced by the EU SAE Dashboard.</w:delText>
        </w:r>
      </w:del>
      <w:ins w:id="900132" w:author="Claude" w:date="2026-10-07T16:45:00Z">
        <w:r>
          <w:t xml:space="preserve">are identified. Produced by the EU SAE Dashboard.</w:t>
        </w:r>
      </w:ins>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Change w:id="900190" w:author="Claude" w:date="2026-10-07T16:45:00Z">
          <w:pPr>
            <w:numPr>
              <w:ilvl w:val="0"/>
              <w:numId w:val="3"/>
            </w:numPr>
          </w:pPr>
        </w:pPrChange>
      </w:pPr>
      <w:r>
        <w:t>Do UFH and MFH improve precision without producing implausible estimates?</w:t>
      </w:r>
    </w:p>
    <w:p w14:paraId="7954A531" w14:textId="77777777" w:rsidR="004F44B0" w:rsidRDefault="001F4DFD">
      <w:pPr>
        <w:numPr>
          <w:ilvl w:val="0"/>
          <w:numId w:val="8"/>
        </w:numPr>
        <w:pPrChange w:id="900191" w:author="Claude" w:date="2026-10-07T16:45:00Z">
          <w:pPr>
            <w:numPr>
              <w:ilvl w:val="0"/>
              <w:numId w:val="3"/>
            </w:numPr>
          </w:pPr>
        </w:pPrChange>
      </w:pPr>
      <w:r>
        <w:t>Does MFH improve time comparability relative to separate UFH models?</w:t>
      </w:r>
    </w:p>
    <w:p w14:paraId="3F523B25" w14:textId="77777777" w:rsidR="004F44B0" w:rsidRDefault="001F4DFD">
      <w:pPr>
        <w:numPr>
          <w:ilvl w:val="0"/>
          <w:numId w:val="8"/>
        </w:numPr>
        <w:pPrChange w:id="900192" w:author="Claude" w:date="2026-10-07T16:45:00Z">
          <w:pPr>
            <w:numPr>
              <w:ilvl w:val="0"/>
              <w:numId w:val="3"/>
            </w:numPr>
          </w:pPr>
        </w:pPrChange>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del w:id="900072" w:author="Claude" w:date="2026-10-07T16:45:00Z">
        <w:r>
          <w:delText xml:space="preserve">to set the indicator and price basis.</w:delText>
        </w:r>
      </w:del>
      <w:ins w:id="900073" w:author="Claude" w:date="2026-10-07T16:45:00Z">
        <w:r>
          <w:t xml:space="preserve">to set the indicator and price basis; Section 11.13 explains how to read the change outputs.</w:t>
        </w:r>
      </w:ins>
      <w:r>
        <w:t xml:space="preserve"> The classic dashboard remains available; the wizard is the recommended interface for routine use. These instructions refer to application 5.2.0-rc.6 with wizard 5.12.</w:t>
      </w:r>
      <w:ins w:id="900074" w:author="Claude" w:date="2026-10-07T16:45:00Z">
        <w:r>
          <w:t xml:space="preserve"> The screenshots use the Spain example (survey years 2012 and 2013); the worked examples use 2022 and 2023.</w:t>
        </w:r>
      </w:ins>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del w:id="900111" w:author="Claude" w:date="2026-10-07T16:45:00Z">
        <w:r>
          <w:delText xml:space="preserve">if macOS blocks it, Control-click the file, choose Open, and confirm Open.</w:delText>
        </w:r>
      </w:del>
      <w:ins w:id="900112" w:author="Claude" w:date="2026-10-07T16:45:00Z">
        <w:r>
          <w:t xml:space="preserve">if macOS blocks it, open System Settings → Privacy &amp; Security and choose Open Anyway (macOS 15 or later), or Control-click the file and choose Open (macOS 14 or earlier).</w:t>
        </w:r>
      </w:ins>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del w:id="900105" w:author="Claude" w:date="2026-10-07T16:45:00Z">
        <w:r>
          <w:delText xml:space="preserve">The wizard reports outstanding items at each step, but only genuinely fatal prerequisites prevent Run Analysis.</w:delText>
        </w:r>
      </w:del>
      <w:ins w:id="900106" w:author="Claude" w:date="2026-10-07T16:45:00Z">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an input resets that check (Section 11.8).</w:t>
        </w:r>
      </w:ins>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del w:id="900103" w:author="Claude" w:date="2026-10-07T16:45:00Z">
        <w:r>
          <w:delText xml:space="preserve">(arcsin or no transformation for poverty; log or no transformation for mean welfare)</w:delText>
        </w:r>
      </w:del>
      <w:ins w:id="900104" w:author="Claude" w:date="2026-10-07T16:45:00Z">
        <w:r>
          <w:t xml:space="preserve">(arcsin or no transformation for FGT(0) headcounts, no transformation for FGT(1) and FGT(2); log or no transformation for mean welfare)</w:t>
        </w:r>
      </w:ins>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del w:id="900028" w:author="Claude" w:date="2026-10-07T16:45:00Z">
        <w:r>
          <w:delText xml:space="preserve">choose Duan smearing (bc_sm) in both UFH and MFH</w:delText>
        </w:r>
      </w:del>
      <w:ins w:id="900029" w:author="Claude" w:date="2026-10-07T16:45:00Z">
        <w:r>
          <w:t xml:space="preserve">choose bc_sm (domain-level smearing; Annex G.4) in both UFH and MFH</w:t>
        </w:r>
      </w:ins>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del w:id="900030" w:author="Claude" w:date="2026-10-07T16:45:00Z">
        <w:r>
          <w:delText xml:space="preserve">mean welfare can use log with Duan smearing.</w:delText>
        </w:r>
      </w:del>
      <w:ins w:id="900031" w:author="Claude" w:date="2026-10-07T16:45:00Z">
        <w:r>
          <w:t xml:space="preserve">mean welfare can use log with bc_sm.</w:t>
        </w:r>
      </w:ins>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del w:id="900107" w:author="Claude" w:date="2026-10-07T16:45:00Z">
        <w:r>
          <w:delText xml:space="preserve">Run 1. Check Data Readiness before 2. Run Analysis.</w:delText>
        </w:r>
      </w:del>
      <w:ins w:id="900108" w:author="Claude" w:date="2026-10-07T16:45:00Z">
        <w:r>
          <w:t xml:space="preserve">Run 1. Check Data Readiness, which must pass without an ERROR, before 2. Run Analysis.</w:t>
        </w:r>
      </w:ins>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rPr>
          <w:ins w:id="900054" w:author="Claude" w:date="2026-10-07T16:45:00Z"/>
        </w:rPr>
      </w:pPr>
      <w:ins w:id="900055" w:author="Claude" w:date="2026-10-07T16:45:00Z">
        <w:r>
          <w:t xml:space="preserve">Section 11.13 explains how to read the change outputs: their units (percentage points for headcounts, percent for mean welfare, raw log ratios in the box plots), the uncertainty behind each method, and the output fields that hold them.</w:t>
        </w:r>
      </w:ins>
    </w:p>
    <w:p w14:paraId="750602EC" w14:textId="77777777" w:rsidR="008D263D" w:rsidRDefault="00733D29">
      <w:pPr>
        <w:pStyle w:val="BodyText"/>
        <w:rPr>
          <w:del w:id="900047" w:author="Claude" w:date="2026-10-07T16:45:00Z"/>
        </w:rPr>
      </w:pPr>
      <w:del w:id="900046" w:author="Claude" w:date="2026-10-07T16:45:00Z">
        <w:r>
          <w:delText xml:space="preserve">The change box plots compare Direct, UFH, the selected MFH model, and benchmarked methods when available. Poverty headcount changes and their RMSEs use percentage points. Mean-welfare box plots use the raw log ratio ln(later mean / earlier mean); their RMSE is on that same log scale. These values are not multiplied by 100. For small changes, 100 times the log ratio approximates a percentage change; the exact </w:delText>
          <w:delText xml:space="preserve">percentage is 100 times (exp(log ratio) - 1). The main mean-welfare change maps and tables report the exact percentage change.</w:delText>
        </w:r>
      </w:del>
    </w:p>
    <w:p w14:paraId="02AB0835" w14:textId="77777777" w:rsidR="007E4E93" w:rsidRDefault="00E3560C">
      <w:pPr>
        <w:pStyle w:val="BodyText"/>
        <w:rPr>
          <w:del w:id="900049" w:author="Claude" w:date="2026-10-07T16:45:00Z"/>
        </w:rPr>
      </w:pPr>
      <w:del w:id="900048" w:author="Claude" w:date="2026-10-07T16:45:00Z">
        <w:r>
          <w:delText xml:space="preserve">For Direct and UFH changes, the calculation treats the two years as independent: add the two level MSEs and then take the square root to obtain RMSE. MFH additionally uses the cross-year prediction-error covariance (MCPE). For mean-welfare log-ratio plots, the delta method expresses uncertainty on the log-ratio scale. These are uncertainty measures, not the observed spread of changes across domains.</w:delText>
        </w:r>
      </w:del>
    </w:p>
    <w:p w14:paraId="76667F17" w14:textId="77777777" w:rsidR="007E4E93" w:rsidRDefault="00E3560C">
      <w:pPr>
        <w:pStyle w:val="BodyText"/>
        <w:rPr>
          <w:del w:id="900051" w:author="Claude" w:date="2026-10-07T16:45:00Z"/>
        </w:rPr>
      </w:pPr>
      <w:del w:id="900050" w:author="Claude" w:date="2026-10-07T16:45:00Z">
        <w:r>
          <w:delTex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delText>
        </w:r>
      </w:del>
    </w:p>
    <w:p w14:paraId="55268B25" w14:textId="77777777" w:rsidR="008D263D" w:rsidRDefault="00733D29">
      <w:pPr>
        <w:pStyle w:val="BodyText"/>
        <w:rPr>
          <w:del w:id="900053" w:author="Claude" w:date="2026-10-07T16:45:00Z"/>
        </w:rPr>
      </w:pPr>
      <w:del w:id="900052" w:author="Claude" w:date="2026-10-07T16:45:00Z">
        <w:r>
          <w:delTex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delText>
        </w:r>
      </w:del>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del w:id="900153" w:author="Claude" w:date="2026-10-07T16:45:00Z">
        <w:r>
          <w:delText xml:space="preserve">year specific</w:delText>
        </w:r>
      </w:del>
      <w:ins w:id="900154" w:author="Claude" w:date="2026-10-07T16:45:00Z">
        <w:r>
          <w:t xml:space="preserve">year-specific</w:t>
        </w:r>
      </w:ins>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del w:id="900129" w:author="Claude" w:date="2026-10-07T16:45:00Z">
        <w:r>
          <w:delText xml:space="preserve">leave AI off unless required, and complete Review &amp; Run and Check Data Readiness. Check the poverty-line summary before running.</w:delText>
        </w:r>
      </w:del>
      <w:ins w:id="900130" w:author="Claude" w:date="2026-10-07T16:45:00Z">
        <w:r>
          <w:t xml:space="preserve">leave AI off unless required. In Step 6, check the poverty lines in the summary, run Check Data Readiness, then Run Analysis.</w:t>
        </w:r>
      </w:ins>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del w:id="900075" w:author="Claude" w:date="2026-10-07T16:45:00Z">
        <w:r>
          <w:delText xml:space="preserve">Headcount change tables and maps use percentage points.</w:delText>
        </w:r>
      </w:del>
      <w:ins w:id="900076" w:author="Claude" w:date="2026-10-07T16:45:00Z">
        <w:r>
          <w:t xml:space="preserve">Box plots and the change workbook show headcount changes in percentage points; the significance tables and change maps store them as proportions (−0.020 is −2.0 points; Section 11.13).</w:t>
        </w:r>
      </w:ins>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del w:id="900003" w:author="Claude" w:date="2026-10-07T16:45:00Z">
        <w:r>
          <w:delText xml:space="preserve">Route B, uploading CPI and selecting an anchor year so that the app calculates the line, is a proposed extension and requires an application update.</w:delText>
        </w:r>
      </w:del>
      <w:ins w:id="900004" w:author="Claude" w:date="2026-10-07T16:45:00Z">
        <w:r>
          <w:t xml:space="preserve">Route B, in which the app would calculate the lines from CPI values, an anchor income year and a monetary anchor-year threshold entered by the analyst, is a proposed extension that would require an application update.</w:t>
        </w:r>
      </w:ins>
      <w:r>
        <w:t xml:space="preserve"> Use Route A in the current release.</w:t>
      </w:r>
    </w:p>
    <w:p w14:paraId="1E9AC123" w14:textId="77777777" w:rsidR="007E4E93" w:rsidRDefault="00E3560C">
      <w:pPr>
        <w:pStyle w:val="Heading3"/>
      </w:pPr>
      <w:bookmarkStart w:id="341" w:name="_Toc242266101"/>
      <w:r>
        <w:t xml:space="preserve">11.11.1 </w:t>
      </w:r>
      <w:del w:id="900159" w:author="Claude" w:date="2026-10-07T16:45:00Z">
        <w:r>
          <w:delText xml:space="preserve">Route A Supply</w:delText>
        </w:r>
      </w:del>
      <w:ins w:id="900160" w:author="Claude" w:date="2026-10-07T16:45:00Z">
        <w:r>
          <w:t xml:space="preserve">Route A: Supply</w:t>
        </w:r>
      </w:ins>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del w:id="900165" w:author="Claude" w:date="2026-10-07T16:45:00Z">
        <w:r>
          <w:delText xml:space="preserve">Route B Proposed</w:delText>
        </w:r>
      </w:del>
      <w:ins w:id="900166" w:author="Claude" w:date="2026-10-07T16:45:00Z">
        <w:r>
          <w:t xml:space="preserve">Route B: Proposed</w:t>
        </w:r>
      </w:ins>
      <w:r>
        <w:t xml:space="preserve"> CPI calculation in the app</w:t>
      </w:r>
      <w:bookmarkEnd w:id="342"/>
    </w:p>
    <w:p w14:paraId="220AA31F" w14:textId="77777777" w:rsidR="007E4E93" w:rsidRDefault="00E3560C">
      <w:pPr>
        <w:pStyle w:val="BodyText"/>
      </w:pPr>
      <w:del w:id="900005" w:author="Claude" w:date="2026-10-07T16:45:00Z">
        <w:r>
          <w:rPr>
            <w:b/>
          </w:rPr>
          <w:delText xml:space="preserve">Planned feature.</w:delText>
        </w:r>
      </w:del>
      <w:ins w:id="900006" w:author="Claude" w:date="2026-10-07T16:45:00Z">
        <w:r>
          <w:rPr>
            <w:b/>
          </w:rPr>
          <w:t xml:space="preserve">Proposed feature (not available in 5.2.0-rc.6 with wizard 5.12).</w:t>
        </w:r>
      </w:ins>
      <w:r>
        <w:t xml:space="preserve"> The proposed route would take a CPI database, an anchor income year, and the </w:t>
      </w:r>
      <w:ins w:id="900007" w:author="Claude" w:date="2026-10-07T16:45:00Z">
        <w:r>
          <w:t xml:space="preserve">monetary </w:t>
        </w:r>
      </w:ins>
      <w:r>
        <w:t xml:space="preserve">anchor-year poverty threshold, then calculate the corresponding line for every survey income year. It must also record whether income refers to the survey year or the preceding calendar year. </w:t>
      </w:r>
      <w:del w:id="900008" w:author="Claude" w:date="2026-10-07T16:45:00Z">
        <w:r>
          <w:delText xml:space="preserve">An anchor year and CPI alone cannot determine the monetary poverty threshold; the anchor-year line must be supplied or calculated from the appropriate survey under a defined methodology.</w:delText>
        </w:r>
      </w:del>
      <w:ins w:id="900009" w:author="Claude" w:date="2026-10-07T16:45:00Z">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ins>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del w:id="900077" w:author="Claude" w:date="2026-10-07T16:45:00Z">
        <w:r>
          <w:delText xml:space="preserve">Headcount changes are in percentage points.</w:delText>
        </w:r>
      </w:del>
      <w:ins w:id="900078" w:author="Claude" w:date="2026-10-07T16:45:00Z">
        <w:r>
          <w:t xml:space="preserve">Headcount changes are percentage-point changes; Section 11.13 explains how each output stores them.</w:t>
        </w:r>
      </w:ins>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del w:id="900161" w:author="Claude" w:date="2026-10-07T16:45:00Z">
        <w:r>
          <w:delText xml:space="preserve">Route A Supply</w:delText>
        </w:r>
      </w:del>
      <w:ins w:id="900162" w:author="Claude" w:date="2026-10-07T16:45:00Z">
        <w:r>
          <w:t xml:space="preserve">Route A: Supply</w:t>
        </w:r>
      </w:ins>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del w:id="900169" w:author="Claude" w:date="2026-10-07T16:45:00Z">
        <w:r>
          <w:delText xml:space="preserve">Route B Convert</w:delText>
        </w:r>
      </w:del>
      <w:ins w:id="900170" w:author="Claude" w:date="2026-10-07T16:45:00Z">
        <w:r>
          <w:t xml:space="preserve">Route B: Convert</w:t>
        </w:r>
      </w:ins>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del w:id="900032" w:author="Claude" w:date="2026-10-07T16:45:00Z">
        <w:r>
          <w:delText xml:space="preserve">select log and Duan smearing (bc_sm) in both UFH and MFH to target arithmetic-mean welfare on the currency scale. With none, exponentiation has a geometric-mean interpretation.</w:delText>
        </w:r>
      </w:del>
      <w:ins w:id="900033" w:author="Claude" w:date="2026-10-07T16:45:00Z">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estimates are geometric means.</w:t>
        </w:r>
      </w:ins>
      <w:r>
        <w:t xml:space="preserve"> </w:t>
      </w:r>
      <w:del w:id="900109" w:author="Claude" w:date="2026-10-07T16:45:00Z">
        <w:r>
          <w:delText xml:space="preserve">Review zero or negative observations: direct means may still be computable, but the log model requires valid positive inputs.</w:delText>
        </w:r>
      </w:del>
      <w:ins w:id="900110" w:author="Claude" w:date="2026-10-07T16:45:00Z">
        <w:r>
          <w:t xml:space="preserve">Review zero or negative observations: they are left out of the log model but kept in the Direct means, so the two are computed on different records. Count them before a log run; if they matter, use no transformation or document the exclusion.</w:t>
        </w:r>
      </w:ins>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ins w:id="900081" w:author="Claude" w:date="2026-10-07T16:45:00Z">
        <w:r>
          <w:t xml:space="preserve"> For log fits, level RMSEs are delta-method approximations from the log-scale MSE.</w:t>
        </w:r>
      </w:ins>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del w:id="900070" w:author="Claude" w:date="2026-10-07T16:45:00Z">
        <w:r>
          <w:delText xml:space="preserve">Section 11.9 explains the currency-difference fields and how to retain the reports and run archive.</w:delText>
        </w:r>
      </w:del>
      <w:ins w:id="900071" w:author="Claude" w:date="2026-10-07T16:45:00Z">
        <w:r>
          <w:t xml:space="preserve">Section 11.13 explains the currency-difference fields, and Section 11.9 explains how to retain the reports and run archive.</w:t>
        </w:r>
      </w:ins>
    </w:p>
    <w:p>
      <w:pPr>
        <w:pStyle w:val="Heading2"/>
        <w:rPr>
          <w:ins w:id="900056" w:author="Claude" w:date="2026-10-07T16:45:00Z"/>
        </w:rPr>
      </w:pPr>
      <w:bookmarkStart w:id="471" w:name="_Toc900001"/>
      <w:ins w:id="900057" w:author="Claude" w:date="2026-10-07T16:45:00Z">
        <w:r>
          <w:t xml:space="preserve">11.13 Reading the change outputs</w:t>
        </w:r>
      </w:ins>
      <w:bookmarkEnd w:id="471"/>
    </w:p>
    <w:p>
      <w:pPr>
        <w:pStyle w:val="FirstParagraph"/>
        <w:rPr>
          <w:ins w:id="900058" w:author="Claude" w:date="2026-10-07T16:45:00Z"/>
        </w:rPr>
      </w:pPr>
      <w:ins w:id="900059" w:author="Claude" w:date="2026-10-07T16:45:00Z">
        <w:r>
          <w:t xml:space="preserve">The change box plots compare Direct, UFH, the selected MFH model, and the benchmarked UFH and MFH estimates when benchmarking is on. For poverty, the box plots, change_rmse_by_method.csv and the Domain changes sheet of change_estimate_comparison.xlsx show headcount changes and their RMSEs in percentage points, whereas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ins>
    </w:p>
    <w:p>
      <w:pPr>
        <w:pStyle w:val="BodyText"/>
        <w:rPr>
          <w:ins w:id="900060" w:author="Claude" w:date="2026-10-07T16:45:00Z"/>
        </w:rPr>
      </w:pPr>
      <w:ins w:id="900061" w:author="Claude" w:date="2026-10-07T16:45:00Z">
        <w:r>
          <w:t xml:space="preserve">For Direct and UFH, the change MSE is the sum of the two level MSEs, and its square root is the RMSE: the years are treated as independent, and the cross-year sampling covariance of Section 6.7 is not used. When PSUs are reused across years, this usually overstates the uncertainty of these changes. Direct changes appear only in the box plots; the significance tables and change maps report UFH changes on this independence basis and MFH changes with the cross-year prediction-error covariance (MCPE). For mean-welfare log-ratio plots, the delta method expresses uncertainty on the log-ratio scale. These are uncertainty measures, not the observed spread of changes across domains.</w:t>
        </w:r>
      </w:ins>
    </w:p>
    <w:p>
      <w:pPr>
        <w:pStyle w:val="BodyText"/>
        <w:rPr>
          <w:ins w:id="900062" w:author="Claude" w:date="2026-10-07T16:45:00Z"/>
        </w:rPr>
      </w:pPr>
      <w:ins w:id="900063" w:author="Claude" w:date="2026-10-07T16:45:00Z">
        <w:r>
          <w: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ins>
    </w:p>
    <w:p>
      <w:pPr>
        <w:pStyle w:val="BodyText"/>
        <w:rPr>
          <w:ins w:id="900064" w:author="Claude" w:date="2026-10-07T16:45:00Z"/>
        </w:rPr>
      </w:pPr>
      <w:ins w:id="900065" w:author="Claude" w:date="2026-10-07T16:45:00Z">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ins>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del w:id="900127" w:author="Claude" w:date="2026-10-07T16:45:00Z">
        <w:r>
          <w:delText xml:space="preserve">(Section 7.8)</w:delText>
        </w:r>
      </w:del>
      <w:ins w:id="900128" w:author="Claude" w:date="2026-10-07T16:45:00Z">
        <w:r>
          <w:t xml:space="preserve">(Section 7.12)</w:t>
        </w:r>
      </w:ins>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del w:id="900034" w:author="Claude" w:date="2026-10-07T16:45:00Z">
        <w:r>
          <w:delText xml:space="preserve">log with Duan smearing targets</w:delText>
        </w:r>
      </w:del>
      <w:ins w:id="900035" w:author="Claude" w:date="2026-10-07T16:45:00Z">
        <w:r>
          <w:t xml:space="preserve">log with bc_sm targets</w:t>
        </w:r>
      </w:ins>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del w:id="900149" w:author="Claude" w:date="2026-10-07T16:45:00Z">
        <w:r>
          <w:delText xml:space="preserve">These are why the note recommends</w:delText>
        </w:r>
      </w:del>
      <w:ins w:id="900150" w:author="Claude" w:date="2026-10-07T16:45:00Z">
        <w:r>
          <w:t xml:space="preserve">This is why the note recommends</w:t>
        </w:r>
      </w:ins>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del w:id="900082" w:author="Claude" w:date="2026-10-07T16:45:00Z">
        <w:r>
          <w:delText xml:space="preserve">Its square root is the standard error.</w:delText>
        </w:r>
      </w:del>
      <w:ins w:id="900083" w:author="Claude" w:date="2026-10-07T16:45:00Z">
        <w:r>
          <w:t xml:space="preserve">Its square root, the root mean squared error (RMSE), is in the units of the estimate and is the model-based counterpart of a standard error.</w:t>
        </w:r>
      </w:ins>
    </w:p>
    <w:p w14:paraId="5825A431" w14:textId="77777777" w:rsidR="004F44B0" w:rsidRDefault="001F4DFD">
      <w:pPr>
        <w:pStyle w:val="BodyText"/>
      </w:pPr>
      <w:r>
        <w:rPr>
          <w:b/>
        </w:rPr>
        <w:t>CV (Coefficient of Variation).</w:t>
      </w:r>
      <w:r>
        <w:t xml:space="preserve"> </w:t>
      </w:r>
      <w:del w:id="900084" w:author="Claude" w:date="2026-10-07T16:45:00Z">
        <w:r>
          <w:delText xml:space="preserve">The standard error is expressed as a percentage of the estimate,</w:delText>
        </w:r>
      </w:del>
      <w:ins w:id="900085" w:author="Claude" w:date="2026-10-07T16:45:00Z">
        <w:r>
          <w:t xml:space="preserve">The standard error (the RMSE for model-based estimates) expressed as a percentage of the estimate,</w:t>
        </w:r>
      </w:ins>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del w:id="900177" w:author="Claude" w:date="2026-10-07T16:45:00Z">
        <w:r>
          <w:delText xml:space="preserve">is non-zero when the samples overlap (rotating panels).</w:delText>
        </w:r>
      </w:del>
      <w:ins w:id="900178" w:author="Claude" w:date="2026-10-07T16:45:00Z">
        <w:r>
          <w:t xml:space="preserve">is non-zero when survey rounds share PSUs (for example, rotating panels or retained clusters), even when different households are interviewed.</w:t>
        </w:r>
      </w:ins>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del w:id="900089" w:author="Claude" w:date="2026-10-07T16:45:00Z">
        <w:r>
          <w:delText xml:space="preserve">The multiplicative benchmarking adjustment used for poverty rates, applying</w:delText>
        </w:r>
      </w:del>
      <w:ins w:id="900090" w:author="Claude" w:date="2026-10-07T16:45:00Z">
        <w:r>
          <w:t xml:space="preserve">The multiplicative benchmarking adjustment the Dashboard uses for poverty rates and mean welfare, applying</w:t>
        </w:r>
      </w:ins>
      <w:r>
        <w:t xml:space="preserve"> a common factor within each benchmark area; it preserves non-negativity and proportional ordering. </w:t>
      </w:r>
      <w:del w:id="900091" w:author="Claude" w:date="2026-10-07T16:45:00Z">
        <w:r>
          <w:delText xml:space="preserve">The additive alternative is raking.</w:delText>
        </w:r>
      </w:del>
      <w:ins w:id="900092" w:author="Claude" w:date="2026-10-07T16:45:00Z">
        <w:r>
          <w:t xml:space="preserve">The main alternative is additive (difference) benchmarking; raking is an iterative ratio method.</w:t>
        </w:r>
      </w:ins>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del w:id="900036" w:author="Claude" w:date="2026-10-07T16:45:00Z">
        <w:r>
          <w:delText xml:space="preserve">with a bias-corrected (Duan smearing) back-transform.</w:delText>
        </w:r>
      </w:del>
      <w:ins w:id="900037" w:author="Claude" w:date="2026-10-07T16:45:00Z">
        <w:r>
          <w:t xml:space="preserve">with the bc_sm smearing factor, the domain’s direct arithmetic mean divided by its direct geometric mean (Annex G.4); without it, they estimate the geometric mean.</w:t>
        </w:r>
      </w:ins>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del w:id="900171" w:author="Claude" w:date="2026-10-07T16:45:00Z">
              <w:r>
                <w:rPr>
                  <w:rStyle w:val="VerbatimChar"/>
                </w:rPr>
                <w:delText xml:space="preserve">Household size</w:delText>
              </w:r>
            </w:del>
            <w:ins w:id="900172" w:author="Claude" w:date="2026-10-07T16:45:00Z">
              <w:r>
                <w:rPr>
                  <w:rStyle w:val="VerbatimChar"/>
                </w:rPr>
                <w:t xml:space="preserve">hhsize</w:t>
              </w:r>
            </w:ins>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del w:id="900115" w:author="Claude" w:date="2026-10-07T16:45:00Z">
        <w:r>
          <w:rPr>
            <w:b/>
          </w:rPr>
          <w:delText xml:space="preserve">Direct-estimate data (optional; one row per area–year).</w:delText>
        </w:r>
      </w:del>
      <w:ins w:id="900116" w:author="Claude" w:date="2026-10-07T16:45:00Z">
        <w:r>
          <w:rPr>
            <w:b/>
          </w:rPr>
          <w:t xml:space="preserve">Direct-estimate data.</w:t>
        </w:r>
      </w:ins>
      <w:r>
        <w:t xml:space="preserve"> </w:t>
      </w:r>
      <w:del w:id="900117" w:author="Claude" w:date="2026-10-07T16:45:00Z">
        <w:r>
          <w:delText xml:space="preserve">If supplied instead of being computed, it must provide the area, year, direct estimate, and sampling variance (and, for MFH change analysis, the cross-year sampling covariances).</w:delText>
        </w:r>
      </w:del>
      <w:ins w:id="900118" w:author="Claude" w:date="2026-10-07T16:45:00Z">
        <w:r>
          <w:t xml:space="preserve">Not an input: the wizard and the classic dashboard always compute direct estimates, sampling variances and cross-year covariances from the survey microdata (Sections 6 and 8.7).</w:t>
        </w:r>
      </w:ins>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del w:id="900175" w:author="Claude" w:date="2026-10-07T16:45:00Z">
        <w:r>
          <w:delText xml:space="preserve">lambda, </w:delText>
        </w:r>
      </w:del>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Change w:id="900193" w:author="Claude" w:date="2026-10-07T16:45:00Z">
          <w:pPr>
            <w:pStyle w:val="Compact"/>
            <w:numPr>
              <w:ilvl w:val="0"/>
              <w:numId w:val="3"/>
            </w:numPr>
          </w:pPr>
        </w:pPrChange>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Change w:id="900194" w:author="Claude" w:date="2026-10-07T16:45:00Z">
          <w:pPr>
            <w:pStyle w:val="Compact"/>
            <w:numPr>
              <w:ilvl w:val="0"/>
              <w:numId w:val="3"/>
            </w:numPr>
          </w:pPr>
        </w:pPrChange>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Change w:id="900195" w:author="Claude" w:date="2026-10-07T16:45:00Z">
          <w:pPr>
            <w:pStyle w:val="Compact"/>
            <w:numPr>
              <w:ilvl w:val="0"/>
              <w:numId w:val="3"/>
            </w:numPr>
          </w:pPr>
        </w:pPrChange>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Change w:id="900196" w:author="Claude" w:date="2026-10-07T16:45:00Z">
          <w:pPr>
            <w:pStyle w:val="Compact"/>
            <w:numPr>
              <w:ilvl w:val="0"/>
              <w:numId w:val="3"/>
            </w:numPr>
          </w:pPr>
        </w:pPrChange>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Change w:id="900197" w:author="Claude" w:date="2026-10-07T16:45:00Z">
          <w:pPr>
            <w:pStyle w:val="Compact"/>
            <w:numPr>
              <w:ilvl w:val="0"/>
              <w:numId w:val="3"/>
            </w:numPr>
          </w:pPr>
        </w:pPrChange>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Change w:id="900198" w:author="Claude" w:date="2026-10-07T16:45:00Z">
          <w:pPr>
            <w:pStyle w:val="Compact"/>
            <w:numPr>
              <w:ilvl w:val="0"/>
              <w:numId w:val="3"/>
            </w:numPr>
          </w:pPr>
        </w:pPrChange>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Change w:id="900199" w:author="Claude" w:date="2026-10-07T16:45:00Z">
          <w:pPr>
            <w:pStyle w:val="Compact"/>
            <w:numPr>
              <w:ilvl w:val="0"/>
              <w:numId w:val="3"/>
            </w:numPr>
          </w:pPr>
        </w:pPrChange>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Change w:id="900200" w:author="Claude" w:date="2026-10-07T16:45:00Z">
          <w:pPr>
            <w:pStyle w:val="Compact"/>
            <w:numPr>
              <w:ilvl w:val="0"/>
              <w:numId w:val="3"/>
            </w:numPr>
          </w:pPr>
        </w:pPrChange>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Change w:id="900201" w:author="Claude" w:date="2026-10-07T16:45:00Z">
          <w:pPr>
            <w:pStyle w:val="Compact"/>
            <w:numPr>
              <w:ilvl w:val="0"/>
              <w:numId w:val="3"/>
            </w:numPr>
          </w:pPr>
        </w:pPrChange>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Change w:id="900202" w:author="Claude" w:date="2026-10-07T16:45:00Z">
          <w:pPr>
            <w:pStyle w:val="Compact"/>
            <w:numPr>
              <w:ilvl w:val="0"/>
              <w:numId w:val="3"/>
            </w:numPr>
          </w:pPr>
        </w:pPrChange>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Change w:id="900203" w:author="Claude" w:date="2026-10-07T16:45:00Z">
          <w:pPr>
            <w:pStyle w:val="Compact"/>
            <w:numPr>
              <w:ilvl w:val="0"/>
              <w:numId w:val="3"/>
            </w:numPr>
          </w:pPr>
        </w:pPrChange>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del w:id="900079" w:author="Claude" w:date="2026-10-07T16:45:00Z">
        <w:r>
          <w:delText xml:space="preserve">headcount changes in percentage points, real mean-welfare changes in percent, and mean-welfare box plots in raw log ratios.</w:delText>
        </w:r>
      </w:del>
      <w:ins w:id="900080" w:author="Claude" w:date="2026-10-07T16:45:00Z">
        <w:r>
          <w:t xml:space="preserve">headcount changes in percentage points (stored as proportions in the significance tables and change maps), real mean-welfare changes in percent, and mean-welfare box plots in raw log ratios (Section 11.13).</w:t>
        </w:r>
      </w:ins>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del w:id="900119" w:author="Claude" w:date="2026-10-07T16:45:00Z">
              <w:r>
                <w:delText xml:space="preserve">(Section 4.1)</w:delText>
              </w:r>
            </w:del>
            <w:ins w:id="900120" w:author="Claude" w:date="2026-10-07T16:45:00Z">
              <w:r>
                <w:t xml:space="preserve">(Section 4.2)</w:t>
              </w:r>
            </w:ins>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del w:id="900121" w:author="Claude" w:date="2026-10-07T16:45:00Z">
              <w:r>
                <w:delText xml:space="preserve">(Section 4.6)</w:delText>
              </w:r>
            </w:del>
            <w:ins w:id="900122" w:author="Claude" w:date="2026-10-07T16:45:00Z">
              <w:r>
                <w:t xml:space="preserve">(Section 4.8)</w:t>
              </w:r>
            </w:ins>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del w:id="900173" w:author="Claude" w:date="2026-10-07T16:45:00Z">
              <w:r>
                <w:delText xml:space="preserve">Use MFH2 (fewest parameters)</w:delText>
              </w:r>
            </w:del>
            <w:ins w:id="900174" w:author="Claude" w:date="2026-10-07T16:45:00Z">
              <w:r>
                <w:t xml:space="preserve">Use MFH2 (the most parsimonious correlated model)</w:t>
              </w:r>
            </w:ins>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del w:id="900123" w:author="Claude" w:date="2026-10-07T16:45:00Z">
              <w:r>
                <w:delText xml:space="preserve">Section 6.4)</w:delText>
              </w:r>
            </w:del>
            <w:ins w:id="900124" w:author="Claude" w:date="2026-10-07T16:45:00Z">
              <w:r>
                <w:t xml:space="preserve">Section 6.6)</w:t>
              </w:r>
            </w:ins>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del w:id="900125" w:author="Claude" w:date="2026-10-07T16:45:00Z">
              <w:r>
                <w:delText xml:space="preserve">(Section 8.5)</w:delText>
              </w:r>
            </w:del>
            <w:ins w:id="900126" w:author="Claude" w:date="2026-10-07T16:45:00Z">
              <w:r>
                <w:t xml:space="preserve">(Section 8.7)</w:t>
              </w:r>
            </w:ins>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ins w:id="900176" w:author="Claude" w:date="2026-10-07T16:45:00Z">
        <w:r>
          <w:t xml:space="preserve"> In this annex, δ denotes the area indicator and σ</w:t>
        </w:r>
        <w:r>
          <w:rPr>
            <w:vertAlign w:val="subscript"/>
          </w:rPr>
          <w:t xml:space="preserve">ed</w:t>
        </w:r>
        <w:r>
          <w:t xml:space="preserve">² its sampling variance; Sections 6 to 8 write these as θ and ψ.</w:t>
        </w:r>
      </w:ins>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del w:id="900018" w:author="Claude" w:date="2026-10-07T16:45:00Z">
        <w:r>
          <w:delText xml:space="preserve">, survey weights </w:delText>
        </w:r>
      </w:del>
      <w:ins w:id="900019" w:author="Claude" w:date="2026-10-07T16:45:00Z">
        <w:r>
          <w:t xml:space="preserve">, population weights </w:t>
        </w:r>
      </w:ins>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and its sampling-variance estimator are</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rPr>
          <w:ins w:id="900020" w:author="Claude" w:date="2026-10-07T16:45:00Z"/>
        </w:rPr>
      </w:pPr>
      <w:ins w:id="900021" w:author="Claude" w:date="2026-10-07T16:45:00Z">
        <w:r>
          <w:t xml:space="preserve">In the package, the weights are population weights (survey weight × household size), so the denominator estimates the number of persons in the domain; for mean welfare, the FGT term is replaced by the welfare value. The variance formula above is the textbook form, which ignores clustering. The package computes direct estimates and their variances with the R survey package: a design with the PSUs as clusters, the strata where mapped, and the population weights; Hájek weighted means (svymean); and Taylor-linearization variances without a finite-population correction (Section 4.7).</w:t>
        </w:r>
      </w:ins>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del w:id="900038" w:author="Claude" w:date="2026-10-07T16:45:00Z">
        <w:r>
          <w:delText xml:space="preserve"> Fit on </w:delText>
        </w:r>
      </w:del>
      <w:ins w:id="900039" w:author="Claude" w:date="2026-10-07T16:45:00Z">
        <w:r>
          <w:t xml:space="preserve"> The area-level model is fitted to each domain’s (MFH: domain-year’s) direct mean of </w:t>
        </w:r>
      </w:ins>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del w:id="900040" w:author="Claude" w:date="2026-10-07T16:45:00Z">
        <w:r>
          <w:delText xml:space="preserve">; the naive back-transform </w:delText>
        </w:r>
      </w:del>
      <w:ins w:id="900041" w:author="Claude" w:date="2026-10-07T16:45:00Z">
        <w:r>
          <w:t xml:space="preserve">, computed from households with positive welfare; the naive back-transform </w:t>
        </w:r>
      </w:ins>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del w:id="900042" w:author="Claude" w:date="2026-10-07T16:45:00Z">
        <w:r>
          <w:delText xml:space="preserve"> is downward-biased for the mean. Duan’s smearing estimator multiplies it by the empirical mean of the exponentiated residuals,</w:delText>
        </w:r>
      </w:del>
      <w:ins w:id="900043" w:author="Claude" w:date="2026-10-07T16:45:00Z">
        <w:r>
          <w:t xml:space="preserve"> estimates the geometric mean, which lies below the arithmetic mean. In a unit-level model, Duan’s (1983) smearing estimator multiplies it by the empirical mean of the n exponentiated unit-level residuals,</w:t>
        </w:r>
      </w:ins>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rPr>
          <w:ins w:id="900044" w:author="Claude" w:date="2026-10-07T16:45:00Z"/>
        </w:rPr>
      </w:pPr>
      <w:ins w:id="900045" w:author="Claude" w:date="2026-10-07T16:45:00Z">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With none, the Dashboard reports exp(η̂</w:t>
        </w:r>
        <w:r>
          <w:rPr>
            <w:vertAlign w:val="subscript"/>
          </w:rPr>
          <w:t xml:space="preserve">d</w:t>
        </w:r>
        <w:r>
          <w:t xml:space="preserve">), the geometric mean.</w:t>
        </w:r>
      </w:ins>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ins w:id="900093" w:author="Claude" w:date="2026-10-07T16:45:00Z">
        <w:r>
          <w:t xml:space="preserve"> The Dashboard uses the ratio form for both poverty rates and mean welfare (Section 7.12); the additive form is shown for reference.</w:t>
        </w:r>
      </w:ins>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