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Constrained-REML</w:t>
      </w:r>
      <w:r>
        <w:t xml:space="preserve"> </w:t>
      </w:r>
      <w:r>
        <w:t xml:space="preserve">Safeguard</w:t>
      </w:r>
      <w:r>
        <w:t xml:space="preserve"> </w:t>
      </w:r>
      <w:r>
        <w:t xml:space="preserve">for</w:t>
      </w:r>
      <w:r>
        <w:t xml:space="preserve"> </w:t>
      </w:r>
      <w:r>
        <w:t xml:space="preserve">the</w:t>
      </w:r>
      <w:r>
        <w:t xml:space="preserve"> </w:t>
      </w:r>
      <w:r>
        <w:t xml:space="preserve">MFH2</w:t>
      </w:r>
      <w:r>
        <w:t xml:space="preserve"> </w:t>
      </w:r>
      <w:r>
        <w:t xml:space="preserve">Model</w:t>
      </w:r>
    </w:p>
    <w:p>
      <w:pPr>
        <w:pStyle w:val="Subtitle"/>
      </w:pPr>
      <w:r>
        <w:t xml:space="preserve">Checking REML endpoints and refitting the same MFH2 model when necessary</w:t>
      </w:r>
    </w:p>
    <w:p>
      <w:pPr>
        <w:pStyle w:val="Author"/>
      </w:pPr>
      <w:r>
        <w:t xml:space="preserve">Nobuo</w:t>
      </w:r>
      <w:r>
        <w:t xml:space="preserve"> </w:t>
      </w:r>
      <w:r>
        <w:t xml:space="preserve">Yoshida,</w:t>
      </w:r>
      <w:r>
        <w:t xml:space="preserve"> </w:t>
      </w:r>
      <w:r>
        <w:t xml:space="preserve">World</w:t>
      </w:r>
      <w:r>
        <w:t xml:space="preserve"> </w:t>
      </w:r>
      <w:r>
        <w:t xml:space="preserve">Bank</w:t>
      </w:r>
      <w:r>
        <w:t xml:space="preserve"> </w:t>
      </w:r>
      <w:r>
        <w:t xml:space="preserve">Group</w:t>
      </w:r>
    </w:p>
    <w:p>
      <w:pPr>
        <w:pStyle w:val="Date"/>
      </w:pPr>
      <w:r>
        <w:t xml:space="preserve">October 2026 • revised for 5.2.0-rc.6-wizard.5.14 (w5n)</w:t>
      </w:r>
    </w:p>
    <w:p>
      <w:pPr>
        <w:pStyle w:val="Heading1"/>
      </w:pPr>
      <w:bookmarkStart w:id="20" w:name="purpose-and-summary"/>
      <w:r>
        <w:t xml:space="preserve">1. Purpose and summary</w:t>
      </w:r>
      <w:bookmarkEnd w:id="20"/>
    </w:p>
    <w:p>
      <w:pPr>
        <w:pStyle w:val="FirstParagraph"/>
      </w:pPr>
      <w:r>
        <w:t xml:space="preserve">The numerical check assesses REML score, local curvature and feasible boundary directions in addition to the package convergence flag. A positive variance alone does not establish convergence. MFH2 is refitted when necessary using the same REML objective, exact gradients and several feasible starts; a usable original fit is preserved and an inferior refit is rejected. A valid zero random-effect covariance is allowed, including in bootstrap refits. The AR(1) correlation is bounded numerically at ±0.999999; an accepted endpoint approximates a limiting stationary fit and warrants sensitivity review.</w:t>
      </w:r>
    </w:p>
    <w:p>
      <w:pPr>
        <w:pStyle w:val="BodyText"/>
      </w:pPr>
      <w:r>
        <w:t xml:space="preserve">A valid original endpoint, including zero variance, is retained. A candidate refit must pass the same numerical checks and cannot have an inferior REML objective. A failed check is explicitly recorded; positivity of refvar is not a convergence certificate.</w:t>
      </w:r>
    </w:p>
    <w:p>
      <w:pPr>
        <w:pStyle w:val="BodyText"/>
      </w:pPr>
      <w:r>
        <w:t xml:space="preserve">This note is a companion to the benchmarking notes for the same package.</w:t>
      </w:r>
      <w:r>
        <w:t xml:space="preserve"> </w:t>
      </w:r>
      <w:r>
        <w:rPr>
          <w:rStyle w:val="VerbatimChar"/>
        </w:rPr>
        <w:t xml:space="preserve">eblupMFH2()</w:t>
      </w:r>
      <w:r>
        <w:t xml:space="preserve"> </w:t>
      </w:r>
      <w:r>
        <w:t xml:space="preserve">is the engine refit used in the parametric bootstrap to produce the benchmarked MSE and mean cross-product error (MCPE) documented in the companion note on MFH benchmarking, so the safeguard described here automatically propagates to those uncertainty estimates.</w:t>
      </w:r>
    </w:p>
    <w:p>
      <w:pPr>
        <w:pStyle w:val="BodyText"/>
      </w:pPr>
      <w:r>
        <w:t xml:space="preserve">The main support in the literature is therefore not that the script introduces a new SAE model. Rather, the support is that (1) MFH2/AR(1) is a standard multivariate Fay–Herriot specification and (2) REML/EBLUP is the standard fitting and prediction framework for that model (Rao and Molina, 2015).</w:t>
      </w:r>
    </w:p>
    <w:p>
      <w:pPr>
        <w:pStyle w:val="BodyText"/>
      </w:pPr>
      <w:r>
        <w:t xml:space="preserve">Zero variance is a possible likelihood optimum, not automatic evidence of software failure. The safeguard checks whether a feasible direction or alternative endpoint improves the same REML objective. It does not force positive variance or introduce an adjusted likelihood.</w:t>
      </w:r>
    </w:p>
    <w:p>
      <w:pPr>
        <w:pStyle w:val="BodyText"/>
      </w:pPr>
      <w:r>
        <w:t xml:space="preserve">Score and curvature diagnostics distinguish an admissible likelihood endpoint from a merely positive returned variance. Boundary checks include feasible directions, with special treatment of parameters unidentified at zero random-effect covariance.</w:t>
      </w:r>
    </w:p>
    <w:p>
      <w:pPr>
        <w:pStyle w:val="Heading1"/>
      </w:pPr>
      <w:bookmarkStart w:id="21" w:name="where-the-wrapper-enters-the-pipeline"/>
      <w:r>
        <w:t xml:space="preserve">2. Where the wrapper enters the pipeline</w:t>
      </w:r>
      <w:bookmarkEnd w:id="21"/>
    </w:p>
    <w:p>
      <w:pPr>
        <w:pStyle w:val="FirstParagraph"/>
      </w:pPr>
      <w:r>
        <w:t xml:space="preserve">The wrapper is installed in</w:t>
      </w:r>
      <w:r>
        <w:t xml:space="preserve"> </w:t>
      </w:r>
      <w:r>
        <w:rPr>
          <w:rStyle w:val="VerbatimChar"/>
        </w:rPr>
        <w:t xml:space="preserve">scripts/02_mfh.R</w:t>
      </w:r>
      <w:r>
        <w:t xml:space="preserve">; downstream code does not call it manually:</w:t>
      </w:r>
    </w:p>
    <w:p>
      <w:pPr>
        <w:numPr>
          <w:ilvl w:val="0"/>
          <w:numId w:val="1001"/>
        </w:numPr>
        <w:pStyle w:val="Compact"/>
      </w:pPr>
      <w:r>
        <w:rPr>
          <w:rStyle w:val="VerbatimChar"/>
        </w:rPr>
        <w:t xml:space="preserve">scripts/02_mfh.R</w:t>
      </w:r>
      <w:r>
        <w:t xml:space="preserve"> </w:t>
      </w:r>
      <w:r>
        <w:t xml:space="preserve">first creates patched copies of the</w:t>
      </w:r>
      <w:r>
        <w:t xml:space="preserve"> </w:t>
      </w:r>
      <w:r>
        <w:rPr>
          <w:rStyle w:val="VerbatimChar"/>
        </w:rPr>
        <w:t xml:space="preserve">msae</w:t>
      </w:r>
      <w:r>
        <w:t xml:space="preserve"> </w:t>
      </w:r>
      <w:r>
        <w:t xml:space="preserve">functions to avoid the R</w:t>
      </w:r>
      <w:r>
        <w:t xml:space="preserve"> </w:t>
      </w:r>
      <m:oMath>
        <m:r>
          <m:t>≥</m:t>
        </m:r>
      </m:oMath>
      <w:r>
        <w:t xml:space="preserve"> </w:t>
      </w:r>
      <w:r>
        <w:t xml:space="preserve">4.4 vectorized</w:t>
      </w:r>
      <w:r>
        <w:t xml:space="preserve"> </w:t>
      </w:r>
      <w:r>
        <w:rPr>
          <w:rStyle w:val="VerbatimChar"/>
        </w:rPr>
        <w:t xml:space="preserve">&amp;&amp;</w:t>
      </w:r>
      <w:r>
        <w:t xml:space="preserve"> </w:t>
      </w:r>
      <w:r>
        <w:t xml:space="preserve">issue.</w:t>
      </w:r>
    </w:p>
    <w:p>
      <w:pPr>
        <w:numPr>
          <w:ilvl w:val="0"/>
          <w:numId w:val="1001"/>
        </w:numPr>
        <w:pStyle w:val="Compact"/>
      </w:pPr>
      <w:r>
        <w:t xml:space="preserve">It stores the patched</w:t>
      </w:r>
      <w:r>
        <w:t xml:space="preserve"> </w:t>
      </w:r>
      <w:r>
        <w:rPr>
          <w:rStyle w:val="VerbatimChar"/>
        </w:rPr>
        <w:t xml:space="preserve">eblupMFH2()</w:t>
      </w:r>
      <w:r>
        <w:t xml:space="preserve"> </w:t>
      </w:r>
      <w:r>
        <w:t xml:space="preserve">as</w:t>
      </w:r>
      <w:r>
        <w:t xml:space="preserve"> </w:t>
      </w:r>
      <w:r>
        <w:rPr>
          <w:rStyle w:val="VerbatimChar"/>
        </w:rPr>
        <w:t xml:space="preserve">.eblupMFH2_patched</w:t>
      </w:r>
      <w:r>
        <w:t xml:space="preserve">.</w:t>
      </w:r>
    </w:p>
    <w:p>
      <w:pPr>
        <w:numPr>
          <w:ilvl w:val="0"/>
          <w:numId w:val="1001"/>
        </w:numPr>
        <w:pStyle w:val="Compact"/>
      </w:pPr>
      <w:r>
        <w:t xml:space="preserve">It sources</w:t>
      </w:r>
      <w:r>
        <w:t xml:space="preserve"> </w:t>
      </w:r>
      <w:r>
        <w:rPr>
          <w:rStyle w:val="VerbatimChar"/>
        </w:rPr>
        <w:t xml:space="preserve">scripts/eblupMFH2_robust.R</w:t>
      </w:r>
      <w:r>
        <w:t xml:space="preserve">.</w:t>
      </w:r>
    </w:p>
    <w:p>
      <w:pPr>
        <w:numPr>
          <w:ilvl w:val="0"/>
          <w:numId w:val="1001"/>
        </w:numPr>
        <w:pStyle w:val="Compact"/>
      </w:pPr>
      <w:r>
        <w:t xml:space="preserve">It assigns a new global</w:t>
      </w:r>
      <w:r>
        <w:t xml:space="preserve"> </w:t>
      </w:r>
      <w:r>
        <w:rPr>
          <w:rStyle w:val="VerbatimChar"/>
        </w:rPr>
        <w:t xml:space="preserve">eblupMFH2()</w:t>
      </w:r>
      <w:r>
        <w:t xml:space="preserve"> </w:t>
      </w:r>
      <w:r>
        <w:t xml:space="preserve">wrapper that calls</w:t>
      </w:r>
      <w:r>
        <w:t xml:space="preserve"> </w:t>
      </w:r>
      <w:r>
        <w:rPr>
          <w:rStyle w:val="VerbatimChar"/>
        </w:rPr>
        <w:t xml:space="preserve">eblupMFH2_robust(..., .orig_fn = .eblupMFH2_patched)</w:t>
      </w:r>
      <w:r>
        <w:t xml:space="preserve">.</w:t>
      </w:r>
    </w:p>
    <w:p>
      <w:pPr>
        <w:pStyle w:val="FirstParagraph"/>
      </w:pPr>
      <w:r>
        <w:t xml:space="preserve">Original MFH2 fits and bootstrap refits use the same wrapper and endpoint checks. This keeps parameter estimation consistent between the reported estimator and the uncertainty calculation.</w:t>
      </w:r>
    </w:p>
    <w:p>
      <w:pPr>
        <w:pStyle w:val="Heading1"/>
      </w:pPr>
      <w:bookmarkStart w:id="22" w:name="the-model-being-fit"/>
      <w:r>
        <w:t xml:space="preserve">3. The model being fit</w:t>
      </w:r>
      <w:bookmarkEnd w:id="22"/>
    </w:p>
    <w:p>
      <w:pPr>
        <w:pStyle w:val="FirstParagraph"/>
      </w:pPr>
      <w:r>
        <w:t xml:space="preserve">The underlying model is the MFH2 autoregressive multivariate Fay–Herriot model. For each domain, the vector of direct estimates is modeled as a regression mean plus domain random effects plus sampling errors,</w:t>
      </w:r>
    </w:p>
    <w:p>
      <w:pPr>
        <w:pStyle w:val="BodyText"/>
      </w:pPr>
      <m:oMathPara>
        <m:oMathParaPr>
          <m:jc m:val="center"/>
        </m:oMathParaPr>
        <m:oMath>
          <m:r>
            <m:t>y</m:t>
          </m:r>
          <m:r>
            <m:t>=</m:t>
          </m:r>
          <m:r>
            <m:t>X</m:t>
          </m:r>
          <m:r>
            <m:t>β</m:t>
          </m:r>
          <m:r>
            <m:t>+</m:t>
          </m:r>
          <m:r>
            <m:t>u</m:t>
          </m:r>
          <m:r>
            <m:t>+</m:t>
          </m:r>
          <m:r>
            <m:t>e</m:t>
          </m:r>
          <m:r>
            <m:t>,</m:t>
          </m:r>
          <m:r>
            <m:t>  </m:t>
          </m:r>
          <m:r>
            <m:t>e</m:t>
          </m:r>
          <m:r>
            <m:t>∼</m:t>
          </m:r>
          <m:r>
            <m:t>N</m:t>
          </m:r>
          <m:r>
            <m:t>(</m:t>
          </m:r>
          <m:r>
            <m:t>0</m:t>
          </m:r>
          <m:r>
            <m:t>,</m:t>
          </m:r>
          <m:r>
            <m:t>R</m:t>
          </m:r>
          <m:r>
            <m:t>)</m:t>
          </m:r>
          <m:r>
            <m:t>,</m:t>
          </m:r>
          <m:r>
            <m:t>  </m:t>
          </m:r>
          <m:r>
            <m:t>u</m:t>
          </m:r>
          <m:r>
            <m:t>∼</m:t>
          </m:r>
          <m:r>
            <m:t>N</m:t>
          </m:r>
          <m:r>
            <m:t>(</m:t>
          </m:r>
          <m:r>
            <m:t>0</m:t>
          </m:r>
          <m:r>
            <m:t>,</m:t>
          </m:r>
          <m:r>
            <m:t>G</m:t>
          </m:r>
          <m:r>
            <m:t>)</m:t>
          </m:r>
          <m:r>
            <m:t>.</m:t>
          </m:r>
        </m:oMath>
      </m:oMathPara>
    </w:p>
    <w:p>
      <w:pPr>
        <w:pStyle w:val="FirstParagraph"/>
      </w:pPr>
      <w:r>
        <w:t xml:space="preserve">The sampling-error covariance matrix</w:t>
      </w:r>
      <w:r>
        <w:t xml:space="preserve"> </w:t>
      </w:r>
      <m:oMath>
        <m:r>
          <m:t>R</m:t>
        </m:r>
      </m:oMath>
      <w:r>
        <w:t xml:space="preserve"> </w:t>
      </w:r>
      <w:r>
        <w:t xml:space="preserve">is treated as known and is built from the</w:t>
      </w:r>
      <w:r>
        <w:t xml:space="preserve"> </w:t>
      </w:r>
      <w:r>
        <w:rPr>
          <w:rStyle w:val="VerbatimChar"/>
        </w:rPr>
        <w:t xml:space="preserve">vardir</w:t>
      </w:r>
      <w:r>
        <w:t xml:space="preserve"> </w:t>
      </w:r>
      <w:r>
        <w:t xml:space="preserve">columns. The random-effects covariance is the MFH2 homoskedastic AR(1) structure,</w:t>
      </w:r>
    </w:p>
    <w:p>
      <w:pPr>
        <w:pStyle w:val="BodyText"/>
      </w:pPr>
      <m:oMathPara>
        <m:oMathParaPr>
          <m:jc m:val="center"/>
        </m:oMathParaPr>
        <m:oMath>
          <m:r>
            <m:t>G</m:t>
          </m:r>
          <m:r>
            <m:t>=</m:t>
          </m:r>
          <m:sSubSup>
            <m:e>
              <m:r>
                <m:t>σ</m:t>
              </m:r>
            </m:e>
            <m:sub>
              <m:r>
                <m:t>u</m:t>
              </m:r>
            </m:sub>
            <m:sup>
              <m:r>
                <m:t>2</m:t>
              </m:r>
            </m:sup>
          </m:sSubSup>
          <m:r>
            <m:t> </m:t>
          </m:r>
          <m:sSub>
            <m:e>
              <m:r>
                <m:t>Ω</m:t>
              </m:r>
            </m:e>
            <m:sub>
              <m:r>
                <m:rPr>
                  <m:sty m:val="p"/>
                </m:rPr>
                <m:t>A</m:t>
              </m:r>
              <m:r>
                <m:rPr>
                  <m:sty m:val="p"/>
                </m:rPr>
                <m:t>R</m:t>
              </m:r>
            </m:sub>
          </m:sSub>
          <m:r>
            <m:t>(</m:t>
          </m:r>
          <m:sSub>
            <m:e>
              <m:r>
                <m:t>ρ</m:t>
              </m:r>
            </m:e>
            <m:sub>
              <m:r>
                <m:t>u</m:t>
              </m:r>
            </m:sub>
          </m:sSub>
          <m:r>
            <m:t>)</m:t>
          </m:r>
          <m:r>
            <m:t>,</m:t>
          </m:r>
          <m:r>
            <m:t>  </m:t>
          </m:r>
          <m:r>
            <m:t>[</m:t>
          </m:r>
          <m:sSub>
            <m:e>
              <m:r>
                <m:t>Ω</m:t>
              </m:r>
            </m:e>
            <m:sub>
              <m:r>
                <m:rPr>
                  <m:sty m:val="p"/>
                </m:rPr>
                <m:t>A</m:t>
              </m:r>
              <m:r>
                <m:rPr>
                  <m:sty m:val="p"/>
                </m:rPr>
                <m:t>R</m:t>
              </m:r>
            </m:sub>
          </m:sSub>
          <m:sSub>
            <m:e>
              <m:r>
                <m:t>]</m:t>
              </m:r>
            </m:e>
            <m:sub>
              <m:r>
                <m:t>i</m:t>
              </m:r>
              <m:r>
                <m:t>j</m:t>
              </m:r>
            </m:sub>
          </m:sSub>
          <m:r>
            <m:t>=</m:t>
          </m:r>
          <m:f>
            <m:fPr>
              <m:type m:val="bar"/>
            </m:fPr>
            <m:num>
              <m:sSubSup>
                <m:e>
                  <m:r>
                    <m:t>ρ</m:t>
                  </m:r>
                </m:e>
                <m:sub>
                  <m:r>
                    <m:t>u</m:t>
                  </m:r>
                </m:sub>
                <m:sup>
                  <m:r>
                    <m:t> </m:t>
                  </m:r>
                  <m:r>
                    <m:t>|</m:t>
                  </m:r>
                  <m:r>
                    <m:t>i</m:t>
                  </m:r>
                  <m:r>
                    <m:t>−</m:t>
                  </m:r>
                  <m:r>
                    <m:t>j</m:t>
                  </m:r>
                  <m:r>
                    <m:t>|</m:t>
                  </m:r>
                </m:sup>
              </m:sSubSup>
            </m:num>
            <m:den>
              <m:r>
                <m:t>1</m:t>
              </m:r>
              <m:r>
                <m:t>−</m:t>
              </m:r>
              <m:sSubSup>
                <m:e>
                  <m:r>
                    <m:t>ρ</m:t>
                  </m:r>
                </m:e>
                <m:sub>
                  <m:r>
                    <m:t>u</m:t>
                  </m:r>
                </m:sub>
                <m:sup>
                  <m:r>
                    <m:t>2</m:t>
                  </m:r>
                </m:sup>
              </m:sSubSup>
            </m:den>
          </m:f>
          <m:r>
            <m:t>.</m:t>
          </m:r>
        </m:oMath>
      </m:oMathPara>
    </w:p>
    <w:p>
      <w:pPr>
        <w:pStyle w:val="FirstParagraph"/>
      </w:pPr>
      <w:r>
        <w:t xml:space="preserve">This is the same structure described for</w:t>
      </w:r>
      <w:r>
        <w:t xml:space="preserve"> </w:t>
      </w:r>
      <w:r>
        <w:rPr>
          <w:rStyle w:val="VerbatimChar"/>
        </w:rPr>
        <w:t xml:space="preserve">msae</w:t>
      </w:r>
      <w:r>
        <w:t xml:space="preserve"> </w:t>
      </w:r>
      <w:r>
        <w:t xml:space="preserve">Model 2, where the R Journal article presents MFH2 as the autoregressive multivariate Fay–Herriot model and states that REML is used to estimate the random-effect variance before substituting it into the EBLUP. Benavent and Morales (2016), the methodological source behind</w:t>
      </w:r>
      <w:r>
        <w:t xml:space="preserve"> </w:t>
      </w:r>
      <w:r>
        <w:rPr>
          <w:rStyle w:val="VerbatimChar"/>
        </w:rPr>
        <w:t xml:space="preserve">msae</w:t>
      </w:r>
      <w:r>
        <w:t xml:space="preserve">, likewise derive multivariate Fay–Herriot EBLUPs, REML fitting, and MSE approximations for these models. In the EU SAE pipeline, the components of the per-domain vector are time periods, so this AR(1) structure reflects the temporal correlation used in the MFH2 specification of the companion benchmarking note.</w:t>
      </w:r>
    </w:p>
    <w:p>
      <w:pPr>
        <w:pStyle w:val="Normal"/>
      </w:pPr>
      <w:r>
        <w:t xml:space="preserve">Here σ²ᵤ is innovation variance; Aₘ is marginal random-effect variance and s is the positive scale used for numerical optimization. Confusing these variances changes both fitting and bootstrap covariance.</w:t>
      </w:r>
    </w:p>
    <w:p>
      <w:pPr>
        <w:pStyle w:val="Heading1"/>
      </w:pPr>
      <w:bookmarkStart w:id="23" w:name="X9fc41888b8f7fbe5b3caa1f563961ec32c46c81"/>
      <w:r>
        <w:t xml:space="preserve">4. Why the original implementation can produce a boundary fit</w:t>
      </w:r>
      <w:bookmarkEnd w:id="23"/>
    </w:p>
    <w:p>
      <w:pPr>
        <w:pStyle w:val="FirstParagraph"/>
      </w:pPr>
      <w:r>
        <w:t xml:space="preserve">Inspection of the</w:t>
      </w:r>
      <w:r>
        <w:t xml:space="preserve"> </w:t>
      </w:r>
      <w:r>
        <w:rPr>
          <w:rStyle w:val="VerbatimChar"/>
        </w:rPr>
        <w:t xml:space="preserve">msae::eblupMFH2()</w:t>
      </w:r>
      <w:r>
        <w:t xml:space="preserve"> </w:t>
      </w:r>
      <w:r>
        <w:t xml:space="preserve">implementation indicates that the random-effects variance is updated on the raw scale using a Fisher-scoring/Newton-style iteration. Such updates can move</w:t>
      </w:r>
      <w:r>
        <w:t xml:space="preserve"> </w:t>
      </w:r>
      <m:oMath>
        <m:sSubSup>
          <m:e>
            <m:r>
              <m:t>σ</m:t>
            </m:r>
          </m:e>
          <m:sub>
            <m:r>
              <m:t>u</m:t>
            </m:r>
          </m:sub>
          <m:sup>
            <m:r>
              <m:t>2</m:t>
            </m:r>
          </m:sup>
        </m:sSubSup>
      </m:oMath>
      <w:r>
        <w:t xml:space="preserve"> </w:t>
      </w:r>
      <w:r>
        <w:t xml:space="preserve">outside the feasible parameter space even though a variance component must be non-negative. In the package implementation, the final returned estimate may then be placed at the boundary.</w:t>
      </w:r>
    </w:p>
    <w:p>
      <w:pPr>
        <w:pStyle w:val="BodyText"/>
      </w:pPr>
      <w:r>
        <w:t xml:space="preserve">When this happens, the returned fit has</w:t>
      </w:r>
      <w:r>
        <w:t xml:space="preserve"> </w:t>
      </w:r>
      <w:r>
        <w:rPr>
          <w:rStyle w:val="VerbatimChar"/>
        </w:rPr>
        <w:t xml:space="preserve">refvar = 0</w:t>
      </w:r>
      <w:r>
        <w:t xml:space="preserve">. In MFH2, the EBLUP is</w:t>
      </w:r>
    </w:p>
    <w:p>
      <w:pPr>
        <w:pStyle w:val="BodyText"/>
      </w:pPr>
      <m:oMathPara>
        <m:oMathParaPr>
          <m:jc m:val="center"/>
        </m:oMathParaPr>
        <m:oMath>
          <m:acc>
            <m:accPr>
              <m:chr m:val="̂"/>
            </m:accPr>
            <m:e>
              <m:r>
                <m:t>θ</m:t>
              </m:r>
            </m:e>
          </m:acc>
          <m:r>
            <m:t>=</m:t>
          </m:r>
          <m:r>
            <m:t>X</m:t>
          </m:r>
          <m:acc>
            <m:accPr>
              <m:chr m:val="̂"/>
            </m:accPr>
            <m:e>
              <m:r>
                <m:t>β</m:t>
              </m:r>
            </m:e>
          </m:acc>
          <m:r>
            <m:t>+</m:t>
          </m:r>
          <m:r>
            <m:t>G</m:t>
          </m:r>
          <m:r>
            <m:t> </m:t>
          </m:r>
          <m:sSup>
            <m:e>
              <m:r>
                <m:t>V</m:t>
              </m:r>
            </m:e>
            <m:sup>
              <m:r>
                <m:t>−</m:t>
              </m:r>
              <m:r>
                <m:t>1</m:t>
              </m:r>
            </m:sup>
          </m:sSup>
          <m:r>
            <m:t>(</m:t>
          </m:r>
          <m:r>
            <m:t>y</m:t>
          </m:r>
          <m:r>
            <m:t>−</m:t>
          </m:r>
          <m:r>
            <m:t>X</m:t>
          </m:r>
          <m:acc>
            <m:accPr>
              <m:chr m:val="̂"/>
            </m:accPr>
            <m:e>
              <m:r>
                <m:t>β</m:t>
              </m:r>
            </m:e>
          </m:acc>
          <m:r>
            <m:t>)</m:t>
          </m:r>
          <m:r>
            <m:t>,</m:t>
          </m:r>
        </m:oMath>
      </m:oMathPara>
    </w:p>
    <w:p>
      <w:pPr>
        <w:pStyle w:val="FirstParagraph"/>
      </w:pPr>
      <w:r>
        <w:t xml:space="preserve">so, a zero random-effects covariance</w:t>
      </w:r>
      <w:r>
        <w:t xml:space="preserve"> </w:t>
      </w:r>
      <m:oMath>
        <m:r>
          <m:t>G</m:t>
        </m:r>
      </m:oMath>
      <w:r>
        <w:t xml:space="preserve"> </w:t>
      </w:r>
      <w:r>
        <w:t xml:space="preserve">makes the second term vanish, and the estimate collapses to the regression-synthetic component</w:t>
      </w:r>
      <w:r>
        <w:t xml:space="preserve"> </w:t>
      </w:r>
      <m:oMath>
        <m:r>
          <m:t>X</m:t>
        </m:r>
        <m:acc>
          <m:accPr>
            <m:chr m:val="̂"/>
          </m:accPr>
          <m:e>
            <m:r>
              <m:t>β</m:t>
            </m:r>
          </m:e>
        </m:acc>
      </m:oMath>
      <w:r>
        <w:t xml:space="preserve">. A true REML boundary can occur, and the fallback does not rule out that possibility. However, it is risky to treat every package-level zero as substantive when the iteration itself was allowed to move outside the feasible variance space.</w:t>
      </w:r>
    </w:p>
    <w:p>
      <w:pPr>
        <w:pStyle w:val="BodyText"/>
      </w:pPr>
      <w:r>
        <w:t xml:space="preserve">The pipeline checks both positive and zero variance endpoints. A true zero covariance produces a regression-synthetic predictor and remains eligible for bootstrap calculation, with inference explicitly flagged as boundary-sensitive. An unusable endpoint is not accepted merely because no better numerical fit was found.</w:t>
      </w:r>
    </w:p>
    <w:p>
      <w:pPr>
        <w:pStyle w:val="BodyText"/>
      </w:pPr>
      <w:r>
        <w:t xml:space="preserve">Numerical tolerances govern feasible parameters, scaled scores and local curvature; they are not substantive thresholds for area heterogeneity. Review recorded tolerances and endpoint diagnostics with the fitted variance and correlation.</w:t>
      </w:r>
    </w:p>
    <w:p>
      <w:pPr>
        <w:pStyle w:val="Heading1"/>
      </w:pPr>
      <w:bookmarkStart w:id="24" w:name="how-eblupmfh2_robust.r-works"/>
      <w:r>
        <w:t xml:space="preserve">5. How eblupMFH2_robust.R works</w:t>
      </w:r>
      <w:bookmarkEnd w:id="24"/>
    </w:p>
    <w:p>
      <w:pPr>
        <w:pStyle w:val="Heading2"/>
      </w:pPr>
      <w:bookmarkStart w:id="25" w:name="Xbb7688a2177495788258db6f62ba5834b673523"/>
      <w:r>
        <w:t xml:space="preserve">5.1 It preserves the package result when usable</w:t>
      </w:r>
      <w:bookmarkEnd w:id="25"/>
    </w:p>
    <w:p>
      <w:pPr>
        <w:pStyle w:val="FirstParagraph"/>
      </w:pPr>
      <w:r>
        <w:t xml:space="preserve">The wrapper obtains the original or patched package fit and evaluates its REML endpoint independently. A usable result is retained unless a supported refit improves the objective; a positive refvar alone no longer bypasses checking.</w:t>
      </w:r>
    </w:p>
    <w:p>
      <w:pPr>
        <w:pStyle w:val="Heading2"/>
      </w:pPr>
      <w:bookmarkStart w:id="26" w:name="it-rebuilds-the-matrices-mfh2-needs"/>
      <w:r>
        <w:t xml:space="preserve">5.2 It rebuilds the matrices MFH2 needs</w:t>
      </w:r>
      <w:bookmarkEnd w:id="26"/>
    </w:p>
    <w:p>
      <w:pPr>
        <w:pStyle w:val="FirstParagraph"/>
      </w:pPr>
      <w:r>
        <w:t xml:space="preserve">When refitting is required, the optimizer reconstructs the response, design and covariance inputs:</w:t>
      </w:r>
    </w:p>
    <w:p>
      <w:pPr>
        <w:numPr>
          <w:ilvl w:val="0"/>
          <w:numId w:val="1002"/>
        </w:numPr>
        <w:pStyle w:val="Compact"/>
      </w:pPr>
      <w:r>
        <w:t xml:space="preserve">the stacked response vector</w:t>
      </w:r>
      <w:r>
        <w:t xml:space="preserve"> </w:t>
      </w:r>
      <w:r>
        <w:rPr>
          <w:rStyle w:val="VerbatimChar"/>
        </w:rPr>
        <w:t xml:space="preserve">y.matrix</w:t>
      </w:r>
      <w:r>
        <w:t xml:space="preserve">;</w:t>
      </w:r>
    </w:p>
    <w:p>
      <w:pPr>
        <w:numPr>
          <w:ilvl w:val="0"/>
          <w:numId w:val="1002"/>
        </w:numPr>
        <w:pStyle w:val="Compact"/>
      </w:pPr>
      <w:r>
        <w:t xml:space="preserve">the year-specific design matrices, using block calculations equivalent to the stacked formulation;</w:t>
      </w:r>
    </w:p>
    <w:p>
      <w:pPr>
        <w:numPr>
          <w:ilvl w:val="0"/>
          <w:numId w:val="1002"/>
        </w:numPr>
        <w:pStyle w:val="Compact"/>
      </w:pPr>
      <w:r>
        <w:t xml:space="preserve">the known sampling-error covariance matrix</w:t>
      </w:r>
      <w:r>
        <w:t xml:space="preserve"> </w:t>
      </w:r>
      <m:oMath>
        <m:r>
          <m:t>R</m:t>
        </m:r>
      </m:oMath>
      <w:r>
        <w:t xml:space="preserve">, using a local copy of</w:t>
      </w:r>
      <w:r>
        <w:t xml:space="preserve"> </w:t>
      </w:r>
      <w:r>
        <w:rPr>
          <w:rStyle w:val="VerbatimChar"/>
        </w:rPr>
        <w:t xml:space="preserve">df2matR</w:t>
      </w:r>
      <w:r>
        <w:t xml:space="preserve">;</w:t>
      </w:r>
    </w:p>
    <w:p>
      <w:pPr>
        <w:numPr>
          <w:ilvl w:val="0"/>
          <w:numId w:val="1002"/>
        </w:numPr>
        <w:pStyle w:val="Compact"/>
      </w:pPr>
      <w:r>
        <w:t xml:space="preserve">the AR(1) random-effects covariance</w:t>
      </w:r>
      <w:r>
        <w:t xml:space="preserve"> </w:t>
      </w:r>
      <m:oMath>
        <m:r>
          <m:t>G</m:t>
        </m:r>
      </m:oMath>
      <w:r>
        <w:t xml:space="preserve"> </w:t>
      </w:r>
      <w:r>
        <w:t xml:space="preserve">and its domain-stacked version</w:t>
      </w:r>
      <w:r>
        <w:t xml:space="preserve"> </w:t>
      </w:r>
      <w:r>
        <w:rPr>
          <w:rStyle w:val="VerbatimChar"/>
        </w:rPr>
        <w:t xml:space="preserve">GI</w:t>
      </w:r>
      <w:r>
        <w:t xml:space="preserve">.</w:t>
      </w:r>
    </w:p>
    <w:p>
      <w:pPr>
        <w:pStyle w:val="FirstParagraph"/>
      </w:pPr>
      <w:r>
        <w:t xml:space="preserve">The local</w:t>
      </w:r>
      <w:r>
        <w:t xml:space="preserve"> </w:t>
      </w:r>
      <w:r>
        <w:rPr>
          <w:rStyle w:val="VerbatimChar"/>
        </w:rPr>
        <w:t xml:space="preserve">df2matR</w:t>
      </w:r>
      <w:r>
        <w:t xml:space="preserve"> </w:t>
      </w:r>
      <w:r>
        <w:t xml:space="preserve">copy avoids reliance on unexported</w:t>
      </w:r>
      <w:r>
        <w:t xml:space="preserve"> </w:t>
      </w:r>
      <w:r>
        <w:rPr>
          <w:rStyle w:val="VerbatimChar"/>
        </w:rPr>
        <w:t xml:space="preserve">msae</w:t>
      </w:r>
      <w:r>
        <w:t xml:space="preserve"> </w:t>
      </w:r>
      <w:r>
        <w:t xml:space="preserve">internals.</w:t>
      </w:r>
    </w:p>
    <w:p>
      <w:pPr>
        <w:pStyle w:val="Heading2"/>
      </w:pPr>
      <w:bookmarkStart w:id="27" w:name="Xdf13f6611d4a3679f0becbf06ab5c51e475824c"/>
      <w:r>
        <w:t xml:space="preserve">5.3 It optimizes the same REML profile criterion on a constrained scale</w:t>
      </w:r>
      <w:bookmarkEnd w:id="27"/>
    </w:p>
    <w:p>
      <w:pPr>
        <w:pStyle w:val="FirstParagraph"/>
      </w:pPr>
      <w:r>
        <w:t xml:space="preserve">The fallback minimizes the negative REML objective</w:t>
      </w:r>
    </w:p>
    <w:p>
      <w:pPr>
        <w:pStyle w:val="BodyText"/>
      </w:pPr>
      <m:oMathPara>
        <m:oMathParaPr>
          <m:jc m:val="center"/>
        </m:oMathParaPr>
        <m:oMath>
          <m:f>
            <m:fPr>
              <m:type m:val="lin"/>
            </m:fPr>
            <m:num>
              <m:r>
                <m:t>1</m:t>
              </m:r>
            </m:num>
            <m:den>
              <m:r>
                <m:t>2</m:t>
              </m:r>
            </m:den>
          </m:f>
          <m:r>
            <m:t>(</m:t>
          </m:r>
          <m:r>
            <m:rPr>
              <m:nor/>
              <m:sty m:val="p"/>
            </m:rPr>
            <m:t>log</m:t>
          </m:r>
          <m:r>
            <m:t>|</m:t>
          </m:r>
          <m:r>
            <m:t>V</m:t>
          </m:r>
          <m:r>
            <m:t>|</m:t>
          </m:r>
          <m:r>
            <m:t>+</m:t>
          </m:r>
          <m:r>
            <m:rPr>
              <m:nor/>
              <m:sty m:val="p"/>
            </m:rPr>
            <m:t>log</m:t>
          </m:r>
          <m:r>
            <m:t>|</m:t>
          </m:r>
          <m:sSup>
            <m:e>
              <m:r>
                <m:t>X</m:t>
              </m:r>
            </m:e>
            <m:sup>
              <m:r>
                <m:t>⊤</m:t>
              </m:r>
            </m:sup>
          </m:sSup>
          <m:sSup>
            <m:e>
              <m:r>
                <m:t>V</m:t>
              </m:r>
            </m:e>
            <m:sup>
              <m:r>
                <m:t>−</m:t>
              </m:r>
              <m:r>
                <m:t>1</m:t>
              </m:r>
            </m:sup>
          </m:sSup>
          <m:r>
            <m:t>X</m:t>
          </m:r>
          <m:r>
            <m:t>|</m:t>
          </m:r>
          <m:r>
            <m:t>+</m:t>
          </m:r>
          <m:sSup>
            <m:e>
              <m:r>
                <m:t>y</m:t>
              </m:r>
            </m:e>
            <m:sup>
              <m:r>
                <m:t>⊤</m:t>
              </m:r>
            </m:sup>
          </m:sSup>
          <m:r>
            <m:t>P</m:t>
          </m:r>
          <m:r>
            <m:t> </m:t>
          </m:r>
          <m:r>
            <m:t>y</m:t>
          </m:r>
          <m:r>
            <m:t>)</m:t>
          </m:r>
          <m:r>
            <m:t>,</m:t>
          </m:r>
        </m:oMath>
      </m:oMathPara>
    </w:p>
    <w:p>
      <w:pPr>
        <w:pStyle w:val="FirstParagraph"/>
      </w:pPr>
      <w:r>
        <w:t xml:space="preserve">where</w:t>
      </w:r>
    </w:p>
    <w:p>
      <w:pPr>
        <w:pStyle w:val="BodyText"/>
      </w:pPr>
      <m:oMathPara>
        <m:oMathParaPr>
          <m:jc m:val="center"/>
        </m:oMathParaPr>
        <m:oMath>
          <m:r>
            <m:t>V</m:t>
          </m:r>
          <m:r>
            <m:t>=</m:t>
          </m:r>
          <m:r>
            <m:t>G</m:t>
          </m:r>
          <m:r>
            <m:t>+</m:t>
          </m:r>
          <m:r>
            <m:t>R</m:t>
          </m:r>
          <m:r>
            <m:t>,</m:t>
          </m:r>
          <m:r>
            <m:t>  </m:t>
          </m:r>
          <m:r>
            <m:t>P</m:t>
          </m:r>
          <m:r>
            <m:t>=</m:t>
          </m:r>
          <m:sSup>
            <m:e>
              <m:r>
                <m:t>V</m:t>
              </m:r>
            </m:e>
            <m:sup>
              <m:r>
                <m:t>−</m:t>
              </m:r>
              <m:r>
                <m:t>1</m:t>
              </m:r>
            </m:sup>
          </m:sSup>
          <m:r>
            <m:t>−</m:t>
          </m:r>
          <m:sSup>
            <m:e>
              <m:r>
                <m:t>V</m:t>
              </m:r>
            </m:e>
            <m:sup>
              <m:r>
                <m:t>−</m:t>
              </m:r>
              <m:r>
                <m:t>1</m:t>
              </m:r>
            </m:sup>
          </m:sSup>
          <m:r>
            <m:t>X</m:t>
          </m:r>
          <m:r>
            <m:t>(</m:t>
          </m:r>
          <m:sSup>
            <m:e>
              <m:r>
                <m:t>X</m:t>
              </m:r>
            </m:e>
            <m:sup>
              <m:r>
                <m:t>⊤</m:t>
              </m:r>
            </m:sup>
          </m:sSup>
          <m:sSup>
            <m:e>
              <m:r>
                <m:t>V</m:t>
              </m:r>
            </m:e>
            <m:sup>
              <m:r>
                <m:t>−</m:t>
              </m:r>
              <m:r>
                <m:t>1</m:t>
              </m:r>
            </m:sup>
          </m:sSup>
          <m:r>
            <m:t>X</m:t>
          </m:r>
          <m:sSup>
            <m:e>
              <m:r>
                <m:t>)</m:t>
              </m:r>
            </m:e>
            <m:sup>
              <m:r>
                <m:t>−</m:t>
              </m:r>
              <m:r>
                <m:t>1</m:t>
              </m:r>
            </m:sup>
          </m:sSup>
          <m:sSup>
            <m:e>
              <m:r>
                <m:t>X</m:t>
              </m:r>
            </m:e>
            <m:sup>
              <m:r>
                <m:t>⊤</m:t>
              </m:r>
            </m:sup>
          </m:sSup>
          <m:sSup>
            <m:e>
              <m:r>
                <m:t>V</m:t>
              </m:r>
            </m:e>
            <m:sup>
              <m:r>
                <m:t>−</m:t>
              </m:r>
              <m:r>
                <m:t>1</m:t>
              </m:r>
            </m:sup>
          </m:sSup>
          <m:r>
            <m:t>.</m:t>
          </m:r>
        </m:oMath>
      </m:oMathPara>
    </w:p>
    <w:p>
      <w:pPr>
        <w:pStyle w:val="FirstParagraph"/>
      </w:pPr>
      <w:r>
        <w:t xml:space="preserve">Optimization uses a dimensionless marginal-variance scale and a bounded correlation:</w:t>
      </w:r>
    </w:p>
    <w:p>
      <w:pPr>
        <w:pStyle w:val="BodyText"/>
      </w:pPr>
      <m:oMath>
        <m:r>
          <m:t>Aₘ = σ²ᵤ/(1 − ρ²),  a = Aₘ/s,  a ≥ 0,  |ρ| ≤ 0.999999</m:t>
        </m:r>
      </m:oMath>
    </w:p>
    <w:p>
      <w:pPr>
        <w:pStyle w:val="FirstParagraph"/>
      </w:pPr>
      <w:r>
        <w:t xml:space="preserve">Bounded optimization with exact REML gradients includes zero marginal variance and limits correlation to ±0.999999. Non-positive-definite marginal covariance or fixed-effect information invalidates a trial. The numerical correlation bound approximates the stationary limit.</w:t>
      </w:r>
    </w:p>
    <w:p>
      <w:pPr>
        <w:pStyle w:val="BodyText"/>
      </w:pPr>
      <w:r>
        <w:t xml:space="preserve">The optimizer includes an exact zero-variance candidate, rather than searching only the positive interior. Feasible boundary derivatives and curvature are checked. At zero covariance, correlation is unidentified and is handled accordingly.</w:t>
      </w:r>
    </w:p>
    <w:p>
      <w:pPr>
        <w:pStyle w:val="Heading2"/>
      </w:pPr>
      <w:bookmarkStart w:id="28" w:name="it-uses-multiple-starting-values"/>
      <w:r>
        <w:t xml:space="preserve">5.4 It uses multiple starting values</w:t>
      </w:r>
      <w:bookmarkEnd w:id="28"/>
    </w:p>
    <w:p>
      <w:pPr>
        <w:pStyle w:val="FirstParagraph"/>
      </w:pPr>
      <w:r>
        <w:t xml:space="preserve">L-BFGS-B optimization uses several starting values and an exact zero-variance candidate. Each supported candidate is evaluated against the original endpoint on the same REML objective; an inferior refit cannot replace a valid original fit.</w:t>
      </w:r>
    </w:p>
    <w:p>
      <w:pPr>
        <w:pStyle w:val="Heading2"/>
      </w:pPr>
      <w:bookmarkStart w:id="29" w:name="X90c125bff06cc6e9eaf9a49d1d3d71f4dd77e2c"/>
      <w:r>
        <w:t xml:space="preserve">5.5 It reconstructs an eblupMFH2()-compatible object</w:t>
      </w:r>
      <w:bookmarkEnd w:id="29"/>
    </w:p>
    <w:p>
      <w:pPr>
        <w:pStyle w:val="FirstParagraph"/>
      </w:pPr>
      <w:r>
        <w:t>After optimization, .eblupMFH2_finalize() rebuilds the same output structure as msae::eblupMFH2(): eblup, MSE, randomEffect, Rmatrix, fit$method, fit$convergence, fit$iterations, fit$estcoef, fit$refvar, fit$rho, and fit$informationFisher. A matrix containing non-finite values is rejected before any decomposition is attempted and reported as unavailable; whether a Cholesky factorisation signals an error for such input is platform-dependent, so this check makes the outcome identical on every system. Required symmetric inverses are attempted by Cholesky. If Cholesky fails, MASS::ginv is used with an explicit warning and the fallback method and condition number are recorded. If Fisher information remains unavailable, g3 and MSE are returned as NA rather than understating MSE as g1 + g2, and dependent test statistics are also unavailable. The returned object remains compatible with downstream MCPE, benchmarking, and comparison code.</w:t>
      </w:r>
    </w:p>
    <w:p>
      <w:pPr>
        <w:pStyle w:val="Normal"/>
      </w:pPr>
      <w:r>
        <w:t xml:space="preserve">The selected model’s reporting-scale annual MSE and MCPE are supplied by the common accepted bootstrap draws. Analytic g3 diagnostics remain informative but are not substituted for those joint moments.</w:t>
      </w:r>
    </w:p>
    <w:p>
      <w:pPr>
        <w:pStyle w:val="Normal"/>
      </w:pPr>
      <w:r>
        <w:t xml:space="preserve">Boundary-sensitive inference. If the original MFH fit has zero random-effect covariance or reaches the numerical correlation limit, point estimates are retained and inference_status is boundary_sensitive. Normal or delta-method intervals and p-values are provisional: numerical convergence does not establish their coverage. Reports flag this condition and record the count and fraction of accepted bootstrap fits at a boundary. Increasing the bootstrap count reduces Monte Carlo error but does not remedy boundary undercoverage. Review the current validation status and assess model sensitivity before using these results for substantive significance claims.</w:t>
      </w:r>
    </w:p>
    <w:p>
      <w:pPr>
        <w:pStyle w:val="Heading2"/>
      </w:pPr>
      <w:bookmarkStart w:id="30" w:name="it-records-whether-the-fallback-was-used"/>
      <w:r>
        <w:t xml:space="preserve">5.6 It records whether the fallback was used</w:t>
      </w:r>
      <w:bookmarkEnd w:id="30"/>
    </w:p>
    <w:p>
      <w:pPr>
        <w:pStyle w:val="FirstParagraph"/>
      </w:pPr>
      <w:r>
        <w:t xml:space="preserve">The fit records independent convergence checks, boundary status, refit use and failure reasons, covariance-inversion diagnostics and analytic g3 availability. The pipeline writes numerical diagnostics and metadata with the selected fit. Missing analytic g3 does not disable a valid joint parametric bootstrap.</w:t>
      </w:r>
    </w:p>
    <w:p>
      <w:pPr>
        <w:pStyle w:val="Heading1"/>
      </w:pPr>
      <w:bookmarkStart w:id="31" w:name="X2aa1a597fee0edd31516fd9007df7a7264ac6cd"/>
      <w:r>
        <w:t xml:space="preserve">6. Why the constrained fallback is a defensible numerical safeguard</w:t>
      </w:r>
      <w:bookmarkEnd w:id="31"/>
    </w:p>
    <w:p>
      <w:pPr>
        <w:pStyle w:val="Heading2"/>
      </w:pPr>
      <w:bookmarkStart w:id="32" w:name="X8a170967b8618408c3e61476bcc103dad46e07c"/>
      <w:r>
        <w:t xml:space="preserve">6.1 It keeps the accepted MFH2 model and REML/EBLUP framework</w:t>
      </w:r>
      <w:bookmarkEnd w:id="32"/>
    </w:p>
    <w:p>
      <w:pPr>
        <w:pStyle w:val="FirstParagraph"/>
      </w:pPr>
      <w:r>
        <w:t xml:space="preserve">The safeguard retains the stationary AR(1) MFH2 model and REML/EBLUP framework. It changes numerical optimization and endpoint verification, including checking positive package endpoints that can otherwise be mistaken for convergence.</w:t>
      </w:r>
    </w:p>
    <w:p>
      <w:pPr>
        <w:pStyle w:val="Heading2"/>
      </w:pPr>
      <w:bookmarkStart w:id="33" w:name="Xc6789f1101c464c0e228f032489238946bc9a4b"/>
      <w:r>
        <w:t xml:space="preserve">6.2 It directly addresses a known Fay–Herriot weakness</w:t>
      </w:r>
      <w:bookmarkEnd w:id="33"/>
    </w:p>
    <w:p>
      <w:pPr>
        <w:pStyle w:val="FirstParagraph"/>
      </w:pPr>
      <w:r>
        <w:t xml:space="preserve">The small-area literature repeatedly notes that standard variance-component estimators in Fay–Herriot models can return zero estimates of a strictly positive random-effects variance. Li and Lahiri (2010) and related adjusted-likelihood work (Yoshimori and Lahiri, 2014) motivate this concern: zero or nonpositive variance-component estimates can eliminate the area-level random-effect contribution and thereby overshrink predictions toward the regression-synthetic estimator. Rubin-Bleuer and You (2016) likewise state that a zero REML variance makes the EBLUP become synthetic and is often undesirable in practice. Halbmeier et al. (2019) describe adjusted likelihood methods in applied Fay–Herriot software precisely because REML/MLE do not guarantee positive variance estimates.</w:t>
      </w:r>
    </w:p>
    <w:p>
      <w:pPr>
        <w:pStyle w:val="BodyText"/>
      </w:pPr>
      <w:r>
        <w:t xml:space="preserve">The wrapper optimizes the unchanged REML likelihood under valid constraints. It neither applies a likelihood adjustment nor forces a strictly positive variance. Valid zero covariance remains an eligible solution.</w:t>
      </w:r>
    </w:p>
    <w:p>
      <w:pPr>
        <w:pStyle w:val="Heading2"/>
      </w:pPr>
      <w:bookmarkStart w:id="34" w:name="Xa467b8356ea50542dc240519fe2f5d84551cbd2"/>
      <w:r>
        <w:t xml:space="preserve">6.3 It follows standard mixed-model optimization practice</w:t>
      </w:r>
      <w:bookmarkEnd w:id="34"/>
    </w:p>
    <w:p>
      <w:pPr>
        <w:pStyle w:val="FirstParagraph"/>
      </w:pPr>
      <w:r>
        <w:t xml:space="preserve">Constrained covariance estimation is standard mixed-model practice. This implementation optimizes scaled marginal variance and bounded correlation directly, with exact gradients and explicit zero-variance candidates.</w:t>
      </w:r>
    </w:p>
    <w:p>
      <w:pPr>
        <w:pStyle w:val="Heading2"/>
      </w:pPr>
      <w:bookmarkStart w:id="35" w:name="Xcbb5cec7389658d03c9371a05410598e6cf41e7"/>
      <w:r>
        <w:t xml:space="preserve">6.4 It gives a stronger diagnosis than accepting zero immediately</w:t>
      </w:r>
      <w:bookmarkEnd w:id="35"/>
    </w:p>
    <w:p>
      <w:pPr>
        <w:pStyle w:val="FirstParagraph"/>
      </w:pPr>
      <w:r>
        <w:t xml:space="preserve">If an alternative endpoint passes the checks and improves the REML objective, the original numerical solution was inadequate. This conclusion applies to positive as well as zero returned variances.</w:t>
      </w:r>
    </w:p>
    <w:p>
      <w:pPr>
        <w:pStyle w:val="BodyText"/>
      </w:pPr>
      <w:r>
        <w:t xml:space="preserve">If the original zero-variance endpoint passes the score, curvature and feasible-direction checks, it remains eligible. Failure to find a positive solution alone is not proof that a boundary is correct.</w:t>
      </w:r>
    </w:p>
    <w:p>
      <w:pPr>
        <w:pStyle w:val="BodyText"/>
      </w:pPr>
      <w:r>
        <w:t xml:space="preserve">The retained solution must be numerically supported under the same likelihood. This safeguard reduces false convergence but does not establish that the covariance model or resulting inference is substantively correct.</w:t>
      </w:r>
    </w:p>
    <w:p>
      <w:pPr>
        <w:pStyle w:val="Heading1"/>
      </w:pPr>
      <w:bookmarkStart w:id="36" w:name="concluding-remarks"/>
      <w:r>
        <w:t xml:space="preserve">7. Concluding remarks</w:t>
      </w:r>
      <w:bookmarkEnd w:id="36"/>
    </w:p>
    <w:p>
      <w:pPr>
        <w:pStyle w:val="FirstParagraph"/>
      </w:pPr>
      <w:r>
        <w:t xml:space="preserve">The numerical check assesses REML score, local curvature and feasible boundary directions in addition to the package convergence flag. A positive variance alone does not establish convergence. MFH2 is refitted when necessary using the same REML objective, exact gradients and several feasible starts; a usable original fit is preserved and an inferior refit is rejected. A valid zero random-effect covariance is allowed, including in bootstrap refits. The AR(1) correlation is bounded numerically at ±0.999999; an accepted endpoint approximates a limiting stationary fit and warrants sensitivity review. The implementation checks and simulation evidence are documented in docs/METHODOLOGY_ALIGNMENT.md and docs/MCPE_VALIDATION_STATUS.md. Numerical agreement and Monte Carlo precision do not certify interval coverage for all survey designs. Review model assumptions, boundary sensitivity and any undercoverage before dissemination. Use the latest validation status for current experiment counts and results.</w:t>
      </w:r>
    </w:p>
    <w:p>
      <w:pPr>
        <w:pStyle w:val="Heading1"/>
      </w:pPr>
      <w:bookmarkStart w:id="37" w:name="references"/>
      <w:r>
        <w:t xml:space="preserve">8. References</w:t>
      </w:r>
      <w:bookmarkEnd w:id="37"/>
    </w:p>
    <w:p>
      <w:pPr>
        <w:pStyle w:val="FirstParagraph"/>
      </w:pPr>
      <w:r>
        <w:t xml:space="preserve">Bates, D., Mächler, M., Bolker, B., and Walker, S. (2015). Fitting linear mixed-effects models using lme4.</w:t>
      </w:r>
      <w:r>
        <w:t xml:space="preserve"> </w:t>
      </w:r>
      <w:r>
        <w:rPr>
          <w:i/>
        </w:rPr>
        <w:t xml:space="preserve">Journal of Statistical Software</w:t>
      </w:r>
      <w:r>
        <w:t xml:space="preserve">, 67(1), 1–48.</w:t>
      </w:r>
    </w:p>
    <w:p>
      <w:pPr>
        <w:pStyle w:val="BodyText"/>
      </w:pPr>
      <w:r>
        <w:t xml:space="preserve">Benavent, R. and Morales, D. (2016). Multivariate Fay–Herriot models for small area estimation.</w:t>
      </w:r>
      <w:r>
        <w:t xml:space="preserve"> </w:t>
      </w:r>
      <w:r>
        <w:rPr>
          <w:i/>
        </w:rPr>
        <w:t xml:space="preserve">Computational Statistics &amp; Data Analysis</w:t>
      </w:r>
      <w:r>
        <w:t xml:space="preserve">, 94, 372–390.</w:t>
      </w:r>
    </w:p>
    <w:p>
      <w:pPr>
        <w:pStyle w:val="BodyText"/>
      </w:pPr>
      <w:r>
        <w:t xml:space="preserve">Fay, R. E. and Herriot, R. A. (1979). Estimates of income for small places: an application of James–Stein procedures to census data.</w:t>
      </w:r>
      <w:r>
        <w:t xml:space="preserve"> </w:t>
      </w:r>
      <w:r>
        <w:rPr>
          <w:i/>
        </w:rPr>
        <w:t xml:space="preserve">Journal of the American Statistical Association</w:t>
      </w:r>
      <w:r>
        <w:t xml:space="preserve">, 74(366), 269–277.</w:t>
      </w:r>
    </w:p>
    <w:p>
      <w:pPr>
        <w:pStyle w:val="BodyText"/>
      </w:pPr>
      <w:r>
        <w:t xml:space="preserve">Halbmeier, C., Kreutzmann, A.-K., Schmid, T., and Schröder, C. (2019). The fayherriot command for estimating small-area indicators.</w:t>
      </w:r>
      <w:r>
        <w:t xml:space="preserve"> </w:t>
      </w:r>
      <w:r>
        <w:rPr>
          <w:i/>
        </w:rPr>
        <w:t xml:space="preserve">The Stata Journal</w:t>
      </w:r>
      <w:r>
        <w:t xml:space="preserve">, 19(3), 626–644.</w:t>
      </w:r>
    </w:p>
    <w:p>
      <w:pPr>
        <w:pStyle w:val="BodyText"/>
      </w:pPr>
      <w:r>
        <w:t xml:space="preserve">Li, H. and Lahiri, P. (2010). An adjusted maximum likelihood method for solving small area estimation problems.</w:t>
      </w:r>
      <w:r>
        <w:t xml:space="preserve"> </w:t>
      </w:r>
      <w:r>
        <w:rPr>
          <w:i/>
        </w:rPr>
        <w:t xml:space="preserve">Journal of Multivariate Analysis</w:t>
      </w:r>
      <w:r>
        <w:t xml:space="preserve">, 101(4), 882–892.</w:t>
      </w:r>
    </w:p>
    <w:p>
      <w:pPr>
        <w:pStyle w:val="BodyText"/>
      </w:pPr>
      <w:r>
        <w:t xml:space="preserve">Permatasari, N. and Ubaidillah, A. (2021). msae: an R package of multivariate Fay–Herriot models for small area estimation.</w:t>
      </w:r>
      <w:r>
        <w:t xml:space="preserve"> </w:t>
      </w:r>
      <w:r>
        <w:rPr>
          <w:i/>
        </w:rPr>
        <w:t xml:space="preserve">The R Journal</w:t>
      </w:r>
      <w:r>
        <w:t xml:space="preserve">, 13(2), 111–122.</w:t>
      </w:r>
    </w:p>
    <w:p>
      <w:pPr>
        <w:pStyle w:val="BodyText"/>
      </w:pPr>
      <w:r>
        <w:t xml:space="preserve">Rao, J. N. K. and Molina, I. (2015). Small Area Estimation, 2nd edition. Wiley, Hoboken.</w:t>
      </w:r>
    </w:p>
    <w:p>
      <w:pPr>
        <w:pStyle w:val="BodyText"/>
      </w:pPr>
      <w:r>
        <w:t xml:space="preserve">Rubin-Bleuer, S. and You, Y. (2016). Comparison of some positive variance estimators for the Fay–Herriot small area model.</w:t>
      </w:r>
      <w:r>
        <w:t xml:space="preserve"> </w:t>
      </w:r>
      <w:r>
        <w:rPr>
          <w:i/>
        </w:rPr>
        <w:t xml:space="preserve">Survey Methodology</w:t>
      </w:r>
      <w:r>
        <w:t xml:space="preserve">, 42(1), 63–85.</w:t>
      </w:r>
    </w:p>
    <w:p>
      <w:pPr>
        <w:pStyle w:val="BodyText"/>
      </w:pPr>
      <w:r>
        <w:t xml:space="preserve">Yoshimori, M. and Lahiri, P. (2014). A new adjusted maximum likelihood method for the Fay–Herriot small area model.</w:t>
      </w:r>
      <w:r>
        <w:t xml:space="preserve"> </w:t>
      </w:r>
      <w:r>
        <w:rPr>
          <w:i/>
        </w:rPr>
        <w:t xml:space="preserve">Journal of Multivariate Analysis</w:t>
      </w:r>
      <w:r>
        <w:t xml:space="preserve">, 124, 281–294.</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276" w:lineRule="auto"/>
      <w:jc w:val="both"/>
    </w:pPr>
    <w:rPr>
      <w:rFonts w:ascii="Times New Roman" w:hAnsi="Times New Roman"/>
      <w:color w:val="000000"/>
      <w:sz w:val="22"/>
    </w:rPr>
  </w:style>
  <w:style w:type="paragraph" w:styleId="BodyText">
    <w:name w:val="Body Text"/>
    <w:basedOn w:val="Normal"/>
    <w:link w:val="BodyTextChar"/>
    <w:pPr>
      <w:spacing w:before="180" w:after="120" w:line="276" w:lineRule="auto"/>
      <w:jc w:val="both"/>
    </w:pPr>
    <w:qFormat/>
    <w:rPr>
      <w:rFonts w:ascii="Times New Roman" w:hAnsi="Times New Roman"/>
      <w:color w:val="000000"/>
      <w:sz w:val="22"/>
    </w:rPr>
  </w:style>
  <w:style w:type="paragraph" w:customStyle="1" w:styleId="FirstParagraph">
    <w:name w:val="First Paragraph"/>
    <w:basedOn w:val="BodyText"/>
    <w:next w:val="BodyText"/>
    <w:qFormat/>
    <w:pPr>
      <w:spacing w:after="120" w:line="276" w:lineRule="auto"/>
      <w:jc w:val="both"/>
    </w:pPr>
    <w:rPr>
      <w:rFonts w:ascii="Times New Roman" w:hAnsi="Times New Roman"/>
      <w:color w:val="000000"/>
      <w:sz w:val="22"/>
    </w:rPr>
  </w:style>
  <w:style w:type="paragraph" w:customStyle="1" w:styleId="Compact">
    <w:name w:val="Compact"/>
    <w:basedOn w:val="BodyText"/>
    <w:qFormat/>
    <w:pPr>
      <w:spacing w:before="36" w:after="40" w:line="264" w:lineRule="auto"/>
      <w:jc w:val="left"/>
    </w:pPr>
    <w:rPr>
      <w:rFonts w:ascii="Times New Roman" w:hAnsi="Times New Roman"/>
      <w:color w:val="000000"/>
      <w:sz w:val="22"/>
    </w:rPr>
  </w:style>
  <w:style w:type="paragraph" w:styleId="Title">
    <w:name w:val="Title"/>
    <w:basedOn w:val="Normal"/>
    <w:next w:val="BodyText"/>
    <w:qFormat/>
    <w:pPr>
      <w:keepNext/>
      <w:spacing w:before="0" w:after="120" w:line="240" w:lineRule="auto"/>
      <w:jc w:val="center"/>
    </w:pPr>
    <w:rPr>
      <w:rFonts w:ascii="Times New Roman" w:hAnsi="Times New Roman" w:cs="Times New Roman"/>
      <w:b/>
      <w:color w:val="000000"/>
      <w:sz w:val="40"/>
    </w:rPr>
  </w:style>
  <w:style w:type="paragraph" w:styleId="Subtitle">
    <w:name w:val="Subtitle"/>
    <w:basedOn w:val="Title"/>
    <w:next w:val="BodyText"/>
    <w:qFormat/>
    <w:pPr>
      <w:keepNext/>
      <w:spacing w:before="0" w:after="240" w:line="240" w:lineRule="auto"/>
      <w:jc w:val="center"/>
    </w:pPr>
    <w:rPr>
      <w:rFonts w:ascii="Times New Roman" w:hAnsi="Times New Roman" w:cs="Times New Roman"/>
      <w:i/>
      <w:color w:val="000000"/>
      <w:sz w:val="24"/>
    </w:rPr>
  </w:style>
  <w:style w:type="paragraph" w:customStyle="1" w:styleId="Author">
    <w:name w:val="Author"/>
    <w:next w:val="BodyText"/>
    <w:qFormat/>
    <w:pPr>
      <w:keepNext/>
      <w:keepLines/>
      <w:spacing w:after="40"/>
      <w:jc w:val="center"/>
    </w:pPr>
    <w:rPr>
      <w:rFonts w:ascii="Times New Roman" w:hAnsi="Times New Roman"/>
      <w:color w:val="000000"/>
      <w:sz w:val="22"/>
    </w:rPr>
  </w:style>
  <w:style w:type="paragraph" w:styleId="Date">
    <w:name w:val="Date"/>
    <w:next w:val="BodyText"/>
    <w:qFormat/>
    <w:pPr>
      <w:keepNext/>
      <w:keepLines/>
      <w:spacing w:after="40"/>
      <w:jc w:val="center"/>
    </w:pPr>
    <w:rPr>
      <w:rFonts w:ascii="Times New Roman"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spacing w:before="480" w:after="240" w:line="240" w:lineRule="auto"/>
      <w:jc w:val="center"/>
    </w:pPr>
    <w:rPr>
      <w:rFonts w:ascii="Times New Roman" w:hAnsi="Times New Roman" w:cs="Times New Roman"/>
      <w:b/>
      <w:color w:val="000000"/>
      <w:sz w:val="24"/>
    </w:rPr>
  </w:style>
  <w:style w:type="paragraph" w:styleId="Heading2">
    <w:name w:val="Heading 2"/>
    <w:basedOn w:val="Normal"/>
    <w:next w:val="BodyText"/>
    <w:uiPriority w:val="9"/>
    <w:unhideWhenUsed/>
    <w:qFormat/>
    <w:pPr>
      <w:keepNext/>
      <w:spacing w:before="280" w:after="120" w:line="240" w:lineRule="auto"/>
      <w:jc w:val="left"/>
    </w:pPr>
    <w:rPr>
      <w:rFonts w:ascii="Times New Roman" w:hAnsi="Times New Roman" w:cs="Times New Roman"/>
      <w:b/>
      <w:i/>
      <w:color w:val="000000"/>
      <w:sz w:val="22"/>
    </w:rPr>
  </w:style>
  <w:style w:type="paragraph" w:styleId="Heading3">
    <w:name w:val="Heading 3"/>
    <w:basedOn w:val="Normal"/>
    <w:next w:val="BodyText"/>
    <w:uiPriority w:val="9"/>
    <w:unhideWhenUsed/>
    <w:qFormat/>
    <w:pPr>
      <w:keepNext/>
      <w:spacing w:before="200" w:after="80" w:line="240" w:lineRule="auto"/>
      <w:jc w:val="left"/>
    </w:pPr>
    <w:rPr>
      <w:rFonts w:ascii="Times New Roman" w:hAnsi="Times New Roman" w:cs="Times New Roman"/>
      <w:i/>
      <w:color w:val="000000"/>
      <w:sz w:val="2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20" w:line="276" w:lineRule="auto"/>
      <w:ind w:firstLine="0" w:left="480" w:right="480"/>
      <w:jc w:val="left"/>
    </w:pPr>
    <w:rPr>
      <w:rFonts w:ascii="Times New Roman" w:hAnsi="Times New Roman"/>
      <w:i w:val="0"/>
      <w:color w:val="000000"/>
      <w:sz w:val="22"/>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before="80" w:after="200"/>
      <w:jc w:val="center"/>
    </w:pPr>
    <w:rPr>
      <w:rFonts w:ascii="Times New Roman" w:hAnsi="Times New Roman"/>
      <w:i/>
      <w:color w:val="40404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360" w:line="259" w:lineRule="auto" w:after="200"/>
      <w:jc w:val="center"/>
      <w:outlineLvl w:val="9"/>
    </w:pPr>
    <w:rPr>
      <w:rFonts w:asciiTheme="majorHAnsi" w:eastAsiaTheme="majorEastAsia" w:hAnsiTheme="majorHAnsi" w:cstheme="majorBidi" w:ascii="Times New Roman" w:hAnsi="Times New Roman"/>
      <w:b/>
      <w:bCs w:val="0"/>
      <w:i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itle>Technical Note on eblupMFH2_robust.R</dc:title>
  <dc:creator>EU SAE application package contributors</dc:creator>
  <cp:keywords>EU SAE; MFH2; constrained REML; numerical diagnostics; 5.2.0-rc.4</cp:keywords>
  <dcterms:created xsi:type="dcterms:W3CDTF">2026-06-05T02:28:21Z</dcterms:created>
  <dcterms:modified xsi:type="dcterms:W3CDTF">2026-08-22T00:26:27Z</dcterms:modified>
  <dc:subject>Technical note revised for EU SAE application package 5.2.0-rc.4</dc:subject>
  <cp:lastModifiedBy>EU SAE application package contributors</cp:lastModifiedBy>
  <dc:description>Revised for the 5.2.0-rc.4 review candidate on 2026-08-21.</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Recovering boundary (zero-variance) fits from msae::eblupMFH2() in scripts/eblupMFH2_robust.R</vt:lpwstr>
  </property>
</Properties>
</file>