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3.png" ContentType="image/jpeg"/>
  <Override PartName="/word/media/image14.png" ContentType="image/jpeg"/>
  <Override PartName="/word/media/image15.png" ContentType="image/jpeg"/>
  <Override PartName="/word/media/image16.png" ContentType="image/jpeg"/>
  <Override PartName="/word/media/image18.png" ContentType="image/jpeg"/>
  <Override PartName="/word/media/image19.png" ContentType="image/jpeg"/>
  <Override PartName="/word/media/image20.png" ContentType="image/jpeg"/>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67BD7"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app." title="Cover with the EU SAE app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6F1886DF"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1AFB1000"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2CA19490"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4F7228BC"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9918B36"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1D6FDB9F" w14:textId="77777777" w:rsidR="00941B32" w:rsidRDefault="00977C7A">
                  <w:pPr>
                    <w:spacing w:after="0" w:line="240" w:lineRule="auto"/>
                    <w:jc w:val="center"/>
                  </w:pPr>
                  <w:r>
                    <w:rPr>
                      <w:rFonts w:ascii="Arial" w:hAnsi="Arial" w:cs="Arial"/>
                      <w:color w:val="FFFFFF"/>
                      <w:sz w:val="21"/>
                      <w:szCs w:val="21"/>
                    </w:rPr>
                    <w:t>Release-candidate editor: Nobuo Yoshida</w:t>
                  </w:r>
                </w:p>
                <w:p w14:paraId="67492260" w14:textId="77777777" w:rsidR="00941B32" w:rsidRDefault="00977C7A">
                  <w:pPr>
                    <w:spacing w:after="0" w:line="240" w:lineRule="auto"/>
                    <w:jc w:val="center"/>
                  </w:pPr>
                  <w:r>
                    <w:rPr>
                      <w:rFonts w:ascii="Arial" w:hAnsi="Arial" w:cs="Arial"/>
                      <w:color w:val="FFFFFF"/>
                      <w:sz w:val="21"/>
                      <w:szCs w:val="21"/>
                    </w:rPr>
                    <w:t xml:space="preserve">Candidate 5.2.0-rc.6-wizard.5.14 (w5n)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EndPr/>
      <w:sdtContent>
        <w:p w14:paraId="6C09B82D"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4C598859" w14:textId="169632C4"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fldChar w:fldCharType="begin"/>
              <w:instrText xml:space="preserve"> PAGEREF _Toc242265974 \h </w:instrText>
              <w:fldChar w:fldCharType="separate"/>
              <w:t>9</w:t>
              <w:fldChar w:fldCharType="end"/>
            </w:r>
          </w:hyperlink>
        </w:p>
        <w:p w14:paraId="21D09733" w14:textId="2449188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fldChar w:fldCharType="begin"/>
              <w:instrText xml:space="preserve"> PAGEREF _Toc242265975 \h </w:instrText>
              <w:fldChar w:fldCharType="separate"/>
              <w:t>10</w:t>
              <w:fldChar w:fldCharType="end"/>
            </w:r>
          </w:hyperlink>
        </w:p>
        <w:p w14:paraId="5A454356" w14:textId="2627DF0A"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_Toc242265976 \h </w:instrText>
              <w:fldChar w:fldCharType="separate"/>
              <w:t>12</w:t>
              <w:fldChar w:fldCharType="end"/>
            </w:r>
          </w:hyperlink>
        </w:p>
        <w:p w14:paraId="2E3522D8" w14:textId="51047E9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fldChar w:fldCharType="begin"/>
              <w:instrText xml:space="preserve"> PAGEREF _Toc242265977 \h </w:instrText>
              <w:fldChar w:fldCharType="separate"/>
              <w:t>12</w:t>
              <w:fldChar w:fldCharType="end"/>
            </w:r>
          </w:hyperlink>
        </w:p>
        <w:p w14:paraId="478681D3" w14:textId="492FFF3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fldChar w:fldCharType="begin"/>
              <w:instrText xml:space="preserve"> PAGEREF _Toc242265978 \h </w:instrText>
              <w:fldChar w:fldCharType="separate"/>
              <w:t>13</w:t>
              <w:fldChar w:fldCharType="end"/>
            </w:r>
          </w:hyperlink>
        </w:p>
        <w:p w14:paraId="0E2F4ED3" w14:textId="3C23259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fldChar w:fldCharType="begin"/>
              <w:instrText xml:space="preserve"> PAGEREF _Toc242265979 \h </w:instrText>
              <w:fldChar w:fldCharType="separate"/>
              <w:t>13</w:t>
              <w:fldChar w:fldCharType="end"/>
            </w:r>
          </w:hyperlink>
        </w:p>
        <w:p w14:paraId="47EFBFF5" w14:textId="7CA324C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fldChar w:fldCharType="begin"/>
              <w:instrText xml:space="preserve"> PAGEREF _Toc242265980 \h </w:instrText>
              <w:fldChar w:fldCharType="separate"/>
              <w:t>14</w:t>
              <w:fldChar w:fldCharType="end"/>
            </w:r>
          </w:hyperlink>
        </w:p>
        <w:p w14:paraId="53A3E289" w14:textId="7D18583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fldChar w:fldCharType="begin"/>
              <w:instrText xml:space="preserve"> PAGEREF _Toc242265981 \h </w:instrText>
              <w:fldChar w:fldCharType="separate"/>
              <w:t>14</w:t>
              <w:fldChar w:fldCharType="end"/>
            </w:r>
          </w:hyperlink>
        </w:p>
        <w:p w14:paraId="51367504" w14:textId="06F42A7C"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fldChar w:fldCharType="begin"/>
              <w:instrText xml:space="preserve"> PAGEREF _Toc242265982 \h </w:instrText>
              <w:fldChar w:fldCharType="separate"/>
              <w:t>14</w:t>
              <w:fldChar w:fldCharType="end"/>
            </w:r>
          </w:hyperlink>
        </w:p>
        <w:p w14:paraId="3133ECBA" w14:textId="26E83F3E"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_Toc242265983 \h </w:instrText>
              <w:fldChar w:fldCharType="separate"/>
              <w:t>16</w:t>
              <w:fldChar w:fldCharType="end"/>
            </w:r>
          </w:hyperlink>
        </w:p>
        <w:p w14:paraId="300D5FFB" w14:textId="3F5D2C5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fldChar w:fldCharType="begin"/>
              <w:instrText xml:space="preserve"> PAGEREF _Toc242265984 \h </w:instrText>
              <w:fldChar w:fldCharType="separate"/>
              <w:t>16</w:t>
              <w:fldChar w:fldCharType="end"/>
            </w:r>
          </w:hyperlink>
        </w:p>
        <w:p w14:paraId="0C27F3CF" w14:textId="16EC589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fldChar w:fldCharType="begin"/>
              <w:instrText xml:space="preserve"> PAGEREF _Toc242265985 \h </w:instrText>
              <w:fldChar w:fldCharType="separate"/>
              <w:t>18</w:t>
              <w:fldChar w:fldCharType="end"/>
            </w:r>
          </w:hyperlink>
        </w:p>
        <w:p w14:paraId="73C0F495" w14:textId="0B0D34E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fldChar w:fldCharType="begin"/>
              <w:instrText xml:space="preserve"> PAGEREF _Toc242265986 \h </w:instrText>
              <w:fldChar w:fldCharType="separate"/>
              <w:t>18</w:t>
              <w:fldChar w:fldCharType="end"/>
            </w:r>
          </w:hyperlink>
        </w:p>
        <w:p w14:paraId="4C73F4A9" w14:textId="1E0D782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fldChar w:fldCharType="begin"/>
              <w:instrText xml:space="preserve"> PAGEREF _Toc242265987 \h </w:instrText>
              <w:fldChar w:fldCharType="separate"/>
              <w:t>18</w:t>
              <w:fldChar w:fldCharType="end"/>
            </w:r>
          </w:hyperlink>
        </w:p>
        <w:p w14:paraId="177DCD0A" w14:textId="5595347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fldChar w:fldCharType="begin"/>
              <w:instrText xml:space="preserve"> PAGEREF _Toc242265988 \h </w:instrText>
              <w:fldChar w:fldCharType="separate"/>
              <w:t>19</w:t>
              <w:fldChar w:fldCharType="end"/>
            </w:r>
          </w:hyperlink>
        </w:p>
        <w:p w14:paraId="502FC3B6" w14:textId="2D14390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fldChar w:fldCharType="begin"/>
              <w:instrText xml:space="preserve"> PAGEREF _Toc242265989 \h </w:instrText>
              <w:fldChar w:fldCharType="separate"/>
              <w:t>19</w:t>
              <w:fldChar w:fldCharType="end"/>
            </w:r>
          </w:hyperlink>
        </w:p>
        <w:p w14:paraId="5373F71B" w14:textId="60C7B9A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fldChar w:fldCharType="begin"/>
              <w:instrText xml:space="preserve"> PAGEREF _Toc242265990 \h </w:instrText>
              <w:fldChar w:fldCharType="separate"/>
              <w:t>19</w:t>
              <w:fldChar w:fldCharType="end"/>
            </w:r>
          </w:hyperlink>
        </w:p>
        <w:p w14:paraId="22DBA66B" w14:textId="6660BC5E"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fldChar w:fldCharType="begin"/>
              <w:instrText xml:space="preserve"> PAGEREF _Toc242265991 \h </w:instrText>
              <w:fldChar w:fldCharType="separate"/>
              <w:t>21</w:t>
              <w:fldChar w:fldCharType="end"/>
            </w:r>
          </w:hyperlink>
        </w:p>
        <w:p w14:paraId="5F8C2804" w14:textId="04F2E20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fldChar w:fldCharType="begin"/>
              <w:instrText xml:space="preserve"> PAGEREF _Toc242265992 \h </w:instrText>
              <w:fldChar w:fldCharType="separate"/>
              <w:t>21</w:t>
              <w:fldChar w:fldCharType="end"/>
            </w:r>
          </w:hyperlink>
        </w:p>
        <w:p w14:paraId="1EE816CB" w14:textId="6D02BCE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fldChar w:fldCharType="begin"/>
              <w:instrText xml:space="preserve"> PAGEREF _Toc242265993 \h </w:instrText>
              <w:fldChar w:fldCharType="separate"/>
              <w:t>21</w:t>
              <w:fldChar w:fldCharType="end"/>
            </w:r>
          </w:hyperlink>
        </w:p>
        <w:p w14:paraId="48BF2E75" w14:textId="071549D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fldChar w:fldCharType="begin"/>
              <w:instrText xml:space="preserve"> PAGEREF _Toc242265994 \h </w:instrText>
              <w:fldChar w:fldCharType="separate"/>
              <w:t>22</w:t>
              <w:fldChar w:fldCharType="end"/>
            </w:r>
          </w:hyperlink>
        </w:p>
        <w:p w14:paraId="696607A2" w14:textId="1314CB6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fldChar w:fldCharType="begin"/>
              <w:instrText xml:space="preserve"> PAGEREF _Toc242265995 \h </w:instrText>
              <w:fldChar w:fldCharType="separate"/>
              <w:t>23</w:t>
              <w:fldChar w:fldCharType="end"/>
            </w:r>
          </w:hyperlink>
        </w:p>
        <w:p w14:paraId="0A3FB67C" w14:textId="519BEBC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fldChar w:fldCharType="begin"/>
              <w:instrText xml:space="preserve"> PAGEREF _Toc242265996 \h </w:instrText>
              <w:fldChar w:fldCharType="separate"/>
              <w:t>23</w:t>
              <w:fldChar w:fldCharType="end"/>
            </w:r>
          </w:hyperlink>
        </w:p>
        <w:p w14:paraId="49486459" w14:textId="491806D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fldChar w:fldCharType="begin"/>
              <w:instrText xml:space="preserve"> PAGEREF _Toc242265997 \h </w:instrText>
              <w:fldChar w:fldCharType="separate"/>
              <w:t>24</w:t>
              <w:fldChar w:fldCharType="end"/>
            </w:r>
          </w:hyperlink>
        </w:p>
        <w:p w14:paraId="793E9819" w14:textId="5F4E2DF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fldChar w:fldCharType="begin"/>
              <w:instrText xml:space="preserve"> PAGEREF _Toc242265998 \h </w:instrText>
              <w:fldChar w:fldCharType="separate"/>
              <w:t>24</w:t>
              <w:fldChar w:fldCharType="end"/>
            </w:r>
          </w:hyperlink>
        </w:p>
        <w:p w14:paraId="715DFB41" w14:textId="0CDFEF8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fldChar w:fldCharType="begin"/>
              <w:instrText xml:space="preserve"> PAGEREF _Toc242265999 \h </w:instrText>
              <w:fldChar w:fldCharType="separate"/>
              <w:t>25</w:t>
              <w:fldChar w:fldCharType="end"/>
            </w:r>
          </w:hyperlink>
        </w:p>
        <w:p w14:paraId="3D7CD656" w14:textId="0C51570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fldChar w:fldCharType="begin"/>
              <w:instrText xml:space="preserve"> PAGEREF _Toc242266000 \h </w:instrText>
              <w:fldChar w:fldCharType="separate"/>
              <w:t>26</w:t>
              <w:fldChar w:fldCharType="end"/>
            </w:r>
          </w:hyperlink>
        </w:p>
        <w:p w14:paraId="79378678" w14:textId="0FBAC9B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fldChar w:fldCharType="begin"/>
              <w:instrText xml:space="preserve"> PAGEREF _Toc242266001 \h </w:instrText>
              <w:fldChar w:fldCharType="separate"/>
              <w:t>27</w:t>
              <w:fldChar w:fldCharType="end"/>
            </w:r>
          </w:hyperlink>
        </w:p>
        <w:p w14:paraId="622E92A4" w14:textId="18B58391"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_Toc242266002 \h </w:instrText>
              <w:fldChar w:fldCharType="separate"/>
              <w:t>28</w:t>
              <w:fldChar w:fldCharType="end"/>
            </w:r>
          </w:hyperlink>
        </w:p>
        <w:p w14:paraId="2FBC90E5" w14:textId="384E98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fldChar w:fldCharType="begin"/>
              <w:instrText xml:space="preserve"> PAGEREF _Toc242266003 \h </w:instrText>
              <w:fldChar w:fldCharType="separate"/>
              <w:t>28</w:t>
              <w:fldChar w:fldCharType="end"/>
            </w:r>
          </w:hyperlink>
        </w:p>
        <w:p w14:paraId="700F6992" w14:textId="276A806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fldChar w:fldCharType="begin"/>
              <w:instrText xml:space="preserve"> PAGEREF _Toc242266004 \h </w:instrText>
              <w:fldChar w:fldCharType="separate"/>
              <w:t>28</w:t>
              <w:fldChar w:fldCharType="end"/>
            </w:r>
          </w:hyperlink>
        </w:p>
        <w:p w14:paraId="1A51F1B7" w14:textId="3BCA49B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fldChar w:fldCharType="begin"/>
              <w:instrText xml:space="preserve"> PAGEREF _Toc242266005 \h </w:instrText>
              <w:fldChar w:fldCharType="separate"/>
              <w:t>28</w:t>
              <w:fldChar w:fldCharType="end"/>
            </w:r>
          </w:hyperlink>
        </w:p>
        <w:p w14:paraId="54B2ADB4" w14:textId="27DBC47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fldChar w:fldCharType="begin"/>
              <w:instrText xml:space="preserve"> PAGEREF _Toc242266006 \h </w:instrText>
              <w:fldChar w:fldCharType="separate"/>
              <w:t>29</w:t>
              <w:fldChar w:fldCharType="end"/>
            </w:r>
          </w:hyperlink>
        </w:p>
        <w:p w14:paraId="65BEC361" w14:textId="36EEFBD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fldChar w:fldCharType="begin"/>
              <w:instrText xml:space="preserve"> PAGEREF _Toc242266007 \h </w:instrText>
              <w:fldChar w:fldCharType="separate"/>
              <w:t>30</w:t>
              <w:fldChar w:fldCharType="end"/>
            </w:r>
          </w:hyperlink>
        </w:p>
        <w:p w14:paraId="625A5D24" w14:textId="0FDD8AC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fldChar w:fldCharType="begin"/>
              <w:instrText xml:space="preserve"> PAGEREF _Toc242266008 \h </w:instrText>
              <w:fldChar w:fldCharType="separate"/>
              <w:t>30</w:t>
              <w:fldChar w:fldCharType="end"/>
            </w:r>
          </w:hyperlink>
        </w:p>
        <w:p w14:paraId="3FB4266A" w14:textId="1B6B6C2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fldChar w:fldCharType="begin"/>
              <w:instrText xml:space="preserve"> PAGEREF _Toc242266009 \h </w:instrText>
              <w:fldChar w:fldCharType="separate"/>
              <w:t>31</w:t>
              <w:fldChar w:fldCharType="end"/>
            </w:r>
          </w:hyperlink>
        </w:p>
        <w:p w14:paraId="7D327F67" w14:textId="4BB50C7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fldChar w:fldCharType="begin"/>
              <w:instrText xml:space="preserve"> PAGEREF _Toc242266010 \h </w:instrText>
              <w:fldChar w:fldCharType="separate"/>
              <w:t>31</w:t>
              <w:fldChar w:fldCharType="end"/>
            </w:r>
          </w:hyperlink>
        </w:p>
        <w:p w14:paraId="154E9CE3" w14:textId="7F2395A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fldChar w:fldCharType="begin"/>
              <w:instrText xml:space="preserve"> PAGEREF _Toc242266011 \h </w:instrText>
              <w:fldChar w:fldCharType="separate"/>
              <w:t>32</w:t>
              <w:fldChar w:fldCharType="end"/>
            </w:r>
          </w:hyperlink>
        </w:p>
        <w:p w14:paraId="03E57DB8" w14:textId="0296D75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fldChar w:fldCharType="begin"/>
              <w:instrText xml:space="preserve"> PAGEREF _Toc242266012 \h </w:instrText>
              <w:fldChar w:fldCharType="separate"/>
              <w:t>32</w:t>
              <w:fldChar w:fldCharType="end"/>
            </w:r>
          </w:hyperlink>
        </w:p>
        <w:p w14:paraId="1614B9BD" w14:textId="3F46989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fldChar w:fldCharType="begin"/>
              <w:instrText xml:space="preserve"> PAGEREF _Toc242266013 \h </w:instrText>
              <w:fldChar w:fldCharType="separate"/>
              <w:t>32</w:t>
              <w:fldChar w:fldCharType="end"/>
            </w:r>
          </w:hyperlink>
        </w:p>
        <w:p w14:paraId="34263C7C" w14:textId="128418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fldChar w:fldCharType="begin"/>
              <w:instrText xml:space="preserve"> PAGEREF _Toc242266014 \h </w:instrText>
              <w:fldChar w:fldCharType="separate"/>
              <w:t>34</w:t>
              <w:fldChar w:fldCharType="end"/>
            </w:r>
          </w:hyperlink>
        </w:p>
        <w:p w14:paraId="39EB3D0F" w14:textId="73F27C0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fldChar w:fldCharType="begin"/>
              <w:instrText xml:space="preserve"> PAGEREF _Toc242266015 \h </w:instrText>
              <w:fldChar w:fldCharType="separate"/>
              <w:t>34</w:t>
              <w:fldChar w:fldCharType="end"/>
            </w:r>
          </w:hyperlink>
        </w:p>
        <w:p w14:paraId="10924464" w14:textId="16D0369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fldChar w:fldCharType="begin"/>
              <w:instrText xml:space="preserve"> PAGEREF _Toc242266016 \h </w:instrText>
              <w:fldChar w:fldCharType="separate"/>
              <w:t>34</w:t>
              <w:fldChar w:fldCharType="end"/>
            </w:r>
          </w:hyperlink>
        </w:p>
        <w:p w14:paraId="56565EEF" w14:textId="1CF6C42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fldChar w:fldCharType="begin"/>
              <w:instrText xml:space="preserve"> PAGEREF _Toc242266017 \h </w:instrText>
              <w:fldChar w:fldCharType="separate"/>
              <w:t>35</w:t>
              <w:fldChar w:fldCharType="end"/>
            </w:r>
          </w:hyperlink>
        </w:p>
        <w:p w14:paraId="4A84CFEA" w14:textId="440FCAE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fldChar w:fldCharType="begin"/>
              <w:instrText xml:space="preserve"> PAGEREF _Toc242266018 \h </w:instrText>
              <w:fldChar w:fldCharType="separate"/>
              <w:t>35</w:t>
              <w:fldChar w:fldCharType="end"/>
            </w:r>
          </w:hyperlink>
        </w:p>
        <w:p w14:paraId="64291CB9" w14:textId="7B5CA63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fldChar w:fldCharType="begin"/>
              <w:instrText xml:space="preserve"> PAGEREF _Toc242266019 \h </w:instrText>
              <w:fldChar w:fldCharType="separate"/>
              <w:t>35</w:t>
              <w:fldChar w:fldCharType="end"/>
            </w:r>
          </w:hyperlink>
        </w:p>
        <w:p w14:paraId="183FC172" w14:textId="3F3BA64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fldChar w:fldCharType="begin"/>
              <w:instrText xml:space="preserve"> PAGEREF _Toc242266020 \h </w:instrText>
              <w:fldChar w:fldCharType="separate"/>
              <w:t>36</w:t>
              <w:fldChar w:fldCharType="end"/>
            </w:r>
          </w:hyperlink>
        </w:p>
        <w:p w14:paraId="60ECFCE4" w14:textId="0F27F3F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fldChar w:fldCharType="begin"/>
              <w:instrText xml:space="preserve"> PAGEREF _Toc242266021 \h </w:instrText>
              <w:fldChar w:fldCharType="separate"/>
              <w:t>36</w:t>
              <w:fldChar w:fldCharType="end"/>
            </w:r>
          </w:hyperlink>
        </w:p>
        <w:p w14:paraId="7EAEA5CB" w14:textId="17176C9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fldChar w:fldCharType="begin"/>
              <w:instrText xml:space="preserve"> PAGEREF _Toc242266022 \h </w:instrText>
              <w:fldChar w:fldCharType="separate"/>
              <w:t>36</w:t>
              <w:fldChar w:fldCharType="end"/>
            </w:r>
          </w:hyperlink>
        </w:p>
        <w:p w14:paraId="0D1B5D54" w14:textId="37304B6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fldChar w:fldCharType="begin"/>
              <w:instrText xml:space="preserve"> PAGEREF _Toc242266023 \h </w:instrText>
              <w:fldChar w:fldCharType="separate"/>
              <w:t>37</w:t>
              <w:fldChar w:fldCharType="end"/>
            </w:r>
          </w:hyperlink>
        </w:p>
        <w:p w14:paraId="6DD8074D" w14:textId="2486930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fldChar w:fldCharType="begin"/>
              <w:instrText xml:space="preserve"> PAGEREF _Toc242266024 \h </w:instrText>
              <w:fldChar w:fldCharType="separate"/>
              <w:t>37</w:t>
              <w:fldChar w:fldCharType="end"/>
            </w:r>
          </w:hyperlink>
        </w:p>
        <w:p w14:paraId="139D0020" w14:textId="1C864E4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fldChar w:fldCharType="begin"/>
              <w:instrText xml:space="preserve"> PAGEREF _Toc242266025 \h </w:instrText>
              <w:fldChar w:fldCharType="separate"/>
              <w:t>37</w:t>
              <w:fldChar w:fldCharType="end"/>
            </w:r>
          </w:hyperlink>
        </w:p>
        <w:p w14:paraId="091A7583" w14:textId="0D13BDD0"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fldChar w:fldCharType="begin"/>
              <w:instrText xml:space="preserve"> PAGEREF _Toc242266026 \h </w:instrText>
              <w:fldChar w:fldCharType="separate"/>
              <w:t>39</w:t>
              <w:fldChar w:fldCharType="end"/>
            </w:r>
          </w:hyperlink>
        </w:p>
        <w:p w14:paraId="571AEAAB" w14:textId="5A28D66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fldChar w:fldCharType="begin"/>
              <w:instrText xml:space="preserve"> PAGEREF _Toc242266027 \h </w:instrText>
              <w:fldChar w:fldCharType="separate"/>
              <w:t>39</w:t>
              <w:fldChar w:fldCharType="end"/>
            </w:r>
          </w:hyperlink>
        </w:p>
        <w:p w14:paraId="3EA99849" w14:textId="2A2B4A8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fldChar w:fldCharType="begin"/>
              <w:instrText xml:space="preserve"> PAGEREF _Toc242266028 \h </w:instrText>
              <w:fldChar w:fldCharType="separate"/>
              <w:t>39</w:t>
              <w:fldChar w:fldCharType="end"/>
            </w:r>
          </w:hyperlink>
        </w:p>
        <w:p w14:paraId="0B43ED28" w14:textId="3CEE8EB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fldChar w:fldCharType="begin"/>
              <w:instrText xml:space="preserve"> PAGEREF _Toc242266029 \h </w:instrText>
              <w:fldChar w:fldCharType="separate"/>
              <w:t>40</w:t>
              <w:fldChar w:fldCharType="end"/>
            </w:r>
          </w:hyperlink>
        </w:p>
        <w:p w14:paraId="47EDD9B1" w14:textId="04606DE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fldChar w:fldCharType="begin"/>
              <w:instrText xml:space="preserve"> PAGEREF _Toc242266030 \h </w:instrText>
              <w:fldChar w:fldCharType="separate"/>
              <w:t>41</w:t>
              <w:fldChar w:fldCharType="end"/>
            </w:r>
          </w:hyperlink>
        </w:p>
        <w:p w14:paraId="0AC5440E" w14:textId="4A03DFB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fldChar w:fldCharType="begin"/>
              <w:instrText xml:space="preserve"> PAGEREF _Toc242266031 \h </w:instrText>
              <w:fldChar w:fldCharType="separate"/>
              <w:t>41</w:t>
              <w:fldChar w:fldCharType="end"/>
            </w:r>
          </w:hyperlink>
        </w:p>
        <w:p w14:paraId="4CD07E03" w14:textId="66824F4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fldChar w:fldCharType="begin"/>
              <w:instrText xml:space="preserve"> PAGEREF _Toc242266032 \h </w:instrText>
              <w:fldChar w:fldCharType="separate"/>
              <w:t>41</w:t>
              <w:fldChar w:fldCharType="end"/>
            </w:r>
          </w:hyperlink>
        </w:p>
        <w:p w14:paraId="757F2A61" w14:textId="3D7526F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fldChar w:fldCharType="begin"/>
              <w:instrText xml:space="preserve"> PAGEREF _Toc242266033 \h </w:instrText>
              <w:fldChar w:fldCharType="separate"/>
              <w:t>42</w:t>
              <w:fldChar w:fldCharType="end"/>
            </w:r>
          </w:hyperlink>
        </w:p>
        <w:p w14:paraId="2A89BDA8" w14:textId="033AD3F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fldChar w:fldCharType="begin"/>
              <w:instrText xml:space="preserve"> PAGEREF _Toc242266034 \h </w:instrText>
              <w:fldChar w:fldCharType="separate"/>
              <w:t>43</w:t>
              <w:fldChar w:fldCharType="end"/>
            </w:r>
          </w:hyperlink>
        </w:p>
        <w:p w14:paraId="013D9799" w14:textId="30A3C87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fldChar w:fldCharType="begin"/>
              <w:instrText xml:space="preserve"> PAGEREF _Toc242266035 \h </w:instrText>
              <w:fldChar w:fldCharType="separate"/>
              <w:t>43</w:t>
              <w:fldChar w:fldCharType="end"/>
            </w:r>
          </w:hyperlink>
        </w:p>
        <w:p w14:paraId="32ED7996" w14:textId="4ED7C8A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fldChar w:fldCharType="begin"/>
              <w:instrText xml:space="preserve"> PAGEREF _Toc242266036 \h </w:instrText>
              <w:fldChar w:fldCharType="separate"/>
              <w:t>43</w:t>
              <w:fldChar w:fldCharType="end"/>
            </w:r>
          </w:hyperlink>
        </w:p>
        <w:p w14:paraId="5B5E4163" w14:textId="632B3D03"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fldChar w:fldCharType="begin"/>
              <w:instrText xml:space="preserve"> PAGEREF _Toc242266037 \h </w:instrText>
              <w:fldChar w:fldCharType="separate"/>
              <w:t>45</w:t>
              <w:fldChar w:fldCharType="end"/>
            </w:r>
          </w:hyperlink>
        </w:p>
        <w:p w14:paraId="49FF6CC3" w14:textId="38428F5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fldChar w:fldCharType="begin"/>
              <w:instrText xml:space="preserve"> PAGEREF _Toc242266038 \h </w:instrText>
              <w:fldChar w:fldCharType="separate"/>
              <w:t>45</w:t>
              <w:fldChar w:fldCharType="end"/>
            </w:r>
          </w:hyperlink>
        </w:p>
        <w:p w14:paraId="66FC4550" w14:textId="5D12610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fldChar w:fldCharType="begin"/>
              <w:instrText xml:space="preserve"> PAGEREF _Toc242266039 \h </w:instrText>
              <w:fldChar w:fldCharType="separate"/>
              <w:t>45</w:t>
              <w:fldChar w:fldCharType="end"/>
            </w:r>
          </w:hyperlink>
        </w:p>
        <w:p w14:paraId="76FBEB0C" w14:textId="04262EF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fldChar w:fldCharType="begin"/>
              <w:instrText xml:space="preserve"> PAGEREF _Toc242266040 \h </w:instrText>
              <w:fldChar w:fldCharType="separate"/>
              <w:t>46</w:t>
              <w:fldChar w:fldCharType="end"/>
            </w:r>
          </w:hyperlink>
        </w:p>
        <w:p w14:paraId="39751529" w14:textId="22B40B1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fldChar w:fldCharType="begin"/>
              <w:instrText xml:space="preserve"> PAGEREF _Toc242266041 \h </w:instrText>
              <w:fldChar w:fldCharType="separate"/>
              <w:t>47</w:t>
              <w:fldChar w:fldCharType="end"/>
            </w:r>
          </w:hyperlink>
        </w:p>
        <w:p w14:paraId="5BB98BA7" w14:textId="5E647FF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fldChar w:fldCharType="begin"/>
              <w:instrText xml:space="preserve"> PAGEREF _Toc242266042 \h </w:instrText>
              <w:fldChar w:fldCharType="separate"/>
              <w:t>48</w:t>
              <w:fldChar w:fldCharType="end"/>
            </w:r>
          </w:hyperlink>
        </w:p>
        <w:p w14:paraId="782F63A0" w14:textId="1F01B4A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fldChar w:fldCharType="begin"/>
              <w:instrText xml:space="preserve"> PAGEREF _Toc242266043 \h </w:instrText>
              <w:fldChar w:fldCharType="separate"/>
              <w:t>48</w:t>
              <w:fldChar w:fldCharType="end"/>
            </w:r>
          </w:hyperlink>
        </w:p>
        <w:p w14:paraId="4D0DE8C9" w14:textId="796EEE2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fldChar w:fldCharType="begin"/>
              <w:instrText xml:space="preserve"> PAGEREF _Toc242266044 \h </w:instrText>
              <w:fldChar w:fldCharType="separate"/>
              <w:t>48</w:t>
              <w:fldChar w:fldCharType="end"/>
            </w:r>
          </w:hyperlink>
        </w:p>
        <w:p w14:paraId="29A84402" w14:textId="15F07B4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fldChar w:fldCharType="begin"/>
              <w:instrText xml:space="preserve"> PAGEREF _Toc242266045 \h </w:instrText>
              <w:fldChar w:fldCharType="separate"/>
              <w:t>49</w:t>
              <w:fldChar w:fldCharType="end"/>
            </w:r>
          </w:hyperlink>
        </w:p>
        <w:p w14:paraId="3745C42A" w14:textId="4A89C9F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fldChar w:fldCharType="begin"/>
              <w:instrText xml:space="preserve"> PAGEREF _Toc242266046 \h </w:instrText>
              <w:fldChar w:fldCharType="separate"/>
              <w:t>49</w:t>
              <w:fldChar w:fldCharType="end"/>
            </w:r>
          </w:hyperlink>
        </w:p>
        <w:p w14:paraId="0A834505" w14:textId="4278565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fldChar w:fldCharType="begin"/>
              <w:instrText xml:space="preserve"> PAGEREF _Toc242266047 \h </w:instrText>
              <w:fldChar w:fldCharType="separate"/>
              <w:t>50</w:t>
              <w:fldChar w:fldCharType="end"/>
            </w:r>
          </w:hyperlink>
        </w:p>
        <w:p w14:paraId="68FB8869" w14:textId="102229E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fldChar w:fldCharType="begin"/>
              <w:instrText xml:space="preserve"> PAGEREF _Toc242266048 \h </w:instrText>
              <w:fldChar w:fldCharType="separate"/>
              <w:t>51</w:t>
              <w:fldChar w:fldCharType="end"/>
            </w:r>
          </w:hyperlink>
        </w:p>
        <w:p w14:paraId="14AD1BCF" w14:textId="111278E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fldChar w:fldCharType="begin"/>
              <w:instrText xml:space="preserve"> PAGEREF _Toc242266049 \h </w:instrText>
              <w:fldChar w:fldCharType="separate"/>
              <w:t>51</w:t>
              <w:fldChar w:fldCharType="end"/>
            </w:r>
          </w:hyperlink>
        </w:p>
        <w:p w14:paraId="50108ABF" w14:textId="0C5A8AB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fldChar w:fldCharType="begin"/>
              <w:instrText xml:space="preserve"> PAGEREF _Toc242266050 \h </w:instrText>
              <w:fldChar w:fldCharType="separate"/>
              <w:t>53</w:t>
              <w:fldChar w:fldCharType="end"/>
            </w:r>
          </w:hyperlink>
        </w:p>
        <w:p w14:paraId="25A7A438" w14:textId="6BCAA3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fldChar w:fldCharType="begin"/>
              <w:instrText xml:space="preserve"> PAGEREF _Toc242266051 \h </w:instrText>
              <w:fldChar w:fldCharType="separate"/>
              <w:t>53</w:t>
              <w:fldChar w:fldCharType="end"/>
            </w:r>
          </w:hyperlink>
        </w:p>
        <w:p w14:paraId="2B53C23A" w14:textId="60A1CF81"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fldChar w:fldCharType="begin"/>
              <w:instrText xml:space="preserve"> PAGEREF _Toc242266052 \h </w:instrText>
              <w:fldChar w:fldCharType="separate"/>
              <w:t>55</w:t>
              <w:fldChar w:fldCharType="end"/>
            </w:r>
          </w:hyperlink>
        </w:p>
        <w:p w14:paraId="474EE24B" w14:textId="075670D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fldChar w:fldCharType="begin"/>
              <w:instrText xml:space="preserve"> PAGEREF _Toc242266053 \h </w:instrText>
              <w:fldChar w:fldCharType="separate"/>
              <w:t>55</w:t>
              <w:fldChar w:fldCharType="end"/>
            </w:r>
          </w:hyperlink>
        </w:p>
        <w:p w14:paraId="384C2C11" w14:textId="4F538A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fldChar w:fldCharType="begin"/>
              <w:instrText xml:space="preserve"> PAGEREF _Toc242266054 \h </w:instrText>
              <w:fldChar w:fldCharType="separate"/>
              <w:t>55</w:t>
              <w:fldChar w:fldCharType="end"/>
            </w:r>
          </w:hyperlink>
        </w:p>
        <w:p w14:paraId="5D435354" w14:textId="445A31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fldChar w:fldCharType="begin"/>
              <w:instrText xml:space="preserve"> PAGEREF _Toc242266055 \h </w:instrText>
              <w:fldChar w:fldCharType="separate"/>
              <w:t>56</w:t>
              <w:fldChar w:fldCharType="end"/>
            </w:r>
          </w:hyperlink>
        </w:p>
        <w:p w14:paraId="7AE09E78" w14:textId="268E2B5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fldChar w:fldCharType="begin"/>
              <w:instrText xml:space="preserve"> PAGEREF _Toc242266056 \h </w:instrText>
              <w:fldChar w:fldCharType="separate"/>
              <w:t>57</w:t>
              <w:fldChar w:fldCharType="end"/>
            </w:r>
          </w:hyperlink>
        </w:p>
        <w:p w14:paraId="162C6373" w14:textId="16C4F89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fldChar w:fldCharType="begin"/>
              <w:instrText xml:space="preserve"> PAGEREF _Toc242266057 \h </w:instrText>
              <w:fldChar w:fldCharType="separate"/>
              <w:t>57</w:t>
              <w:fldChar w:fldCharType="end"/>
            </w:r>
          </w:hyperlink>
        </w:p>
        <w:p w14:paraId="3FEFDE03" w14:textId="6CD170D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fldChar w:fldCharType="begin"/>
              <w:instrText xml:space="preserve"> PAGEREF _Toc242266058 \h </w:instrText>
              <w:fldChar w:fldCharType="separate"/>
              <w:t>58</w:t>
              <w:fldChar w:fldCharType="end"/>
            </w:r>
          </w:hyperlink>
        </w:p>
        <w:p w14:paraId="7024EB82" w14:textId="4B4B51D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fldChar w:fldCharType="begin"/>
              <w:instrText xml:space="preserve"> PAGEREF _Toc242266059 \h </w:instrText>
              <w:fldChar w:fldCharType="separate"/>
              <w:t>59</w:t>
              <w:fldChar w:fldCharType="end"/>
            </w:r>
          </w:hyperlink>
        </w:p>
        <w:p w14:paraId="536BD2EF" w14:textId="45391A8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fldChar w:fldCharType="begin"/>
              <w:instrText xml:space="preserve"> PAGEREF _Toc242266060 \h </w:instrText>
              <w:fldChar w:fldCharType="separate"/>
              <w:t>61</w:t>
              <w:fldChar w:fldCharType="end"/>
            </w:r>
          </w:hyperlink>
        </w:p>
        <w:p w14:paraId="6A880CA3" w14:textId="4740BD2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fldChar w:fldCharType="begin"/>
              <w:instrText xml:space="preserve"> PAGEREF _Toc242266061 \h </w:instrText>
              <w:fldChar w:fldCharType="separate"/>
              <w:t>61</w:t>
              <w:fldChar w:fldCharType="end"/>
            </w:r>
          </w:hyperlink>
        </w:p>
        <w:p w14:paraId="0059C60D" w14:textId="51FAFF0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fldChar w:fldCharType="begin"/>
              <w:instrText xml:space="preserve"> PAGEREF _Toc242266062 \h </w:instrText>
              <w:fldChar w:fldCharType="separate"/>
              <w:t>63</w:t>
              <w:fldChar w:fldCharType="end"/>
            </w:r>
          </w:hyperlink>
        </w:p>
        <w:p w14:paraId="0F0F855E" w14:textId="6DA11AC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fldChar w:fldCharType="begin"/>
              <w:instrText xml:space="preserve"> PAGEREF _Toc242266063 \h </w:instrText>
              <w:fldChar w:fldCharType="separate"/>
              <w:t>63</w:t>
              <w:fldChar w:fldCharType="end"/>
            </w:r>
          </w:hyperlink>
        </w:p>
        <w:p w14:paraId="617C13CE" w14:textId="24405CB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fldChar w:fldCharType="begin"/>
              <w:instrText xml:space="preserve"> PAGEREF _Toc242266064 \h </w:instrText>
              <w:fldChar w:fldCharType="separate"/>
              <w:t>63</w:t>
              <w:fldChar w:fldCharType="end"/>
            </w:r>
          </w:hyperlink>
        </w:p>
        <w:p w14:paraId="7010B7EE" w14:textId="0AD3333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fldChar w:fldCharType="begin"/>
              <w:instrText xml:space="preserve"> PAGEREF _Toc242266065 \h </w:instrText>
              <w:fldChar w:fldCharType="separate"/>
              <w:t>65</w:t>
              <w:fldChar w:fldCharType="end"/>
            </w:r>
          </w:hyperlink>
        </w:p>
        <w:p w14:paraId="4C6D1FAB" w14:textId="61E37D5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fldChar w:fldCharType="begin"/>
              <w:instrText xml:space="preserve"> PAGEREF _Toc242266066 \h </w:instrText>
              <w:fldChar w:fldCharType="separate"/>
              <w:t>66</w:t>
              <w:fldChar w:fldCharType="end"/>
            </w:r>
          </w:hyperlink>
        </w:p>
        <w:p w14:paraId="1164C6DB" w14:textId="5BFB3025"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fldChar w:fldCharType="begin"/>
              <w:instrText xml:space="preserve"> PAGEREF _Toc242266067 \h </w:instrText>
              <w:fldChar w:fldCharType="separate"/>
              <w:t>68</w:t>
              <w:fldChar w:fldCharType="end"/>
            </w:r>
          </w:hyperlink>
        </w:p>
        <w:p w14:paraId="622D69F7" w14:textId="2B41053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fldChar w:fldCharType="begin"/>
              <w:instrText xml:space="preserve"> PAGEREF _Toc242266068 \h </w:instrText>
              <w:fldChar w:fldCharType="separate"/>
              <w:t>68</w:t>
              <w:fldChar w:fldCharType="end"/>
            </w:r>
          </w:hyperlink>
        </w:p>
        <w:p w14:paraId="03472198" w14:textId="49925D3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fldChar w:fldCharType="begin"/>
              <w:instrText xml:space="preserve"> PAGEREF _Toc242266069 \h </w:instrText>
              <w:fldChar w:fldCharType="separate"/>
              <w:t>68</w:t>
              <w:fldChar w:fldCharType="end"/>
            </w:r>
          </w:hyperlink>
        </w:p>
        <w:p w14:paraId="5AE0772B" w14:textId="2D066A2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fldChar w:fldCharType="begin"/>
              <w:instrText xml:space="preserve"> PAGEREF _Toc242266070 \h </w:instrText>
              <w:fldChar w:fldCharType="separate"/>
              <w:t>69</w:t>
              <w:fldChar w:fldCharType="end"/>
            </w:r>
          </w:hyperlink>
        </w:p>
        <w:p w14:paraId="70489A3E" w14:textId="0019F9A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fldChar w:fldCharType="begin"/>
              <w:instrText xml:space="preserve"> PAGEREF _Toc242266071 \h </w:instrText>
              <w:fldChar w:fldCharType="separate"/>
              <w:t>70</w:t>
              <w:fldChar w:fldCharType="end"/>
            </w:r>
          </w:hyperlink>
        </w:p>
        <w:p w14:paraId="2C522367" w14:textId="1EE9331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fldChar w:fldCharType="begin"/>
              <w:instrText xml:space="preserve"> PAGEREF _Toc242266072 \h </w:instrText>
              <w:fldChar w:fldCharType="separate"/>
              <w:t>70</w:t>
              <w:fldChar w:fldCharType="end"/>
            </w:r>
          </w:hyperlink>
        </w:p>
        <w:p w14:paraId="6624E907" w14:textId="3EFDD73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fldChar w:fldCharType="begin"/>
              <w:instrText xml:space="preserve"> PAGEREF _Toc242266073 \h </w:instrText>
              <w:fldChar w:fldCharType="separate"/>
              <w:t>71</w:t>
              <w:fldChar w:fldCharType="end"/>
            </w:r>
          </w:hyperlink>
        </w:p>
        <w:p w14:paraId="310C9DBE" w14:textId="7360C76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fldChar w:fldCharType="begin"/>
              <w:instrText xml:space="preserve"> PAGEREF _Toc242266074 \h </w:instrText>
              <w:fldChar w:fldCharType="separate"/>
              <w:t>72</w:t>
              <w:fldChar w:fldCharType="end"/>
            </w:r>
          </w:hyperlink>
        </w:p>
        <w:p w14:paraId="4C0C4097" w14:textId="31CE610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fldChar w:fldCharType="begin"/>
              <w:instrText xml:space="preserve"> PAGEREF _Toc242266075 \h </w:instrText>
              <w:fldChar w:fldCharType="separate"/>
              <w:t>72</w:t>
              <w:fldChar w:fldCharType="end"/>
            </w:r>
          </w:hyperlink>
        </w:p>
        <w:p w14:paraId="0D16AE09" w14:textId="373505E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fldChar w:fldCharType="begin"/>
              <w:instrText xml:space="preserve"> PAGEREF _Toc242266076 \h </w:instrText>
              <w:fldChar w:fldCharType="separate"/>
              <w:t>73</w:t>
              <w:fldChar w:fldCharType="end"/>
            </w:r>
          </w:hyperlink>
        </w:p>
        <w:p w14:paraId="3A1F4631" w14:textId="1AFFCF4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fldChar w:fldCharType="begin"/>
              <w:instrText xml:space="preserve"> PAGEREF _Toc242266077 \h </w:instrText>
              <w:fldChar w:fldCharType="separate"/>
              <w:t>73</w:t>
              <w:fldChar w:fldCharType="end"/>
            </w:r>
          </w:hyperlink>
        </w:p>
        <w:p w14:paraId="5CD4A51C" w14:textId="06B8D63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fldChar w:fldCharType="begin"/>
              <w:instrText xml:space="preserve"> PAGEREF _Toc242266078 \h </w:instrText>
              <w:fldChar w:fldCharType="separate"/>
              <w:t>74</w:t>
              <w:fldChar w:fldCharType="end"/>
            </w:r>
          </w:hyperlink>
        </w:p>
        <w:p w14:paraId="64CEFECF" w14:textId="06B4BCD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fldChar w:fldCharType="begin"/>
              <w:instrText xml:space="preserve"> PAGEREF _Toc242266079 \h </w:instrText>
              <w:fldChar w:fldCharType="separate"/>
              <w:t>74</w:t>
              <w:fldChar w:fldCharType="end"/>
            </w:r>
          </w:hyperlink>
        </w:p>
        <w:p w14:paraId="74122AA8" w14:textId="15E8A76A"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fldChar w:fldCharType="begin"/>
              <w:instrText xml:space="preserve"> PAGEREF _Toc242266080 \h </w:instrText>
              <w:fldChar w:fldCharType="separate"/>
              <w:t>76</w:t>
              <w:fldChar w:fldCharType="end"/>
            </w:r>
          </w:hyperlink>
        </w:p>
        <w:p w14:paraId="77FB589A" w14:textId="4657AAC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fldChar w:fldCharType="begin"/>
              <w:instrText xml:space="preserve"> PAGEREF _Toc242266081 \h </w:instrText>
              <w:fldChar w:fldCharType="separate"/>
              <w:t>76</w:t>
              <w:fldChar w:fldCharType="end"/>
            </w:r>
          </w:hyperlink>
        </w:p>
        <w:p w14:paraId="0083099B" w14:textId="398523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fldChar w:fldCharType="begin"/>
              <w:instrText xml:space="preserve"> PAGEREF _Toc242266082 \h </w:instrText>
              <w:fldChar w:fldCharType="separate"/>
              <w:t>76</w:t>
              <w:fldChar w:fldCharType="end"/>
            </w:r>
          </w:hyperlink>
        </w:p>
        <w:p w14:paraId="3E1423F3" w14:textId="13ADE79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fldChar w:fldCharType="begin"/>
              <w:instrText xml:space="preserve"> PAGEREF _Toc242266083 \h </w:instrText>
              <w:fldChar w:fldCharType="separate"/>
              <w:t>77</w:t>
              <w:fldChar w:fldCharType="end"/>
            </w:r>
          </w:hyperlink>
        </w:p>
        <w:p w14:paraId="25B3F44D" w14:textId="0EDFD4D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fldChar w:fldCharType="begin"/>
              <w:instrText xml:space="preserve"> PAGEREF _Toc242266084 \h </w:instrText>
              <w:fldChar w:fldCharType="separate"/>
              <w:t>78</w:t>
              <w:fldChar w:fldCharType="end"/>
            </w:r>
          </w:hyperlink>
        </w:p>
        <w:p w14:paraId="03AFF6CF" w14:textId="5B84ABA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fldChar w:fldCharType="begin"/>
              <w:instrText xml:space="preserve"> PAGEREF _Toc242266085 \h </w:instrText>
              <w:fldChar w:fldCharType="separate"/>
              <w:t>79</w:t>
              <w:fldChar w:fldCharType="end"/>
            </w:r>
          </w:hyperlink>
        </w:p>
        <w:p w14:paraId="109C0598" w14:textId="00D85BD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Section 11  Using the Wizard Application</w:t>
            </w:r>
            <w:r>
              <w:rPr>
                <w:noProof/>
                <w:webHidden/>
              </w:rPr>
              <w:tab/>
              <w:fldChar w:fldCharType="begin"/>
              <w:instrText xml:space="preserve"> PAGEREF _Toc242266086 \h </w:instrText>
              <w:fldChar w:fldCharType="separate"/>
              <w:t>80</w:t>
              <w:fldChar w:fldCharType="end"/>
            </w:r>
          </w:hyperlink>
        </w:p>
        <w:p w14:paraId="4C8F5A01" w14:textId="70566CF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11.1 Installing and launching the wizard</w:t>
            </w:r>
            <w:r>
              <w:rPr>
                <w:noProof/>
                <w:webHidden/>
              </w:rPr>
              <w:tab/>
              <w:fldChar w:fldCharType="begin"/>
              <w:instrText xml:space="preserve"> PAGEREF _Toc242266087 \h </w:instrText>
              <w:fldChar w:fldCharType="separate"/>
              <w:t>80</w:t>
              <w:fldChar w:fldCharType="end"/>
            </w:r>
          </w:hyperlink>
        </w:p>
        <w:p w14:paraId="327CC4A3" w14:textId="51EC15C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11.2 Wizard navigation and the six-step workflow</w:t>
            </w:r>
            <w:r>
              <w:rPr>
                <w:noProof/>
                <w:webHidden/>
              </w:rPr>
              <w:tab/>
              <w:fldChar w:fldCharType="begin"/>
              <w:instrText xml:space="preserve"> PAGEREF _Toc242266088 \h </w:instrText>
              <w:fldChar w:fldCharType="separate"/>
              <w:t>81</w:t>
              <w:fldChar w:fldCharType="end"/>
            </w:r>
          </w:hyperlink>
        </w:p>
        <w:p w14:paraId="779066BF" w14:textId="3E84070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11.3 Step 1 - Data inputs</w:t>
            </w:r>
            <w:r>
              <w:rPr>
                <w:noProof/>
                <w:webHidden/>
              </w:rPr>
              <w:tab/>
              <w:fldChar w:fldCharType="begin"/>
              <w:instrText xml:space="preserve"> PAGEREF _Toc242266089 \h </w:instrText>
              <w:fldChar w:fldCharType="separate"/>
              <w:t>82</w:t>
              <w:fldChar w:fldCharType="end"/>
            </w:r>
          </w:hyperlink>
        </w:p>
        <w:p w14:paraId="79C29CCD" w14:textId="6512D55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11.4 Step 2 - Variable mapping</w:t>
            </w:r>
            <w:r>
              <w:rPr>
                <w:noProof/>
                <w:webHidden/>
              </w:rPr>
              <w:tab/>
              <w:fldChar w:fldCharType="begin"/>
              <w:instrText xml:space="preserve"> PAGEREF _Toc242266090 \h </w:instrText>
              <w:fldChar w:fldCharType="separate"/>
              <w:t>83</w:t>
              <w:fldChar w:fldCharType="end"/>
            </w:r>
          </w:hyperlink>
        </w:p>
        <w:p w14:paraId="3A066892" w14:textId="18D78F4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11.5 Step 3 - Indicator definition</w:t>
            </w:r>
            <w:r>
              <w:rPr>
                <w:noProof/>
                <w:webHidden/>
              </w:rPr>
              <w:tab/>
              <w:fldChar w:fldCharType="begin"/>
              <w:instrText xml:space="preserve"> PAGEREF _Toc242266091 \h </w:instrText>
              <w:fldChar w:fldCharType="separate"/>
              <w:t>84</w:t>
              <w:fldChar w:fldCharType="end"/>
            </w:r>
          </w:hyperlink>
        </w:p>
        <w:p w14:paraId="22E68BDF" w14:textId="5BF5EC3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11.6 Step 4 - Model options</w:t>
            </w:r>
            <w:r>
              <w:rPr>
                <w:noProof/>
                <w:webHidden/>
              </w:rPr>
              <w:tab/>
              <w:fldChar w:fldCharType="begin"/>
              <w:instrText xml:space="preserve"> PAGEREF _Toc242266092 \h </w:instrText>
              <w:fldChar w:fldCharType="separate"/>
              <w:t>86</w:t>
              <w:fldChar w:fldCharType="end"/>
            </w:r>
          </w:hyperlink>
        </w:p>
        <w:p w14:paraId="0190B3E5" w14:textId="616B3A5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11.7 Step 5 - AI Assistant (optional)</w:t>
            </w:r>
            <w:r>
              <w:rPr>
                <w:noProof/>
                <w:webHidden/>
              </w:rPr>
              <w:tab/>
              <w:fldChar w:fldCharType="begin"/>
              <w:instrText xml:space="preserve"> PAGEREF _Toc242266093 \h </w:instrText>
              <w:fldChar w:fldCharType="separate"/>
              <w:t>87</w:t>
              <w:fldChar w:fldCharType="end"/>
            </w:r>
          </w:hyperlink>
        </w:p>
        <w:p w14:paraId="27520F6A" w14:textId="580F19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11.8 Step 6 - Review &amp; Run</w:t>
            </w:r>
            <w:r>
              <w:rPr>
                <w:noProof/>
                <w:webHidden/>
              </w:rPr>
              <w:tab/>
              <w:fldChar w:fldCharType="begin"/>
              <w:instrText xml:space="preserve"> PAGEREF _Toc242266094 \h </w:instrText>
              <w:fldChar w:fldCharType="separate"/>
              <w:t>88</w:t>
              <w:fldChar w:fldCharType="end"/>
            </w:r>
          </w:hyperlink>
        </w:p>
        <w:p w14:paraId="12262A55" w14:textId="595245A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fldChar w:fldCharType="begin"/>
              <w:instrText xml:space="preserve"> PAGEREF _Toc242266095 \h </w:instrText>
              <w:fldChar w:fldCharType="separate"/>
              <w:t>89</w:t>
              <w:fldChar w:fldCharType="end"/>
            </w:r>
          </w:hyperlink>
        </w:p>
        <w:p w14:paraId="5D32AF2B" w14:textId="09E6D7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 xml:space="preserve">11.10 Poverty headcounts with year-specific poverty lines</w:t>
            </w:r>
            <w:r>
              <w:rPr>
                <w:noProof/>
                <w:webHidden/>
              </w:rPr>
              <w:tab/>
              <w:fldChar w:fldCharType="begin"/>
              <w:instrText xml:space="preserve"> PAGEREF _Toc242266096 \h </w:instrText>
              <w:fldChar w:fldCharType="separate"/>
              <w:t>91</w:t>
              <w:fldChar w:fldCharType="end"/>
            </w:r>
          </w:hyperlink>
        </w:p>
        <w:p w14:paraId="7C76F439" w14:textId="31377AC2"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fldChar w:fldCharType="begin"/>
              <w:instrText xml:space="preserve"> PAGEREF _Toc242266097 \h </w:instrText>
              <w:fldChar w:fldCharType="separate"/>
              <w:t>91</w:t>
              <w:fldChar w:fldCharType="end"/>
            </w:r>
          </w:hyperlink>
        </w:p>
        <w:p w14:paraId="7A8430EE" w14:textId="4E592500" w:rsidR="000222B2" w:rsidRDefault="000222B2">
          <w:pPr>
            <w:pStyle w:val="TOC3"/>
            <w:tabs>
              <w:tab w:val="right" w:leader="dot" w:pos="9350"/>
            </w:tabs>
            <w:rPr>
              <w:noProof/>
              <w14:ligatures w14:val="standardContextual"/>
            </w:rPr>
          </w:pPr>
          <w:hyperlink w:anchor="_Toc242266098" w:history="1">
            <w:r>
              <w:rPr>
                <w:rStyle w:val="Hyperlink"/>
                <w:noProof/>
              </w:rPr>
              <w:t>11.10.2 Select the wizard settings</w:t>
            </w:r>
            <w:r>
              <w:rPr>
                <w:noProof/>
                <w:webHidden/>
              </w:rPr>
              <w:tab/>
              <w:fldChar w:fldCharType="begin"/>
              <w:instrText xml:space="preserve"> PAGEREF _Toc242266098 \h </w:instrText>
              <w:fldChar w:fldCharType="separate"/>
              <w:t>91</w:t>
              <w:fldChar w:fldCharType="end"/>
            </w:r>
          </w:hyperlink>
        </w:p>
        <w:p w14:paraId="3C560EFA" w14:textId="452C397C"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fldChar w:fldCharType="begin"/>
              <w:instrText xml:space="preserve"> PAGEREF _Toc242266099 \h </w:instrText>
              <w:fldChar w:fldCharType="separate"/>
              <w:t>91</w:t>
              <w:fldChar w:fldCharType="end"/>
            </w:r>
          </w:hyperlink>
        </w:p>
        <w:p w14:paraId="4C8951AE" w14:textId="1EE374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fldChar w:fldCharType="begin"/>
              <w:instrText xml:space="preserve"> PAGEREF _Toc242266100 \h </w:instrText>
              <w:fldChar w:fldCharType="separate"/>
              <w:t>92</w:t>
              <w:fldChar w:fldCharType="end"/>
            </w:r>
          </w:hyperlink>
        </w:p>
        <w:p w14:paraId="4B0F5747" w14:textId="52CA6DF7" w:rsidR="000222B2" w:rsidRDefault="000222B2">
          <w:pPr>
            <w:pStyle w:val="TOC3"/>
            <w:tabs>
              <w:tab w:val="right" w:leader="dot" w:pos="9350"/>
            </w:tabs>
            <w:rPr>
              <w:noProof/>
              <w14:ligatures w14:val="standardContextual"/>
            </w:rPr>
          </w:pPr>
          <w:hyperlink w:anchor="_Toc242266101" w:history="1">
            <w:r>
              <w:rPr>
                <w:rStyle w:val="Hyperlink"/>
                <w:noProof/>
              </w:rPr>
              <w:t xml:space="preserve">11.11.1 </w:t>
            </w:r>
            <w:r>
              <w:rPr>
                <w:rStyle w:val="Hyperlink"/>
                <w:noProof/>
              </w:rPr>
              <w:t xml:space="preserve">Supply anchored poverty lines</w:t>
            </w:r>
            <w:r>
              <w:rPr>
                <w:noProof/>
                <w:webHidden/>
              </w:rPr>
              <w:tab/>
              <w:fldChar w:fldCharType="begin"/>
              <w:instrText xml:space="preserve"> PAGEREF _Toc242266101 \h </w:instrText>
              <w:fldChar w:fldCharType="separate"/>
              <w:t>92</w:t>
              <w:fldChar w:fldCharType="end"/>
            </w:r>
          </w:hyperlink>
        </w:p>
        <w:p w14:paraId="1AE38C21" w14:textId="00E5DD44" w:rsidR="000222B2" w:rsidRDefault="000222B2">
          <w:pPr>
            <w:pStyle w:val="TOC3"/>
            <w:tabs>
              <w:tab w:val="right" w:leader="dot" w:pos="9350"/>
            </w:tabs>
            <w:rPr>
              <w:noProof/>
              <w14:ligatures w14:val="standardContextual"/>
            </w:rPr>
          </w:pPr>
          <w:hyperlink w:anchor="_Toc242266103" w:history="1">
            <w:r>
              <w:rPr>
                <w:rStyle w:val="Hyperlink"/>
                <w:noProof/>
              </w:rPr>
              <w:t xml:space="preserve">11.11.2 Interpret and report anchored poverty</w:t>
            </w:r>
            <w:r>
              <w:rPr>
                <w:noProof/>
                <w:webHidden/>
              </w:rPr>
              <w:tab/>
              <w:fldChar w:fldCharType="begin"/>
              <w:instrText xml:space="preserve"> PAGEREF _Toc242266103 \h </w:instrText>
              <w:fldChar w:fldCharType="separate"/>
              <w:t>93</w:t>
              <w:fldChar w:fldCharType="end"/>
            </w:r>
          </w:hyperlink>
        </w:p>
        <w:p w14:paraId="26838E5B" w14:textId="2566FDC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fldChar w:fldCharType="begin"/>
              <w:instrText xml:space="preserve"> PAGEREF _Toc242266104 \h </w:instrText>
              <w:fldChar w:fldCharType="separate"/>
              <w:t>94</w:t>
              <w:fldChar w:fldCharType="end"/>
            </w:r>
          </w:hyperlink>
        </w:p>
        <w:p w14:paraId="1FF8EDA9" w14:textId="13A5E53A" w:rsidR="000222B2" w:rsidRDefault="000222B2">
          <w:pPr>
            <w:pStyle w:val="TOC3"/>
            <w:tabs>
              <w:tab w:val="right" w:leader="dot" w:pos="9350"/>
            </w:tabs>
            <w:rPr>
              <w:noProof/>
              <w14:ligatures w14:val="standardContextual"/>
            </w:rPr>
          </w:pPr>
          <w:hyperlink w:anchor="_Toc242266105" w:history="1">
            <w:r>
              <w:rPr>
                <w:rStyle w:val="Hyperlink"/>
                <w:noProof/>
              </w:rPr>
              <w:t xml:space="preserve">11.12.1 Route A: Supply welfare already in real prices</w:t>
            </w:r>
            <w:r>
              <w:rPr>
                <w:noProof/>
                <w:webHidden/>
              </w:rPr>
              <w:tab/>
              <w:fldChar w:fldCharType="begin"/>
              <w:instrText xml:space="preserve"> PAGEREF _Toc242266105 \h </w:instrText>
              <w:fldChar w:fldCharType="separate"/>
              <w:t>94</w:t>
              <w:fldChar w:fldCharType="end"/>
            </w:r>
          </w:hyperlink>
        </w:p>
        <w:p w14:paraId="2BC23381" w14:textId="61FCA2ED" w:rsidR="000222B2" w:rsidRDefault="000222B2">
          <w:pPr>
            <w:pStyle w:val="TOC3"/>
            <w:tabs>
              <w:tab w:val="right" w:leader="dot" w:pos="9350"/>
            </w:tabs>
            <w:rPr>
              <w:noProof/>
              <w14:ligatures w14:val="standardContextual"/>
            </w:rPr>
          </w:pPr>
          <w:hyperlink w:anchor="_Toc242266106" w:history="1">
            <w:r>
              <w:rPr>
                <w:rStyle w:val="Hyperlink"/>
                <w:noProof/>
              </w:rPr>
              <w:t xml:space="preserve">11.12.2 Route B: Convert current welfare with CPI</w:t>
            </w:r>
            <w:r>
              <w:rPr>
                <w:noProof/>
                <w:webHidden/>
              </w:rPr>
              <w:tab/>
              <w:fldChar w:fldCharType="begin"/>
              <w:instrText xml:space="preserve"> PAGEREF _Toc242266106 \h </w:instrText>
              <w:fldChar w:fldCharType="separate"/>
              <w:t>94</w:t>
              <w:fldChar w:fldCharType="end"/>
            </w:r>
          </w:hyperlink>
        </w:p>
        <w:p w14:paraId="543E9DCD" w14:textId="7B8E37F5"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fldChar w:fldCharType="begin"/>
              <w:instrText xml:space="preserve"> PAGEREF _Toc242266107 \h </w:instrText>
              <w:fldChar w:fldCharType="separate"/>
              <w:t>95</w:t>
              <w:fldChar w:fldCharType="end"/>
            </w:r>
          </w:hyperlink>
        </w:p>
        <w:p w14:paraId="01389552" w14:textId="682DA604"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fldChar w:fldCharType="begin"/>
              <w:instrText xml:space="preserve"> PAGEREF _Toc242266108 \h </w:instrText>
              <w:fldChar w:fldCharType="separate"/>
              <w:t>96</w:t>
              <w:fldChar w:fldCharType="end"/>
            </w:r>
          </w:hyperlink>
        </w:p>
        <w:p w14:paraId="72C52814" w14:textId="4991737A"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fldChar w:fldCharType="begin"/>
              <w:instrText xml:space="preserve"> PAGEREF _Toc242266109 \h </w:instrText>
              <w:fldChar w:fldCharType="separate"/>
              <w:t>97</w:t>
              <w:fldChar w:fldCharType="end"/>
            </w:r>
          </w:hyperlink>
        </w:p>
        <w:p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fldChar w:fldCharType="begin"/>
              <w:instrText xml:space="preserve"> PAGEREF _Toc900001 \h </w:instrText>
              <w:fldChar w:fldCharType="separate"/>
              <w:t>97</w:t>
              <w:fldChar w:fldCharType="end"/>
            </w:r>
          </w:hyperlink>
        </w:p>
        <w:p w14:paraId="109F7770" w14:textId="04B9D064"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fldChar w:fldCharType="begin"/>
              <w:instrText xml:space="preserve"> PAGEREF _Toc242266110 \h </w:instrText>
              <w:fldChar w:fldCharType="separate"/>
              <w:t>99</w:t>
              <w:fldChar w:fldCharType="end"/>
            </w:r>
          </w:hyperlink>
        </w:p>
        <w:p w14:paraId="50B5BF8E" w14:textId="264C40A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fldChar w:fldCharType="begin"/>
              <w:instrText xml:space="preserve"> PAGEREF _Toc242266111 \h </w:instrText>
              <w:fldChar w:fldCharType="separate"/>
              <w:t>99</w:t>
              <w:fldChar w:fldCharType="end"/>
            </w:r>
          </w:hyperlink>
        </w:p>
        <w:p w14:paraId="67828971" w14:textId="0DC3283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fldChar w:fldCharType="begin"/>
              <w:instrText xml:space="preserve"> PAGEREF _Toc242266112 \h </w:instrText>
              <w:fldChar w:fldCharType="separate"/>
              <w:t>99</w:t>
              <w:fldChar w:fldCharType="end"/>
            </w:r>
          </w:hyperlink>
        </w:p>
        <w:p w14:paraId="15DFB29C" w14:textId="6094770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fldChar w:fldCharType="begin"/>
              <w:instrText xml:space="preserve"> PAGEREF _Toc242266113 \h </w:instrText>
              <w:fldChar w:fldCharType="separate"/>
              <w:t>99</w:t>
              <w:fldChar w:fldCharType="end"/>
            </w:r>
          </w:hyperlink>
        </w:p>
        <w:p w14:paraId="41D3B621" w14:textId="62C29A1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fldChar w:fldCharType="begin"/>
              <w:instrText xml:space="preserve"> PAGEREF _Toc242266114 \h </w:instrText>
              <w:fldChar w:fldCharType="separate"/>
              <w:t>100</w:t>
              <w:fldChar w:fldCharType="end"/>
            </w:r>
          </w:hyperlink>
        </w:p>
        <w:p w14:paraId="71FEF750" w14:textId="656069AB"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fldChar w:fldCharType="begin"/>
              <w:instrText xml:space="preserve"> PAGEREF _Toc242266115 \h </w:instrText>
              <w:fldChar w:fldCharType="separate"/>
              <w:t>100</w:t>
              <w:fldChar w:fldCharType="end"/>
            </w:r>
          </w:hyperlink>
        </w:p>
        <w:p w14:paraId="5D62A468" w14:textId="50C856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fldChar w:fldCharType="begin"/>
              <w:instrText xml:space="preserve"> PAGEREF _Toc242266116 \h </w:instrText>
              <w:fldChar w:fldCharType="separate"/>
              <w:t>100</w:t>
              <w:fldChar w:fldCharType="end"/>
            </w:r>
          </w:hyperlink>
        </w:p>
        <w:p w14:paraId="2C4A1CCC" w14:textId="6534288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fldChar w:fldCharType="begin"/>
              <w:instrText xml:space="preserve"> PAGEREF _Toc242266117 \h </w:instrText>
              <w:fldChar w:fldCharType="separate"/>
              <w:t>101</w:t>
              <w:fldChar w:fldCharType="end"/>
            </w:r>
          </w:hyperlink>
        </w:p>
        <w:p w14:paraId="323F90FB" w14:textId="46D045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fldChar w:fldCharType="begin"/>
              <w:instrText xml:space="preserve"> PAGEREF _Toc242266118 \h </w:instrText>
              <w:fldChar w:fldCharType="separate"/>
              <w:t>101</w:t>
              <w:fldChar w:fldCharType="end"/>
            </w:r>
          </w:hyperlink>
        </w:p>
        <w:p w14:paraId="4BA9C2FA" w14:textId="5998105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fldChar w:fldCharType="begin"/>
              <w:instrText xml:space="preserve"> PAGEREF _Toc242266119 \h </w:instrText>
              <w:fldChar w:fldCharType="separate"/>
              <w:t>102</w:t>
              <w:fldChar w:fldCharType="end"/>
            </w:r>
          </w:hyperlink>
        </w:p>
        <w:p w14:paraId="4AA9C9D6" w14:textId="002898E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fldChar w:fldCharType="begin"/>
              <w:instrText xml:space="preserve"> PAGEREF _Toc242266120 \h </w:instrText>
              <w:fldChar w:fldCharType="separate"/>
              <w:t>102</w:t>
              <w:fldChar w:fldCharType="end"/>
            </w:r>
          </w:hyperlink>
        </w:p>
        <w:p w14:paraId="6EB0E87D" w14:textId="776B6C7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fldChar w:fldCharType="begin"/>
              <w:instrText xml:space="preserve"> PAGEREF _Toc242266121 \h </w:instrText>
              <w:fldChar w:fldCharType="separate"/>
              <w:t>102</w:t>
              <w:fldChar w:fldCharType="end"/>
            </w:r>
          </w:hyperlink>
        </w:p>
        <w:p w14:paraId="13D3E3C5" w14:textId="2914E55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fldChar w:fldCharType="begin"/>
              <w:instrText xml:space="preserve"> PAGEREF _Toc242266122 \h </w:instrText>
              <w:fldChar w:fldCharType="separate"/>
              <w:t>104</w:t>
              <w:fldChar w:fldCharType="end"/>
            </w:r>
          </w:hyperlink>
        </w:p>
        <w:p w14:paraId="42D5C6D2" w14:textId="6B0E29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fldChar w:fldCharType="begin"/>
              <w:instrText xml:space="preserve"> PAGEREF _Toc242266123 \h </w:instrText>
              <w:fldChar w:fldCharType="separate"/>
              <w:t>104</w:t>
              <w:fldChar w:fldCharType="end"/>
            </w:r>
          </w:hyperlink>
        </w:p>
        <w:p w14:paraId="1E39405B" w14:textId="2257C5D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fldChar w:fldCharType="begin"/>
              <w:instrText xml:space="preserve"> PAGEREF _Toc242266124 \h </w:instrText>
              <w:fldChar w:fldCharType="separate"/>
              <w:t>104</w:t>
              <w:fldChar w:fldCharType="end"/>
            </w:r>
          </w:hyperlink>
        </w:p>
        <w:p w14:paraId="1566A346" w14:textId="40F0A21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fldChar w:fldCharType="begin"/>
              <w:instrText xml:space="preserve"> PAGEREF _Toc242266125 \h </w:instrText>
              <w:fldChar w:fldCharType="separate"/>
              <w:t>104</w:t>
              <w:fldChar w:fldCharType="end"/>
            </w:r>
          </w:hyperlink>
        </w:p>
        <w:p w14:paraId="1D928175" w14:textId="38366EF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fldChar w:fldCharType="begin"/>
              <w:instrText xml:space="preserve"> PAGEREF _Toc242266126 \h </w:instrText>
              <w:fldChar w:fldCharType="separate"/>
              <w:t>105</w:t>
              <w:fldChar w:fldCharType="end"/>
            </w:r>
          </w:hyperlink>
        </w:p>
        <w:p w14:paraId="187D34DB" w14:textId="2E88D383"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fldChar w:fldCharType="begin"/>
              <w:instrText xml:space="preserve"> PAGEREF _Toc242266127 \h </w:instrText>
              <w:fldChar w:fldCharType="separate"/>
              <w:t>106</w:t>
              <w:fldChar w:fldCharType="end"/>
            </w:r>
          </w:hyperlink>
        </w:p>
        <w:p w14:paraId="166176C0" w14:textId="42B9C3A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fldChar w:fldCharType="begin"/>
              <w:instrText xml:space="preserve"> PAGEREF _Toc242266128 \h </w:instrText>
              <w:fldChar w:fldCharType="separate"/>
              <w:t>106</w:t>
              <w:fldChar w:fldCharType="end"/>
            </w:r>
          </w:hyperlink>
        </w:p>
        <w:p w14:paraId="34155847" w14:textId="72BE8E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fldChar w:fldCharType="begin"/>
              <w:instrText xml:space="preserve"> PAGEREF _Toc242266129 \h </w:instrText>
              <w:fldChar w:fldCharType="separate"/>
              <w:t>106</w:t>
              <w:fldChar w:fldCharType="end"/>
            </w:r>
          </w:hyperlink>
        </w:p>
        <w:p w14:paraId="31E85BEF" w14:textId="420896E3"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fldChar w:fldCharType="begin"/>
              <w:instrText xml:space="preserve"> PAGEREF _Toc242266130 \h </w:instrText>
              <w:fldChar w:fldCharType="separate"/>
              <w:t>108</w:t>
              <w:fldChar w:fldCharType="end"/>
            </w:r>
          </w:hyperlink>
        </w:p>
        <w:p w14:paraId="3A1BA5E2" w14:textId="083E9D2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fldChar w:fldCharType="begin"/>
              <w:instrText xml:space="preserve"> PAGEREF _Toc242266131 \h </w:instrText>
              <w:fldChar w:fldCharType="separate"/>
              <w:t>108</w:t>
              <w:fldChar w:fldCharType="end"/>
            </w:r>
          </w:hyperlink>
        </w:p>
        <w:p w14:paraId="51B7A292" w14:textId="798A516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fldChar w:fldCharType="begin"/>
              <w:instrText xml:space="preserve"> PAGEREF _Toc242266132 \h </w:instrText>
              <w:fldChar w:fldCharType="separate"/>
              <w:t>110</w:t>
              <w:fldChar w:fldCharType="end"/>
            </w:r>
          </w:hyperlink>
        </w:p>
        <w:p w14:paraId="0CE4A238" w14:textId="1DFF1D50"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fldChar w:fldCharType="begin"/>
              <w:instrText xml:space="preserve"> PAGEREF _Toc242266133 \h </w:instrText>
              <w:fldChar w:fldCharType="separate"/>
              <w:t>112</w:t>
              <w:fldChar w:fldCharType="end"/>
            </w:r>
          </w:hyperlink>
        </w:p>
        <w:p w14:paraId="3A2FF664" w14:textId="2ABB9D96"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fldChar w:fldCharType="begin"/>
              <w:instrText xml:space="preserve"> PAGEREF _Toc242266134 \h </w:instrText>
              <w:fldChar w:fldCharType="separate"/>
              <w:t>113</w:t>
              <w:fldChar w:fldCharType="end"/>
            </w:r>
          </w:hyperlink>
        </w:p>
        <w:p w14:paraId="5D0C2F12" w14:textId="638DF1E0"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fldChar w:fldCharType="begin"/>
              <w:instrText xml:space="preserve"> PAGEREF _Toc242266135 \h </w:instrText>
              <w:fldChar w:fldCharType="separate"/>
              <w:t>116</w:t>
              <w:fldChar w:fldCharType="end"/>
            </w:r>
          </w:hyperlink>
        </w:p>
        <w:p w14:paraId="3776B017" w14:textId="25B70AAF"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fldChar w:fldCharType="begin"/>
              <w:instrText xml:space="preserve"> PAGEREF _Toc242266136 \h </w:instrText>
              <w:fldChar w:fldCharType="separate"/>
              <w:t>119</w:t>
              <w:fldChar w:fldCharType="end"/>
            </w:r>
          </w:hyperlink>
        </w:p>
        <w:p w14:paraId="5F4E2112" w14:textId="79CC3A1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fldChar w:fldCharType="begin"/>
              <w:instrText xml:space="preserve"> PAGEREF _Toc242266137 \h </w:instrText>
              <w:fldChar w:fldCharType="separate"/>
              <w:t>121</w:t>
              <w:fldChar w:fldCharType="end"/>
            </w:r>
          </w:hyperlink>
        </w:p>
        <w:p w14:paraId="53578AA7" w14:textId="0F9AAF0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fldChar w:fldCharType="begin"/>
              <w:instrText xml:space="preserve"> PAGEREF _Toc242266138 \h </w:instrText>
              <w:fldChar w:fldCharType="separate"/>
              <w:t>122</w:t>
              <w:fldChar w:fldCharType="end"/>
            </w:r>
          </w:hyperlink>
        </w:p>
        <w:p w14:paraId="606EFDB6" w14:textId="16EF3B96"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fldChar w:fldCharType="begin"/>
              <w:instrText xml:space="preserve"> PAGEREF _Toc242266139 \h </w:instrText>
              <w:fldChar w:fldCharType="separate"/>
              <w:t>124</w:t>
              <w:fldChar w:fldCharType="end"/>
            </w:r>
          </w:hyperlink>
        </w:p>
        <w:p w14:paraId="1D080F2D" w14:textId="56FCF164"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fldChar w:fldCharType="begin"/>
              <w:instrText xml:space="preserve"> PAGEREF _Toc242266140 \h </w:instrText>
              <w:fldChar w:fldCharType="separate"/>
              <w:t>126</w:t>
              <w:fldChar w:fldCharType="end"/>
            </w:r>
          </w:hyperlink>
        </w:p>
        <w:p w14:paraId="593B05F1" w14:textId="71D01F64"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fldChar w:fldCharType="begin"/>
              <w:instrText xml:space="preserve"> PAGEREF _Toc242266141 \h </w:instrText>
              <w:fldChar w:fldCharType="separate"/>
              <w:t>126</w:t>
              <w:fldChar w:fldCharType="end"/>
            </w:r>
          </w:hyperlink>
        </w:p>
        <w:p w14:paraId="485FCB29" w14:textId="3DF3EDB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fldChar w:fldCharType="begin"/>
              <w:instrText xml:space="preserve"> PAGEREF _Toc242266142 \h </w:instrText>
              <w:fldChar w:fldCharType="separate"/>
              <w:t>126</w:t>
              <w:fldChar w:fldCharType="end"/>
            </w:r>
          </w:hyperlink>
        </w:p>
        <w:p w14:paraId="1E01D138" w14:textId="5C831E3E"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fldChar w:fldCharType="begin"/>
              <w:instrText xml:space="preserve"> PAGEREF _Toc242266143 \h </w:instrText>
              <w:fldChar w:fldCharType="separate"/>
              <w:t>127</w:t>
              <w:fldChar w:fldCharType="end"/>
            </w:r>
          </w:hyperlink>
        </w:p>
        <w:p w14:paraId="46C40558" w14:textId="0F98EC5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fldChar w:fldCharType="begin"/>
              <w:instrText xml:space="preserve"> PAGEREF _Toc242266144 \h </w:instrText>
              <w:fldChar w:fldCharType="separate"/>
              <w:t>127</w:t>
              <w:fldChar w:fldCharType="end"/>
            </w:r>
          </w:hyperlink>
        </w:p>
        <w:p w14:paraId="690DDD0E" w14:textId="55252BB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fldChar w:fldCharType="begin"/>
              <w:instrText xml:space="preserve"> PAGEREF _Toc242266145 \h </w:instrText>
              <w:fldChar w:fldCharType="separate"/>
              <w:t>128</w:t>
              <w:fldChar w:fldCharType="end"/>
            </w:r>
          </w:hyperlink>
        </w:p>
        <w:p w14:paraId="53E644FE" w14:textId="4E77813A"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fldChar w:fldCharType="begin"/>
              <w:instrText xml:space="preserve"> PAGEREF _Toc242266146 \h </w:instrText>
              <w:fldChar w:fldCharType="separate"/>
              <w:t>128</w:t>
              <w:fldChar w:fldCharType="end"/>
            </w:r>
          </w:hyperlink>
        </w:p>
        <w:p w14:paraId="43F1951F" w14:textId="3881F379"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fldChar w:fldCharType="begin"/>
              <w:instrText xml:space="preserve"> PAGEREF _Toc242266147 \h </w:instrText>
              <w:fldChar w:fldCharType="separate"/>
              <w:t>129</w:t>
              <w:fldChar w:fldCharType="end"/>
            </w:r>
          </w:hyperlink>
        </w:p>
        <w:p w14:paraId="25F29FBA" w14:textId="2A9BD81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fldChar w:fldCharType="begin"/>
              <w:instrText xml:space="preserve"> PAGEREF _Toc242266148 \h </w:instrText>
              <w:fldChar w:fldCharType="separate"/>
              <w:t>130</w:t>
              <w:fldChar w:fldCharType="end"/>
            </w:r>
          </w:hyperlink>
        </w:p>
        <w:p w14:paraId="67E677C3" w14:textId="07A3724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fldChar w:fldCharType="begin"/>
              <w:instrText xml:space="preserve"> PAGEREF _Toc242266149 \h </w:instrText>
              <w:fldChar w:fldCharType="separate"/>
              <w:t>130</w:t>
              <w:fldChar w:fldCharType="end"/>
            </w:r>
          </w:hyperlink>
        </w:p>
        <w:p w14:paraId="0F8D61D6" w14:textId="7BE9BC26"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fldChar w:fldCharType="begin"/>
              <w:instrText xml:space="preserve"> PAGEREF _Toc242266150 \h </w:instrText>
              <w:fldChar w:fldCharType="separate"/>
              <w:t>130</w:t>
              <w:fldChar w:fldCharType="end"/>
            </w:r>
          </w:hyperlink>
        </w:p>
        <w:p w14:paraId="3DEF1B18" w14:textId="566EDAA5"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fldChar w:fldCharType="begin"/>
              <w:instrText xml:space="preserve"> PAGEREF _Toc242266151 \h </w:instrText>
              <w:fldChar w:fldCharType="separate"/>
              <w:t>132</w:t>
              <w:fldChar w:fldCharType="end"/>
            </w:r>
          </w:hyperlink>
        </w:p>
        <w:p w14:paraId="18EF4515" w14:textId="65A6FAF0"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fldChar w:fldCharType="begin"/>
              <w:instrText xml:space="preserve"> PAGEREF _Toc242266152 \h </w:instrText>
              <w:fldChar w:fldCharType="separate"/>
              <w:t>134</w:t>
              <w:fldChar w:fldCharType="end"/>
            </w:r>
          </w:hyperlink>
        </w:p>
        <w:p w14:paraId="2E39F68B" w14:textId="5B5328F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fldChar w:fldCharType="begin"/>
              <w:instrText xml:space="preserve"> PAGEREF _Toc242266153 \h </w:instrText>
              <w:fldChar w:fldCharType="separate"/>
              <w:t>134</w:t>
              <w:fldChar w:fldCharType="end"/>
            </w:r>
          </w:hyperlink>
        </w:p>
        <w:p w14:paraId="00B40A04" w14:textId="720F0815"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fldChar w:fldCharType="begin"/>
              <w:instrText xml:space="preserve"> PAGEREF _Toc242266154 \h </w:instrText>
              <w:fldChar w:fldCharType="separate"/>
              <w:t>135</w:t>
              <w:fldChar w:fldCharType="end"/>
            </w:r>
          </w:hyperlink>
        </w:p>
        <w:p w14:paraId="15F0F4ED" w14:textId="6FDC688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H.4 Pointwise and BH reporting</w:t>
            </w:r>
            <w:r>
              <w:rPr>
                <w:noProof/>
                <w:webHidden/>
              </w:rPr>
              <w:tab/>
              <w:fldChar w:fldCharType="begin"/>
              <w:instrText xml:space="preserve"> PAGEREF _Toc242266155 \h </w:instrText>
              <w:fldChar w:fldCharType="separate"/>
              <w:t>135</w:t>
              <w:fldChar w:fldCharType="end"/>
            </w:r>
          </w:hyperlink>
        </w:p>
        <w:p w14:paraId="57F0E7C9" w14:textId="381D2393"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fldChar w:fldCharType="begin"/>
              <w:instrText xml:space="preserve"> PAGEREF _Toc242266156 \h </w:instrText>
              <w:fldChar w:fldCharType="separate"/>
              <w:t>136</w:t>
              <w:fldChar w:fldCharType="end"/>
            </w:r>
          </w:hyperlink>
        </w:p>
        <w:p w14:paraId="4AB91671" w14:textId="4FF8FE7F" w:rsidR="004F44B0" w:rsidRDefault="004F44B0">
          <w:pPr>
            <w:pStyle w:val="TOC1"/>
            <w:tabs>
              <w:tab w:val="right" w:leader="dot" w:pos="9359"/>
            </w:tabs>
          </w:pPr>
          <w:r>
            <w:rPr>
              <w:rStyle w:val="IndexLink"/>
            </w:rPr>
            <w:fldChar w:fldCharType="end"/>
          </w:r>
        </w:p>
      </w:sdtContent>
    </w:sdt>
    <w:p w14:paraId="399ED1AE"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1CDED7E1"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2C0C9A26"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pPr>
        <w:pStyle w:val="Normal"/>
      </w:pPr>
      <w:r>
        <w:t xml:space="preserve">QER methodology revision. This manual describes candidate 5.2.0-rc.6-wizard.5.14 (w5n). It corrects log-area estimation, bootstrap benchmarking, numerical convergence and joint uncertainty. Historical screenshots and country-example figures illustrate the workflow; regenerate country results with this revision before using their numerical conclusions. The implementation checks and simulation evidence are documented in docs/METHODOLOGY_ALIGNMENT.md and docs/MCPE_VALIDATION_STATUS.md.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14:paraId="7A825B40"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75F38FF9" w14:textId="77777777" w:rsidR="0071327A" w:rsidRDefault="00162135">
      <w:pPr>
        <w:pStyle w:val="BodyText"/>
      </w:pPr>
      <w:r>
        <w:rPr>
          <w:b/>
        </w:rPr>
        <w:t xml:space="preserve">Methodological basis and code contributions. </w:t>
      </w:r>
      <w:r>
        <w:t>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1BE728B0" w14:textId="77777777"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0E10AAB4" w14:textId="77777777"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w:t>
        <w:lastRenderedPageBreak/>
        <w:t>and temporal borrowing, and the interpretation of EBLUPs under possible covariance misspecification. The 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07168C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09CE36CD" w14:textId="77777777" w:rsidR="004303FC" w:rsidRPr="004303FC" w:rsidRDefault="004303FC" w:rsidP="004303FC">
      <w:pPr>
        <w:pStyle w:val="BodyText"/>
      </w:pPr>
      <w:r>
        <w:t>How to use this note. Start with Section 11 for installation and a complete walkthrough of the six wizard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4718FE09" w14:textId="77777777" w:rsidR="004303FC" w:rsidRPr="004303FC" w:rsidRDefault="004303FC" w:rsidP="004303FC">
      <w:pPr>
        <w:pStyle w:val="BodyText"/>
      </w:pPr>
      <w:r>
        <w:t>The companion EU SAE User Guide slide deck follows four parts: setup, the complete wizard workflow, worked examples of the three analyses, and optional AI assistance. Section 11 follows the same sequence through the workflow and examples. The statistical estimates do not depend on enabling AI.</w:t>
      </w:r>
    </w:p>
    <w:p w14:paraId="24D67584" w14:textId="77777777" w:rsidR="008D263D" w:rsidRDefault="00733D29">
      <w:pPr>
        <w:pStyle w:val="Heading2"/>
      </w:pPr>
      <w:bookmarkStart w:id="3" w:name="_Toc242265975"/>
      <w:r>
        <w:t>5.2.0-rc.6 release-candidate update</w:t>
      </w:r>
      <w:bookmarkEnd w:id="3"/>
    </w:p>
    <w:p w14:paraId="5266FF0D"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5453751B"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20C06F6B"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117F10D9" w14:textId="77777777" w:rsidR="008D263D" w:rsidRDefault="00733D29">
      <w:pPr>
        <w:pStyle w:val="BodyText"/>
      </w:pPr>
      <w:r>
        <w:lastRenderedPageBreak/>
        <w:t>UFH and MFH now include optional LASSO covariate screening before AIC/BIC stepwise selection. LASSO is a screening stage only; the final model is still selected by the existing information-criterion stepwise procedure.</w:t>
      </w:r>
    </w:p>
    <w:p w14:paraId="52B6186B"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ED39491"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05F75466"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w:t>
      </w:r>
      <w:r>
        <w:t xml:space="preserve">entered in Step 3 as one numeric line per survey year or stored in a survey column</w:t>
      </w:r>
      <w:r>
        <w:t xml:space="preserve"> (Section 11.11).</w:t>
      </w:r>
    </w:p>
    <w:p w14:paraId="7C6D78BC"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benchmarked estimates reproduce the uploaded targets (Sections 7.12 and G.6). The report's box plots now show the estimated changes and their RMSEs for Direct, UFH, UFH benchmarked, MFH, and MFH benchmarked (Section 11.13).</w:t>
      </w:r>
    </w:p>
    <w:p w14:paraId="0EBDC088" w14:textId="77777777" w:rsidR="004F44B0" w:rsidRDefault="004F44B0">
      <w:pPr>
        <w:pStyle w:val="BodyText"/>
      </w:pPr>
    </w:p>
    <w:p w14:paraId="208FDB2E"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49D828E9" w14:textId="77777777" w:rsidR="004F44B0" w:rsidRDefault="001F4DFD">
      <w:pPr>
        <w:pStyle w:val="Heading1"/>
        <w:spacing w:before="0"/>
        <w:rPr>
          <w:bCs/>
        </w:rPr>
      </w:pPr>
      <w:bookmarkStart w:id="6" w:name="_Toc242265976"/>
      <w:bookmarkEnd w:id="4"/>
      <w:bookmarkEnd w:id="5"/>
      <w:r>
        <w:rPr>
          <w:sz w:val="48"/>
        </w:rPr>
        <w:lastRenderedPageBreak/>
        <w:t>Section 1</w:t>
        <w:br/>
        <w:br/>
      </w:r>
      <w:r>
        <w:rPr>
          <w:bCs/>
        </w:rPr>
        <w:t>Introduction and Objectives</w:t>
      </w:r>
      <w:bookmarkEnd w:id="6"/>
    </w:p>
    <w:p w14:paraId="04A64B24"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A9D450B"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7E6EB433" w14:textId="77777777"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7803F67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4B125F3C"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1ADC6953"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14C1578B"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5848206C" w14:textId="77777777" w:rsidR="004F44B0" w:rsidRDefault="001F4DFD">
      <w:pPr>
        <w:pStyle w:val="FirstParagraph"/>
      </w:pPr>
      <w:r>
        <w:t>The guidance note is designed for four main groups of users.</w:t>
      </w:r>
    </w:p>
    <w:p w14:paraId="6210C086"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7B6C719"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7A00CB91"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0B8E7071"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727C4EC7"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25E71D2F"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2E575557"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6771A619" w14:textId="77777777" w:rsidR="004F44B0" w:rsidRDefault="001F4DFD">
      <w:pPr>
        <w:pStyle w:val="BodyText"/>
      </w:pPr>
      <w:r>
        <w:t>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0DFDEF77"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61D86EA9"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471A3FB5"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550AD553"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1BA6B170"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4F1D8D2"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D17E6E7"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0901F401" w14:textId="77777777"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Dashboard” means the EU SAE application as a whole; it has two interfaces, the six-step wizard (recommended for routine use) and the classic dashboard.</w:t>
      </w:r>
    </w:p>
    <w:p w14:paraId="2AFA73CD"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6539441B" w14:textId="77777777" w:rsidR="0071327A" w:rsidRDefault="00162135">
      <w:pPr>
        <w:pStyle w:val="Heading3"/>
      </w:pPr>
      <w:bookmarkStart w:id="22" w:name="_Toc242265982"/>
      <w:r>
        <w:t>Companion technical notes and where to use them</w:t>
      </w:r>
      <w:bookmarkEnd w:id="22"/>
    </w:p>
    <w:p w14:paraId="60F6A855" w14:textId="77777777" w:rsidR="0071327A" w:rsidRDefault="00162135">
      <w:pPr>
        <w:pStyle w:val="FirstParagraph"/>
      </w:pPr>
      <w:r>
        <w:t>The files listed below are supplied in the docs/guidance/Technical notes folder. They support implementation rather than providing instructions for running the Dashboard. This guidance incorporates their stable methodological conclusions while identifying one release-specific rule that supersedes older wording in the notes: sm_out replaces only missing, non-finite, or strictly below-0.001 direct variances. The MSE note, like this guidance, treats pointwise significance as primary and BH as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2C614D6B" w14:textId="77777777">
        <w:trPr>
          <w:cantSplit/>
          <w:tblHeader/>
        </w:trPr>
        <w:tc>
          <w:tcPr>
            <w:tcW w:w="2500" w:type="dxa"/>
            <w:shd w:val="clear" w:color="auto" w:fill="2F5597"/>
            <w:tcMar>
              <w:top w:w="90" w:type="dxa"/>
              <w:left w:w="100" w:type="dxa"/>
              <w:bottom w:w="90" w:type="dxa"/>
              <w:right w:w="100" w:type="dxa"/>
            </w:tcMar>
          </w:tcPr>
          <w:p w14:paraId="71A4ADA0"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55A5D0C7"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554753A9" w14:textId="77777777" w:rsidR="0071327A" w:rsidRDefault="00162135">
            <w:pPr>
              <w:spacing w:after="40" w:line="240" w:lineRule="auto"/>
              <w:jc w:val="left"/>
            </w:pPr>
            <w:r>
              <w:rPr>
                <w:b/>
                <w:color w:val="FFFFFF"/>
                <w:sz w:val="18"/>
              </w:rPr>
              <w:t>Where incorporated</w:t>
            </w:r>
          </w:p>
        </w:tc>
      </w:tr>
      <w:tr w:rsidR="0071327A" w14:paraId="6F01A91A" w14:textId="77777777">
        <w:trPr>
          <w:cantSplit/>
        </w:trPr>
        <w:tc>
          <w:tcPr>
            <w:tcW w:w="2500" w:type="dxa"/>
            <w:tcMar>
              <w:top w:w="90" w:type="dxa"/>
              <w:left w:w="100" w:type="dxa"/>
              <w:bottom w:w="90" w:type="dxa"/>
              <w:right w:w="100" w:type="dxa"/>
            </w:tcMar>
          </w:tcPr>
          <w:p w14:paraId="2BE3BF3D"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5B2C57EE" w14:textId="77777777" w:rsidR="0071327A" w:rsidRDefault="00162135">
            <w:pPr>
              <w:spacing w:after="40" w:line="240" w:lineRule="auto"/>
              <w:jc w:val="left"/>
            </w:pPr>
            <w:r>
              <w:rPr>
                <w:sz w:val="17"/>
              </w:rPr>
              <w:t xml:space="preserve">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4F363E52" w14:textId="77777777" w:rsidR="0071327A" w:rsidRDefault="00162135">
            <w:pPr>
              <w:spacing w:after="40" w:line="240" w:lineRule="auto"/>
              <w:jc w:val="left"/>
            </w:pPr>
            <w:r>
              <w:rPr>
                <w:sz w:val="17"/>
              </w:rPr>
              <w:t>Sections 8.5 and 8.9; Annex G.9</w:t>
            </w:r>
          </w:p>
        </w:tc>
      </w:tr>
      <w:tr w:rsidR="0071327A" w14:paraId="48701872" w14:textId="77777777">
        <w:trPr>
          <w:cantSplit/>
        </w:trPr>
        <w:tc>
          <w:tcPr>
            <w:tcW w:w="2500" w:type="dxa"/>
            <w:shd w:val="clear" w:color="auto" w:fill="F3F6FA"/>
            <w:tcMar>
              <w:top w:w="90" w:type="dxa"/>
              <w:left w:w="100" w:type="dxa"/>
              <w:bottom w:w="90" w:type="dxa"/>
              <w:right w:w="100" w:type="dxa"/>
            </w:tcMar>
          </w:tcPr>
          <w:p w14:paraId="2DC13811"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6890B41F"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125B0233" w14:textId="77777777" w:rsidR="0071327A" w:rsidRDefault="00162135">
            <w:pPr>
              <w:spacing w:after="40" w:line="240" w:lineRule="auto"/>
              <w:jc w:val="left"/>
            </w:pPr>
            <w:r>
              <w:rPr>
                <w:sz w:val="17"/>
              </w:rPr>
              <w:t>Sections 6.7 and 8.7; Annex G.8</w:t>
            </w:r>
          </w:p>
        </w:tc>
      </w:tr>
      <w:tr w:rsidR="0071327A" w14:paraId="6DB9C265" w14:textId="77777777">
        <w:trPr>
          <w:cantSplit/>
        </w:trPr>
        <w:tc>
          <w:tcPr>
            <w:tcW w:w="2500" w:type="dxa"/>
            <w:tcMar>
              <w:top w:w="90" w:type="dxa"/>
              <w:left w:w="100" w:type="dxa"/>
              <w:bottom w:w="90" w:type="dxa"/>
              <w:right w:w="100" w:type="dxa"/>
            </w:tcMar>
          </w:tcPr>
          <w:p w14:paraId="0F66B6EB"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7283FF41" w14:textId="77777777" w:rsidR="0071327A" w:rsidRDefault="00162135">
            <w:pPr>
              <w:spacing w:after="40" w:line="240" w:lineRule="auto"/>
              <w:jc w:val="left"/>
            </w:pPr>
            <w:r>
              <w:rPr>
                <w:sz w:val="17"/>
              </w:rPr>
              <w:t xml:space="preserve">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4CE44F0F" w14:textId="77777777" w:rsidR="0071327A" w:rsidRDefault="00162135">
            <w:pPr>
              <w:spacing w:after="40" w:line="240" w:lineRule="auto"/>
              <w:jc w:val="left"/>
            </w:pPr>
            <w:r>
              <w:rPr>
                <w:sz w:val="17"/>
              </w:rPr>
              <w:t>Sections 7.12 and 8.12; Sections 12 and 15.3; Annexes G.6-G.7 and H.2-H.4</w:t>
            </w:r>
          </w:p>
        </w:tc>
      </w:tr>
      <w:tr w:rsidR="0071327A" w14:paraId="0613A431" w14:textId="77777777">
        <w:trPr>
          <w:cantSplit/>
        </w:trPr>
        <w:tc>
          <w:tcPr>
            <w:tcW w:w="2500" w:type="dxa"/>
            <w:shd w:val="clear" w:color="auto" w:fill="F3F6FA"/>
            <w:tcMar>
              <w:top w:w="90" w:type="dxa"/>
              <w:left w:w="100" w:type="dxa"/>
              <w:bottom w:w="90" w:type="dxa"/>
              <w:right w:w="100" w:type="dxa"/>
            </w:tcMar>
          </w:tcPr>
          <w:p w14:paraId="0A6395A1"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96FFB8F"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48126E05" w14:textId="77777777" w:rsidR="0071327A" w:rsidRDefault="00162135">
            <w:pPr>
              <w:spacing w:after="40" w:line="240" w:lineRule="auto"/>
              <w:jc w:val="left"/>
            </w:pPr>
            <w:r>
              <w:rPr>
                <w:sz w:val="17"/>
              </w:rPr>
              <w:t>Sections 7.3, 8.11, 9.7, 15.4, and 15.5; Annex G.10</w:t>
            </w:r>
          </w:p>
        </w:tc>
      </w:tr>
    </w:tbl>
    <w:p w14:paraId="3A8E8E45"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br/>
        <w:br/>
      </w:r>
      <w:r>
        <w:rPr>
          <w:bCs/>
        </w:rPr>
        <w:t>Overview of the Poverty Mapping Workflow</w:t>
      </w:r>
      <w:bookmarkEnd w:id="25"/>
    </w:p>
    <w:p w14:paraId="09F4B5D3"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0BF02171"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163FB1F6"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249AEFE7" w14:textId="77777777" w:rsidR="004F44B0" w:rsidRDefault="001F4DFD">
      <w:pPr>
        <w:pStyle w:val="ImageCaption"/>
      </w:pPr>
      <w:r>
        <w:t>Figure 1. The seven-step poverty-mapping workflow.</w:t>
      </w:r>
    </w:p>
    <w:p w14:paraId="66F239F9" w14:textId="77777777" w:rsidR="00AF3316" w:rsidRDefault="00AF3316">
      <w:pPr>
        <w:pStyle w:val="BodyText"/>
        <w:rPr>
          <w:b/>
        </w:rPr>
      </w:pPr>
    </w:p>
    <w:p w14:paraId="75A6E31D" w14:textId="77777777" w:rsidR="004F44B0" w:rsidRDefault="001F4DFD">
      <w:pPr>
        <w:pStyle w:val="BodyText"/>
      </w:pPr>
      <w:r>
        <w:rPr>
          <w:b/>
        </w:rPr>
        <w:lastRenderedPageBreak/>
        <w:t>Step 1. Prepare the household survey microdata.</w:t>
      </w:r>
    </w:p>
    <w:p w14:paraId="1E63D1B0" w14:textId="77777777" w:rsidR="004F44B0" w:rsidRDefault="001F4DFD">
      <w:pPr>
        <w:pStyle w:val="BodyText"/>
      </w:pPr>
      <w:r>
        <w:t>The survey data must contain the welfare variable, survey weights, household size for person weighting,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7670140B" w14:textId="77777777" w:rsidR="004F44B0" w:rsidRDefault="001F4DFD">
      <w:pPr>
        <w:pStyle w:val="BodyText"/>
      </w:pPr>
      <w:r>
        <w:rPr>
          <w:b/>
        </w:rPr>
        <w:t>Step 2. Prepare the area-level auxiliary data.</w:t>
      </w:r>
    </w:p>
    <w:p w14:paraId="44BDD24C"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41398174" w14:textId="77777777" w:rsidR="004F44B0" w:rsidRDefault="001F4DFD">
      <w:pPr>
        <w:pStyle w:val="BodyText"/>
      </w:pPr>
      <w:r>
        <w:rPr>
          <w:b/>
        </w:rPr>
        <w:t>Step 3. Compute direct estimates and sampling variances.</w:t>
      </w:r>
    </w:p>
    <w:p w14:paraId="562822CB"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5CCBB5EA" w14:textId="77777777" w:rsidR="004F44B0" w:rsidRDefault="001F4DFD">
      <w:pPr>
        <w:pStyle w:val="BodyText"/>
      </w:pPr>
      <w:r>
        <w:rPr>
          <w:b/>
        </w:rPr>
        <w:t>Step 4. Review the quality of the direct estimates.</w:t>
      </w:r>
    </w:p>
    <w:p w14:paraId="0E0EA8A1"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6367DB10" w14:textId="77777777" w:rsidR="004F44B0" w:rsidRDefault="001F4DFD">
      <w:pPr>
        <w:pStyle w:val="BodyText"/>
      </w:pPr>
      <w:r>
        <w:rPr>
          <w:b/>
        </w:rPr>
        <w:t>Step 5. Estimate UFH models.</w:t>
      </w:r>
    </w:p>
    <w:p w14:paraId="224BE5F5"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54C1A61E" w14:textId="77777777" w:rsidR="004F44B0" w:rsidRDefault="001F4DFD">
      <w:pPr>
        <w:pStyle w:val="BodyText"/>
      </w:pPr>
      <w:r>
        <w:rPr>
          <w:b/>
        </w:rPr>
        <w:t>Step 6. Estimate MFH models.</w:t>
      </w:r>
    </w:p>
    <w:p w14:paraId="240EBCFE"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64752BEC" w14:textId="77777777" w:rsidR="004F44B0" w:rsidRDefault="001F4DFD">
      <w:pPr>
        <w:pStyle w:val="BodyText"/>
      </w:pPr>
      <w:r>
        <w:rPr>
          <w:b/>
        </w:rPr>
        <w:t>Step 7. Compare, validate, map, and report results.</w:t>
      </w:r>
    </w:p>
    <w:p w14:paraId="7E22D9CB"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1A0A3184"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141A56AB"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517B9D0F" w14:textId="77777777"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0E453878"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10941C47"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1D0D8A9D" w14:textId="77777777"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2B8B7311"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1FCA1856" w14:textId="77777777" w:rsidR="004F44B0" w:rsidRDefault="001F4DFD">
      <w:pPr>
        <w:pStyle w:val="BodyText"/>
      </w:pPr>
      <w:r>
        <w:t>UFH should normally be reported even when MFH is used. It helps users understand how much the final estimates depend on the time-correlation structure introduced by MFH.</w:t>
      </w:r>
    </w:p>
    <w:p w14:paraId="271467D2"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54DFAF31"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2450C4B7"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4997791F"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530E6F87"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6BD98301" w14:textId="77777777" w:rsidR="004F44B0" w:rsidRDefault="001F4DFD">
      <w:pPr>
        <w:pStyle w:val="FirstParagraph"/>
      </w:pPr>
      <w:r>
        <w:t>The recommended reporting approach is to present direct, UFH, and MFH estimates together.</w:t>
      </w:r>
    </w:p>
    <w:p w14:paraId="1283ABF6"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6068B3B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2BC43C6B"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224E97C9"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3C21B55D" w14:textId="77777777" w:rsidR="004F44B0" w:rsidRDefault="001F4DFD">
      <w:pPr>
        <w:pStyle w:val="FirstParagraph"/>
      </w:pPr>
      <w:r>
        <w:t>Users should make several decisions before finalizing results.</w:t>
      </w:r>
    </w:p>
    <w:p w14:paraId="7437853A"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10FEF71D"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205ABC86"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53FF21DE"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7DC31C88"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412A9A46"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A6D357E" w14:textId="77777777" w:rsidR="004F44B0" w:rsidRDefault="001F4DFD">
      <w:pPr>
        <w:pStyle w:val="FirstParagraph"/>
      </w:pPr>
      <w:r>
        <w:t>For most applications, the recommended default workflow is:</w:t>
      </w:r>
    </w:p>
    <w:p w14:paraId="6AA9CFE1" w14:textId="77777777" w:rsidR="004F44B0" w:rsidRDefault="001F4DFD">
      <w:pPr>
        <w:numPr>
          <w:ilvl w:val="0"/>
          <w:numId w:val="7"/>
        </w:numPr>
      </w:pPr>
      <w:r>
        <w:t>Prepare and harmonize survey, auxiliary, population, and geographic data.</w:t>
      </w:r>
    </w:p>
    <w:p w14:paraId="0F98D1EB" w14:textId="77777777" w:rsidR="004F44B0" w:rsidRDefault="001F4DFD">
      <w:pPr>
        <w:numPr>
          <w:ilvl w:val="0"/>
          <w:numId w:val="7"/>
        </w:numPr>
      </w:pPr>
      <w:r>
        <w:t>Compute direct estimates and sampling variances for each area and year.</w:t>
      </w:r>
    </w:p>
    <w:p w14:paraId="74B9DC6A" w14:textId="77777777" w:rsidR="004F44B0" w:rsidRDefault="001F4DFD">
      <w:pPr>
        <w:numPr>
          <w:ilvl w:val="0"/>
          <w:numId w:val="7"/>
        </w:numPr>
      </w:pPr>
      <w:r>
        <w:t>Review direct estimates, sample sizes, standard errors, and coefficients of variation.</w:t>
      </w:r>
    </w:p>
    <w:p w14:paraId="1949C99E" w14:textId="77777777" w:rsidR="004F44B0" w:rsidRDefault="001F4DFD">
      <w:pPr>
        <w:numPr>
          <w:ilvl w:val="0"/>
          <w:numId w:val="7"/>
        </w:numPr>
      </w:pPr>
      <w:r>
        <w:lastRenderedPageBreak/>
        <w:t>Run UFH models separately by year.</w:t>
      </w:r>
    </w:p>
    <w:p w14:paraId="3EC876A9" w14:textId="77777777" w:rsidR="004F44B0" w:rsidRDefault="001F4DFD">
      <w:pPr>
        <w:numPr>
          <w:ilvl w:val="0"/>
          <w:numId w:val="7"/>
        </w:numPr>
      </w:pPr>
      <w:r>
        <w:t>Review UFH diagnostics and compare UFH estimates with direct estimates.</w:t>
      </w:r>
    </w:p>
    <w:p w14:paraId="2B7CF714" w14:textId="77777777" w:rsidR="004F44B0" w:rsidRDefault="001F4DFD">
      <w:pPr>
        <w:numPr>
          <w:ilvl w:val="0"/>
          <w:numId w:val="7"/>
        </w:numPr>
      </w:pPr>
      <w:r>
        <w:t>Run MFH models when two or more comparable years are available.</w:t>
      </w:r>
    </w:p>
    <w:p w14:paraId="741F9141" w14:textId="77777777" w:rsidR="004F44B0" w:rsidRDefault="001F4DFD">
      <w:pPr>
        <w:numPr>
          <w:ilvl w:val="0"/>
          <w:numId w:val="7"/>
        </w:numPr>
      </w:pPr>
      <w:r>
        <w:t>Compare direct, UFH, and MFH estimates.</w:t>
      </w:r>
    </w:p>
    <w:p w14:paraId="7A146664" w14:textId="77777777" w:rsidR="004F44B0" w:rsidRDefault="001F4DFD">
      <w:pPr>
        <w:numPr>
          <w:ilvl w:val="0"/>
          <w:numId w:val="7"/>
        </w:numPr>
      </w:pPr>
      <w:r>
        <w:t>Review uncertainty, diagnostics, sensitivity checks, and maps.</w:t>
      </w:r>
    </w:p>
    <w:p w14:paraId="7BA90D39" w14:textId="77777777" w:rsidR="004F44B0" w:rsidRDefault="001F4DFD">
      <w:pPr>
        <w:numPr>
          <w:ilvl w:val="0"/>
          <w:numId w:val="7"/>
        </w:numPr>
      </w:pPr>
      <w:r>
        <w:t>Select recommended estimates for reporting.</w:t>
      </w:r>
    </w:p>
    <w:p w14:paraId="1F6D5080" w14:textId="77777777" w:rsidR="004F44B0" w:rsidRDefault="001F4DFD">
      <w:pPr>
        <w:numPr>
          <w:ilvl w:val="0"/>
          <w:numId w:val="7"/>
        </w:numPr>
      </w:pPr>
      <w:r>
        <w:t>Document all data sources, model choices, diagnostics, limitations, and interpretation guidance.</w:t>
      </w:r>
    </w:p>
    <w:p w14:paraId="3FB5FDAA"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43D14151"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br/>
        <w:br/>
      </w:r>
      <w:r>
        <w:rPr>
          <w:bCs/>
        </w:rPr>
        <w:t>Data Requirements</w:t>
      </w:r>
      <w:bookmarkEnd w:id="49"/>
    </w:p>
    <w:p w14:paraId="4DC3A31B" w14:textId="77777777" w:rsidR="004F44B0" w:rsidRDefault="001F4DFD">
      <w:pPr>
        <w:pStyle w:val="FirstParagraph"/>
      </w:pPr>
      <w:r>
        <w:t>The wizard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6555251D"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0E7DAF5E"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06BD56DC" w14:textId="77777777" w:rsidR="004F44B0" w:rsidRDefault="001F4DFD">
      <w:pPr>
        <w:pStyle w:val="BodyText"/>
      </w:pPr>
      <w:r>
        <w:t>Survey microdata provide direct estimates and sampling variances; auxiliary data provide area-year covariates for UFH and MFH; and geometry provides boundaries for maps. A population file is optional. If it is omitted, the app estimates domain populations as the sum of survey weight multiplied by household size.</w:t>
      </w:r>
    </w:p>
    <w:p w14:paraId="28B9E1C2"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when credible higher-level estimates should be preserved. A CPI file is unnecessary when welfare is already real. CPI inputs are applied only to mean welfare; </w:t>
      </w:r>
      <w:r>
        <w:t xml:space="preserve">anchored poverty lines are entered as numeric values by survey year or supplied in a survey column (Section 11.11).</w:t>
      </w:r>
    </w:p>
    <w:p w14:paraId="7E168CEA" w14:textId="77777777" w:rsidR="004F44B0" w:rsidRDefault="001F4DFD">
      <w:pPr>
        <w:pStyle w:val="BodyText"/>
      </w:pPr>
      <w:r>
        <w:t>Domain codes must match across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4228EB1D"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D085FC" w14:textId="77777777" w:rsidR="004F44B0" w:rsidRDefault="001F4DFD">
      <w:pPr>
        <w:pStyle w:val="FirstParagraph"/>
      </w:pPr>
      <w:r>
        <w:t>Survey data provide direct poverty or mean-welfare estimates and their sampling variances for each target domain and survey year. Use one record per household or person, with a welfare measure and weights appropriate to person-level reporting. The welfare variable should already be per capita or equivalized where the methodology requires it; the app does not divide a household total by household size.</w:t>
      </w:r>
    </w:p>
    <w:p w14:paraId="78B0F534" w14:textId="77777777" w:rsidR="004F44B0" w:rsidRDefault="001F4DFD">
      <w:pPr>
        <w:pStyle w:val="BodyText"/>
      </w:pPr>
      <w:r>
        <w:t>The minimum required variables are:</w:t>
      </w:r>
    </w:p>
    <w:p w14:paraId="37BBB1DE" w14:textId="77777777" w:rsidR="004F44B0" w:rsidRDefault="001F4DFD">
      <w:pPr>
        <w:keepNext/>
        <w:spacing w:before="200" w:after="40" w:line="240" w:lineRule="auto"/>
        <w:jc w:val="center"/>
      </w:pPr>
      <w:r>
        <w:rPr>
          <w:rFonts w:cs="Times New Roman"/>
          <w:b/>
          <w:sz w:val="20"/>
        </w:rPr>
        <w:lastRenderedPageBreak/>
        <w:t>TABLE I</w:t>
      </w:r>
    </w:p>
    <w:p w14:paraId="36A373BB"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2297358" w14:textId="77777777">
        <w:trPr>
          <w:cantSplit/>
          <w:tblHeader/>
        </w:trPr>
        <w:tc>
          <w:tcPr>
            <w:tcW w:w="2880" w:type="dxa"/>
            <w:tcBorders>
              <w:top w:val="single" w:sz="12" w:space="0" w:color="000000"/>
              <w:bottom w:val="single" w:sz="4" w:space="0" w:color="000000"/>
            </w:tcBorders>
            <w:vAlign w:val="bottom"/>
          </w:tcPr>
          <w:p w14:paraId="379B9DD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803BAFD" w14:textId="77777777" w:rsidR="004F44B0" w:rsidRDefault="001F4DFD">
            <w:pPr>
              <w:pStyle w:val="Compact"/>
            </w:pPr>
            <w:r>
              <w:rPr>
                <w:rFonts w:cs="Times New Roman"/>
                <w:smallCaps/>
              </w:rPr>
              <w:t>Description</w:t>
            </w:r>
          </w:p>
        </w:tc>
      </w:tr>
      <w:tr w:rsidR="004F44B0" w14:paraId="1FFC8851" w14:textId="77777777">
        <w:trPr>
          <w:cantSplit/>
        </w:trPr>
        <w:tc>
          <w:tcPr>
            <w:tcW w:w="2880" w:type="dxa"/>
          </w:tcPr>
          <w:p w14:paraId="3B3AE557" w14:textId="77777777" w:rsidR="004F44B0" w:rsidRDefault="001F4DFD">
            <w:pPr>
              <w:pStyle w:val="Compact"/>
            </w:pPr>
            <w:r>
              <w:t>year</w:t>
            </w:r>
          </w:p>
        </w:tc>
        <w:tc>
          <w:tcPr>
            <w:tcW w:w="6480" w:type="dxa"/>
          </w:tcPr>
          <w:p w14:paraId="5D7D0382" w14:textId="77777777" w:rsidR="004F44B0" w:rsidRDefault="001F4DFD">
            <w:pPr>
              <w:pStyle w:val="Compact"/>
            </w:pPr>
            <w:r>
              <w:t>Survey year or survey round.</w:t>
            </w:r>
          </w:p>
        </w:tc>
      </w:tr>
      <w:tr w:rsidR="004F44B0" w14:paraId="63EDBC60" w14:textId="77777777">
        <w:trPr>
          <w:cantSplit/>
        </w:trPr>
        <w:tc>
          <w:tcPr>
            <w:tcW w:w="2880" w:type="dxa"/>
          </w:tcPr>
          <w:p w14:paraId="36064918" w14:textId="77777777" w:rsidR="004F44B0" w:rsidRDefault="001F4DFD">
            <w:pPr>
              <w:pStyle w:val="Compact"/>
            </w:pPr>
            <w:r>
              <w:t>domain</w:t>
            </w:r>
          </w:p>
        </w:tc>
        <w:tc>
          <w:tcPr>
            <w:tcW w:w="6480" w:type="dxa"/>
          </w:tcPr>
          <w:p w14:paraId="2A2EE401" w14:textId="77777777" w:rsidR="004F44B0" w:rsidRDefault="001F4DFD">
            <w:pPr>
              <w:pStyle w:val="Compact"/>
            </w:pPr>
            <w:r>
              <w:t>Small-area identifier, such as province, district, NUTS3, LAU1, municipality, or another target geography.</w:t>
            </w:r>
          </w:p>
        </w:tc>
      </w:tr>
      <w:tr w:rsidR="004F44B0" w14:paraId="55AB6023" w14:textId="77777777">
        <w:trPr>
          <w:cantSplit/>
        </w:trPr>
        <w:tc>
          <w:tcPr>
            <w:tcW w:w="2880" w:type="dxa"/>
          </w:tcPr>
          <w:p w14:paraId="326089B0" w14:textId="77777777" w:rsidR="004F44B0" w:rsidRDefault="001F4DFD">
            <w:pPr>
              <w:pStyle w:val="Compact"/>
            </w:pPr>
            <w:r>
              <w:t>welfare</w:t>
            </w:r>
          </w:p>
        </w:tc>
        <w:tc>
          <w:tcPr>
            <w:tcW w:w="6480" w:type="dxa"/>
          </w:tcPr>
          <w:p w14:paraId="3C8F0479" w14:textId="77777777" w:rsidR="007E4E93" w:rsidRDefault="00E3560C">
            <w:r>
              <w:t>Per-capita or equivalized welfare used for the indicator. A household total must first be converted according to the chosen methodology.</w:t>
            </w:r>
          </w:p>
        </w:tc>
      </w:tr>
      <w:tr w:rsidR="004F44B0" w14:paraId="75B45034" w14:textId="77777777">
        <w:trPr>
          <w:cantSplit/>
        </w:trPr>
        <w:tc>
          <w:tcPr>
            <w:tcW w:w="2880" w:type="dxa"/>
          </w:tcPr>
          <w:p w14:paraId="2A93F1D0" w14:textId="77777777" w:rsidR="004F44B0" w:rsidRDefault="001F4DFD">
            <w:pPr>
              <w:pStyle w:val="Compact"/>
            </w:pPr>
            <w:r>
              <w:t>povline</w:t>
            </w:r>
          </w:p>
        </w:tc>
        <w:tc>
          <w:tcPr>
            <w:tcW w:w="6480" w:type="dxa"/>
          </w:tcPr>
          <w:p w14:paraId="08B07CE7" w14:textId="77777777" w:rsidR="007E4E93" w:rsidRDefault="00E3560C">
            <w:r>
              <w:t>Needed only for poverty when Column in data is selected. Otherwise enter a positive numeric line for each survey year. Not required for mean welfare.</w:t>
            </w:r>
          </w:p>
        </w:tc>
      </w:tr>
      <w:tr w:rsidR="004F44B0" w14:paraId="7D7792A0" w14:textId="77777777">
        <w:trPr>
          <w:cantSplit/>
        </w:trPr>
        <w:tc>
          <w:tcPr>
            <w:tcW w:w="2880" w:type="dxa"/>
          </w:tcPr>
          <w:p w14:paraId="2175D420" w14:textId="77777777" w:rsidR="004F44B0" w:rsidRDefault="001F4DFD">
            <w:pPr>
              <w:pStyle w:val="Compact"/>
            </w:pPr>
            <w:r>
              <w:t>weight</w:t>
            </w:r>
          </w:p>
        </w:tc>
        <w:tc>
          <w:tcPr>
            <w:tcW w:w="6480" w:type="dxa"/>
          </w:tcPr>
          <w:p w14:paraId="4057A591" w14:textId="77777777" w:rsidR="004F44B0" w:rsidRDefault="001F4DFD">
            <w:pPr>
              <w:pStyle w:val="Compact"/>
            </w:pPr>
            <w:r>
              <w:t>Survey sampling weight.</w:t>
            </w:r>
          </w:p>
        </w:tc>
      </w:tr>
      <w:tr w:rsidR="004F44B0" w14:paraId="26CBAA9C" w14:textId="77777777">
        <w:trPr>
          <w:cantSplit/>
        </w:trPr>
        <w:tc>
          <w:tcPr>
            <w:tcW w:w="2880" w:type="dxa"/>
          </w:tcPr>
          <w:p w14:paraId="6F40F3FE" w14:textId="77777777" w:rsidR="007E4E93" w:rsidRDefault="00E3560C">
            <w:r>
              <w:t>hhsize</w:t>
            </w:r>
          </w:p>
        </w:tc>
        <w:tc>
          <w:tcPr>
            <w:tcW w:w="6480" w:type="dxa"/>
          </w:tcPr>
          <w:p w14:paraId="29DD3875" w14:textId="77777777" w:rsidR="007E4E93" w:rsidRDefault="00E3560C">
            <w:r>
              <w:t>Household size for household records; person-level records with person weights use a constant-one column. The app uses weight x hhsize for person weighting and, if needed, population totals.</w:t>
            </w:r>
          </w:p>
        </w:tc>
      </w:tr>
      <w:tr w:rsidR="004F44B0" w14:paraId="43AAD4D0" w14:textId="77777777">
        <w:trPr>
          <w:cantSplit/>
        </w:trPr>
        <w:tc>
          <w:tcPr>
            <w:tcW w:w="2880" w:type="dxa"/>
          </w:tcPr>
          <w:p w14:paraId="6E5CEECC" w14:textId="77777777" w:rsidR="004F44B0" w:rsidRDefault="001F4DFD">
            <w:pPr>
              <w:pStyle w:val="Compact"/>
            </w:pPr>
            <w:r>
              <w:t>psu</w:t>
            </w:r>
          </w:p>
        </w:tc>
        <w:tc>
          <w:tcPr>
            <w:tcW w:w="6480" w:type="dxa"/>
          </w:tcPr>
          <w:p w14:paraId="7E41F6ED" w14:textId="77777777" w:rsidR="004F44B0" w:rsidRDefault="001F4DFD">
            <w:pPr>
              <w:pStyle w:val="Compact"/>
            </w:pPr>
            <w:r>
              <w:t>Primary sampling unit identifier, if available.</w:t>
            </w:r>
          </w:p>
        </w:tc>
      </w:tr>
      <w:tr w:rsidR="004F44B0" w14:paraId="6764D47F" w14:textId="77777777">
        <w:trPr>
          <w:cantSplit/>
        </w:trPr>
        <w:tc>
          <w:tcPr>
            <w:tcW w:w="2880" w:type="dxa"/>
          </w:tcPr>
          <w:p w14:paraId="0BB30D00" w14:textId="77777777" w:rsidR="004F44B0" w:rsidRDefault="001F4DFD">
            <w:pPr>
              <w:pStyle w:val="Compact"/>
            </w:pPr>
            <w:r>
              <w:t>strata</w:t>
            </w:r>
          </w:p>
        </w:tc>
        <w:tc>
          <w:tcPr>
            <w:tcW w:w="6480" w:type="dxa"/>
          </w:tcPr>
          <w:p w14:paraId="6F067FE1" w14:textId="77777777" w:rsidR="004F44B0" w:rsidRDefault="001F4DFD">
            <w:pPr>
              <w:pStyle w:val="Compact"/>
            </w:pPr>
            <w:r>
              <w:t>Survey stratum identifier, if available.</w:t>
            </w:r>
          </w:p>
        </w:tc>
      </w:tr>
      <w:tr w:rsidR="004F44B0" w14:paraId="397842C3" w14:textId="77777777">
        <w:trPr>
          <w:cantSplit/>
        </w:trPr>
        <w:tc>
          <w:tcPr>
            <w:tcW w:w="2880" w:type="dxa"/>
            <w:tcBorders>
              <w:bottom w:val="single" w:sz="12" w:space="0" w:color="000000"/>
            </w:tcBorders>
          </w:tcPr>
          <w:p w14:paraId="2238EC6C" w14:textId="77777777" w:rsidR="004F44B0" w:rsidRDefault="001F4DFD">
            <w:pPr>
              <w:pStyle w:val="Compact"/>
            </w:pPr>
            <w:r>
              <w:t>household_id</w:t>
            </w:r>
          </w:p>
        </w:tc>
        <w:tc>
          <w:tcPr>
            <w:tcW w:w="6480" w:type="dxa"/>
            <w:tcBorders>
              <w:bottom w:val="single" w:sz="12" w:space="0" w:color="000000"/>
            </w:tcBorders>
          </w:tcPr>
          <w:p w14:paraId="7CD2AE5E" w14:textId="77777777" w:rsidR="004F44B0" w:rsidRDefault="001F4DFD">
            <w:pPr>
              <w:pStyle w:val="Compact"/>
            </w:pPr>
            <w:r>
              <w:t>Household identifier, optional but recommended.</w:t>
            </w:r>
          </w:p>
        </w:tc>
      </w:tr>
    </w:tbl>
    <w:p w14:paraId="55A5FAFF"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5B9ADF6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5F79594B"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4D637B25"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7C781FAB" w14:textId="77777777" w:rsidR="004F44B0" w:rsidRDefault="001F4DFD">
      <w:pPr>
        <w:pStyle w:val="FirstParagraph"/>
      </w:pPr>
      <w:r>
        <w:t>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the poverty line matches the welfare concept, units, and price basis. For mean welfare, follow the price-basis checks in Section 11.12.</w:t>
      </w:r>
    </w:p>
    <w:p w14:paraId="2763CC2C" w14:textId="77777777" w:rsidR="004F44B0" w:rsidRDefault="001F4DFD">
      <w:pPr>
        <w:pStyle w:val="BodyText"/>
      </w:pPr>
      <w:r>
        <w:lastRenderedPageBreak/>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A9C80F0"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210B3F92"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47928959"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5BABF5D8"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6F03497D" w14:textId="77777777" w:rsidR="004F44B0" w:rsidRDefault="001F4DFD">
      <w:pPr>
        <w:pStyle w:val="BodyText"/>
      </w:pPr>
      <w:r>
        <w:t>The auxiliary data should include:</w:t>
      </w:r>
    </w:p>
    <w:p w14:paraId="6C27416F" w14:textId="77777777" w:rsidR="004F44B0" w:rsidRDefault="001F4DFD">
      <w:pPr>
        <w:keepNext/>
        <w:spacing w:before="200" w:after="40" w:line="240" w:lineRule="auto"/>
        <w:jc w:val="center"/>
      </w:pPr>
      <w:r>
        <w:rPr>
          <w:rFonts w:cs="Times New Roman"/>
          <w:b/>
          <w:sz w:val="20"/>
        </w:rPr>
        <w:t>TABLE II</w:t>
      </w:r>
    </w:p>
    <w:p w14:paraId="3906376F"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F47853B" w14:textId="77777777">
        <w:trPr>
          <w:cantSplit/>
          <w:tblHeader/>
        </w:trPr>
        <w:tc>
          <w:tcPr>
            <w:tcW w:w="2880" w:type="dxa"/>
            <w:tcBorders>
              <w:top w:val="single" w:sz="12" w:space="0" w:color="000000"/>
              <w:bottom w:val="single" w:sz="4" w:space="0" w:color="000000"/>
            </w:tcBorders>
            <w:vAlign w:val="bottom"/>
          </w:tcPr>
          <w:p w14:paraId="3E897DC2"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BAA4C8D" w14:textId="77777777" w:rsidR="004F44B0" w:rsidRDefault="001F4DFD">
            <w:pPr>
              <w:pStyle w:val="Compact"/>
            </w:pPr>
            <w:r>
              <w:rPr>
                <w:rFonts w:cs="Times New Roman"/>
                <w:smallCaps/>
              </w:rPr>
              <w:t>Description</w:t>
            </w:r>
          </w:p>
        </w:tc>
      </w:tr>
      <w:tr w:rsidR="004F44B0" w14:paraId="41D51EA8" w14:textId="77777777">
        <w:trPr>
          <w:cantSplit/>
        </w:trPr>
        <w:tc>
          <w:tcPr>
            <w:tcW w:w="2880" w:type="dxa"/>
          </w:tcPr>
          <w:p w14:paraId="45CEF144" w14:textId="77777777" w:rsidR="004F44B0" w:rsidRDefault="001F4DFD">
            <w:pPr>
              <w:pStyle w:val="Compact"/>
            </w:pPr>
            <w:r>
              <w:t>domain</w:t>
            </w:r>
          </w:p>
        </w:tc>
        <w:tc>
          <w:tcPr>
            <w:tcW w:w="6480" w:type="dxa"/>
          </w:tcPr>
          <w:p w14:paraId="2F0A8676" w14:textId="77777777" w:rsidR="004F44B0" w:rsidRDefault="001F4DFD">
            <w:pPr>
              <w:pStyle w:val="Compact"/>
            </w:pPr>
            <w:r>
              <w:t>Area identifier matching the survey, population data, and shapefile.</w:t>
            </w:r>
          </w:p>
        </w:tc>
      </w:tr>
      <w:tr w:rsidR="004F44B0" w14:paraId="2293240D" w14:textId="77777777">
        <w:trPr>
          <w:cantSplit/>
        </w:trPr>
        <w:tc>
          <w:tcPr>
            <w:tcW w:w="2880" w:type="dxa"/>
          </w:tcPr>
          <w:p w14:paraId="2805D8F1" w14:textId="77777777" w:rsidR="004F44B0" w:rsidRDefault="001F4DFD">
            <w:pPr>
              <w:pStyle w:val="Compact"/>
            </w:pPr>
            <w:r>
              <w:t>year</w:t>
            </w:r>
          </w:p>
        </w:tc>
        <w:tc>
          <w:tcPr>
            <w:tcW w:w="6480" w:type="dxa"/>
          </w:tcPr>
          <w:p w14:paraId="03605B17" w14:textId="77777777" w:rsidR="004F44B0" w:rsidRDefault="001F4DFD">
            <w:pPr>
              <w:pStyle w:val="Compact"/>
            </w:pPr>
            <w:r>
              <w:t>Year, if covariates vary over time.</w:t>
            </w:r>
          </w:p>
        </w:tc>
      </w:tr>
      <w:tr w:rsidR="004F44B0" w14:paraId="291C7E58" w14:textId="77777777">
        <w:trPr>
          <w:cantSplit/>
        </w:trPr>
        <w:tc>
          <w:tcPr>
            <w:tcW w:w="2880" w:type="dxa"/>
            <w:tcBorders>
              <w:bottom w:val="single" w:sz="12" w:space="0" w:color="000000"/>
            </w:tcBorders>
          </w:tcPr>
          <w:p w14:paraId="01DABE06" w14:textId="77777777" w:rsidR="004F44B0" w:rsidRDefault="001F4DFD">
            <w:pPr>
              <w:pStyle w:val="Compact"/>
            </w:pPr>
            <w:r>
              <w:t>Covariates</w:t>
            </w:r>
          </w:p>
        </w:tc>
        <w:tc>
          <w:tcPr>
            <w:tcW w:w="6480" w:type="dxa"/>
            <w:tcBorders>
              <w:bottom w:val="single" w:sz="12" w:space="0" w:color="000000"/>
            </w:tcBorders>
          </w:tcPr>
          <w:p w14:paraId="3FB8A19B" w14:textId="77777777" w:rsidR="004F44B0" w:rsidRDefault="001F4DFD">
            <w:pPr>
              <w:pStyle w:val="Compact"/>
            </w:pPr>
            <w:r>
              <w:t>Area-level predictors used in the UFH and MFH models.</w:t>
            </w:r>
          </w:p>
        </w:tc>
      </w:tr>
    </w:tbl>
    <w:p w14:paraId="4527C7F1"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222E3774"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62121AE1"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6B9E1D5A"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2BD8E9F3" w14:textId="77777777" w:rsidR="004F44B0" w:rsidRDefault="001F4DFD">
      <w:pPr>
        <w:pStyle w:val="BodyText"/>
      </w:pPr>
      <w:r>
        <w:lastRenderedPageBreak/>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B93EA9E"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49C72FC"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70F4013D"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5BE07D3D" w14:textId="77777777" w:rsidR="004F44B0" w:rsidRDefault="001F4DFD">
      <w:pPr>
        <w:pStyle w:val="BodyText"/>
      </w:pPr>
      <w:r>
        <w:t>The geographic file should include:</w:t>
      </w:r>
    </w:p>
    <w:p w14:paraId="4E318592" w14:textId="77777777" w:rsidR="004F44B0" w:rsidRDefault="001F4DFD">
      <w:pPr>
        <w:keepNext/>
        <w:spacing w:before="200" w:after="40" w:line="240" w:lineRule="auto"/>
        <w:jc w:val="center"/>
      </w:pPr>
      <w:r>
        <w:rPr>
          <w:rFonts w:cs="Times New Roman"/>
          <w:b/>
          <w:sz w:val="20"/>
        </w:rPr>
        <w:t>TABLE III</w:t>
      </w:r>
    </w:p>
    <w:p w14:paraId="5CDE07E8"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771A43F" w14:textId="77777777">
        <w:trPr>
          <w:cantSplit/>
          <w:tblHeader/>
        </w:trPr>
        <w:tc>
          <w:tcPr>
            <w:tcW w:w="2880" w:type="dxa"/>
            <w:tcBorders>
              <w:top w:val="single" w:sz="12" w:space="0" w:color="000000"/>
              <w:bottom w:val="single" w:sz="4" w:space="0" w:color="000000"/>
            </w:tcBorders>
            <w:vAlign w:val="bottom"/>
          </w:tcPr>
          <w:p w14:paraId="4CE22F44"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C3C1155" w14:textId="77777777" w:rsidR="004F44B0" w:rsidRDefault="001F4DFD">
            <w:pPr>
              <w:pStyle w:val="Compact"/>
            </w:pPr>
            <w:r>
              <w:rPr>
                <w:rFonts w:cs="Times New Roman"/>
                <w:smallCaps/>
              </w:rPr>
              <w:t>Description</w:t>
            </w:r>
          </w:p>
        </w:tc>
      </w:tr>
      <w:tr w:rsidR="004F44B0" w14:paraId="23C2391C" w14:textId="77777777">
        <w:trPr>
          <w:cantSplit/>
        </w:trPr>
        <w:tc>
          <w:tcPr>
            <w:tcW w:w="2880" w:type="dxa"/>
          </w:tcPr>
          <w:p w14:paraId="6DB6F1D4" w14:textId="77777777" w:rsidR="004F44B0" w:rsidRDefault="001F4DFD">
            <w:pPr>
              <w:pStyle w:val="Compact"/>
            </w:pPr>
            <w:r>
              <w:t>domain</w:t>
            </w:r>
          </w:p>
        </w:tc>
        <w:tc>
          <w:tcPr>
            <w:tcW w:w="6480" w:type="dxa"/>
          </w:tcPr>
          <w:p w14:paraId="1E685644" w14:textId="77777777" w:rsidR="004F44B0" w:rsidRDefault="001F4DFD">
            <w:pPr>
              <w:pStyle w:val="Compact"/>
            </w:pPr>
            <w:r>
              <w:t>Area identifier matching the survey, auxiliary data, and population data.</w:t>
            </w:r>
          </w:p>
        </w:tc>
      </w:tr>
      <w:tr w:rsidR="004F44B0" w14:paraId="78CDB49E" w14:textId="77777777">
        <w:trPr>
          <w:cantSplit/>
        </w:trPr>
        <w:tc>
          <w:tcPr>
            <w:tcW w:w="2880" w:type="dxa"/>
          </w:tcPr>
          <w:p w14:paraId="6D15A8CE" w14:textId="77777777" w:rsidR="004F44B0" w:rsidRDefault="001F4DFD">
            <w:pPr>
              <w:pStyle w:val="Compact"/>
            </w:pPr>
            <w:r>
              <w:t>Geometry</w:t>
            </w:r>
          </w:p>
        </w:tc>
        <w:tc>
          <w:tcPr>
            <w:tcW w:w="6480" w:type="dxa"/>
          </w:tcPr>
          <w:p w14:paraId="72F9EB88" w14:textId="77777777" w:rsidR="004F44B0" w:rsidRDefault="001F4DFD">
            <w:pPr>
              <w:pStyle w:val="Compact"/>
            </w:pPr>
            <w:r>
              <w:t>Polygon geometry for each target area.</w:t>
            </w:r>
          </w:p>
        </w:tc>
      </w:tr>
      <w:tr w:rsidR="004F44B0" w14:paraId="5FD707F7" w14:textId="77777777">
        <w:trPr>
          <w:cantSplit/>
        </w:trPr>
        <w:tc>
          <w:tcPr>
            <w:tcW w:w="2880" w:type="dxa"/>
            <w:tcBorders>
              <w:bottom w:val="single" w:sz="12" w:space="0" w:color="000000"/>
            </w:tcBorders>
          </w:tcPr>
          <w:p w14:paraId="0697071D" w14:textId="77777777" w:rsidR="004F44B0" w:rsidRDefault="001F4DFD">
            <w:pPr>
              <w:pStyle w:val="Compact"/>
            </w:pPr>
            <w:r>
              <w:t>Area name</w:t>
            </w:r>
          </w:p>
        </w:tc>
        <w:tc>
          <w:tcPr>
            <w:tcW w:w="6480" w:type="dxa"/>
            <w:tcBorders>
              <w:bottom w:val="single" w:sz="12" w:space="0" w:color="000000"/>
            </w:tcBorders>
          </w:tcPr>
          <w:p w14:paraId="6AF8A4CC" w14:textId="77777777" w:rsidR="004F44B0" w:rsidRDefault="001F4DFD">
            <w:pPr>
              <w:pStyle w:val="Compact"/>
            </w:pPr>
            <w:r>
              <w:t>Optional human-readable area label.</w:t>
            </w:r>
          </w:p>
        </w:tc>
      </w:tr>
    </w:tbl>
    <w:p w14:paraId="57597143"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1D5AEBB6"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44116CD3" w14:textId="77777777" w:rsidR="004F44B0" w:rsidRDefault="001F4DFD">
      <w:pPr>
        <w:pStyle w:val="BodyText"/>
      </w:pPr>
      <w:r>
        <w:t>If boundaries changed over time, users should harmonize all data to a common geography before estimating changes or producing comparable maps.</w:t>
      </w:r>
    </w:p>
    <w:p w14:paraId="6B88ADF8" w14:textId="77777777" w:rsidR="004F44B0" w:rsidRDefault="001F4DFD">
      <w:pPr>
        <w:pStyle w:val="Heading2"/>
      </w:pPr>
      <w:bookmarkStart w:id="68" w:name="population-size-data"/>
      <w:bookmarkStart w:id="69" w:name="_Toc231387005"/>
      <w:bookmarkStart w:id="70" w:name="_Toc242265998"/>
      <w:r>
        <w:t>3.7 Population-size data</w:t>
      </w:r>
      <w:bookmarkEnd w:id="68"/>
      <w:bookmarkEnd w:id="69"/>
      <w:bookmarkEnd w:id="70"/>
    </w:p>
    <w:p w14:paraId="758702B2" w14:textId="7777777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w:t>
        <w:lastRenderedPageBreak/>
        <w:t>estimates domain populations from the survey itself as sum(weight × household size) by domain and year. Supplying an external population file is still recommended when reliable official population totals are available.</w:t>
      </w:r>
    </w:p>
    <w:p w14:paraId="577F4D64" w14:textId="77777777" w:rsidR="004F44B0" w:rsidRDefault="001F4DFD">
      <w:pPr>
        <w:pStyle w:val="BodyText"/>
      </w:pPr>
      <w:r>
        <w:t>The population file may be in long or wide format.</w:t>
      </w:r>
    </w:p>
    <w:p w14:paraId="49C8D05E" w14:textId="77777777" w:rsidR="004F44B0" w:rsidRDefault="001F4DFD">
      <w:pPr>
        <w:pStyle w:val="BodyText"/>
      </w:pPr>
      <w:r>
        <w:t>Long format:</w:t>
      </w:r>
    </w:p>
    <w:p w14:paraId="37EE7439" w14:textId="77777777" w:rsidR="004F44B0" w:rsidRDefault="001F4DFD">
      <w:pPr>
        <w:keepNext/>
        <w:spacing w:before="200" w:after="40" w:line="240" w:lineRule="auto"/>
        <w:jc w:val="center"/>
      </w:pPr>
      <w:r>
        <w:rPr>
          <w:rFonts w:cs="Times New Roman"/>
          <w:b/>
          <w:sz w:val="20"/>
        </w:rPr>
        <w:t>TABLE IV</w:t>
      </w:r>
    </w:p>
    <w:p w14:paraId="51ED92E3"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1F6535EB" w14:textId="77777777">
        <w:trPr>
          <w:cantSplit/>
          <w:tblHeader/>
        </w:trPr>
        <w:tc>
          <w:tcPr>
            <w:tcW w:w="2880" w:type="dxa"/>
            <w:tcBorders>
              <w:top w:val="single" w:sz="12" w:space="0" w:color="000000"/>
              <w:bottom w:val="single" w:sz="4" w:space="0" w:color="000000"/>
            </w:tcBorders>
            <w:vAlign w:val="bottom"/>
          </w:tcPr>
          <w:p w14:paraId="2228E2B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58D33B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65058250" w14:textId="77777777" w:rsidR="004F44B0" w:rsidRDefault="001F4DFD">
            <w:pPr>
              <w:pStyle w:val="Compact"/>
            </w:pPr>
            <w:r>
              <w:rPr>
                <w:rFonts w:cs="Times New Roman"/>
                <w:smallCaps/>
              </w:rPr>
              <w:t>population</w:t>
            </w:r>
          </w:p>
        </w:tc>
      </w:tr>
      <w:tr w:rsidR="004F44B0" w14:paraId="6E63A492" w14:textId="77777777">
        <w:trPr>
          <w:cantSplit/>
        </w:trPr>
        <w:tc>
          <w:tcPr>
            <w:tcW w:w="2880" w:type="dxa"/>
          </w:tcPr>
          <w:p w14:paraId="08D23FB5" w14:textId="77777777" w:rsidR="004F44B0" w:rsidRDefault="001F4DFD">
            <w:pPr>
              <w:pStyle w:val="Compact"/>
            </w:pPr>
            <w:r>
              <w:t>A001</w:t>
            </w:r>
          </w:p>
        </w:tc>
        <w:tc>
          <w:tcPr>
            <w:tcW w:w="3238" w:type="dxa"/>
          </w:tcPr>
          <w:p w14:paraId="04E2B33D" w14:textId="77777777" w:rsidR="004F44B0" w:rsidRDefault="001F4DFD">
            <w:pPr>
              <w:pStyle w:val="Compact"/>
            </w:pPr>
            <w:r>
              <w:t>2012</w:t>
            </w:r>
          </w:p>
        </w:tc>
        <w:tc>
          <w:tcPr>
            <w:tcW w:w="3242" w:type="dxa"/>
          </w:tcPr>
          <w:p w14:paraId="0802CC48" w14:textId="77777777" w:rsidR="004F44B0" w:rsidRDefault="001F4DFD">
            <w:pPr>
              <w:pStyle w:val="Compact"/>
            </w:pPr>
            <w:r>
              <w:t>125000</w:t>
            </w:r>
          </w:p>
        </w:tc>
      </w:tr>
      <w:tr w:rsidR="004F44B0" w14:paraId="4F729DB3" w14:textId="77777777">
        <w:trPr>
          <w:cantSplit/>
        </w:trPr>
        <w:tc>
          <w:tcPr>
            <w:tcW w:w="2880" w:type="dxa"/>
            <w:tcBorders>
              <w:bottom w:val="single" w:sz="12" w:space="0" w:color="000000"/>
            </w:tcBorders>
          </w:tcPr>
          <w:p w14:paraId="7FAD5AA3" w14:textId="77777777" w:rsidR="004F44B0" w:rsidRDefault="001F4DFD">
            <w:pPr>
              <w:pStyle w:val="Compact"/>
            </w:pPr>
            <w:r>
              <w:t>A001</w:t>
            </w:r>
          </w:p>
        </w:tc>
        <w:tc>
          <w:tcPr>
            <w:tcW w:w="3238" w:type="dxa"/>
            <w:tcBorders>
              <w:bottom w:val="single" w:sz="12" w:space="0" w:color="000000"/>
            </w:tcBorders>
          </w:tcPr>
          <w:p w14:paraId="387B2B1B" w14:textId="77777777" w:rsidR="004F44B0" w:rsidRDefault="001F4DFD">
            <w:pPr>
              <w:pStyle w:val="Compact"/>
            </w:pPr>
            <w:r>
              <w:t>2013</w:t>
            </w:r>
          </w:p>
        </w:tc>
        <w:tc>
          <w:tcPr>
            <w:tcW w:w="3242" w:type="dxa"/>
            <w:tcBorders>
              <w:bottom w:val="single" w:sz="12" w:space="0" w:color="000000"/>
            </w:tcBorders>
          </w:tcPr>
          <w:p w14:paraId="68318971" w14:textId="77777777" w:rsidR="004F44B0" w:rsidRDefault="001F4DFD">
            <w:pPr>
              <w:pStyle w:val="Compact"/>
            </w:pPr>
            <w:r>
              <w:t>126500</w:t>
            </w:r>
          </w:p>
        </w:tc>
      </w:tr>
    </w:tbl>
    <w:p w14:paraId="7B18BA35" w14:textId="77777777" w:rsidR="004F44B0" w:rsidRDefault="001F4DFD">
      <w:pPr>
        <w:pStyle w:val="BodyText"/>
      </w:pPr>
      <w:r>
        <w:t>Wide format:</w:t>
      </w:r>
    </w:p>
    <w:p w14:paraId="7EAC8FD1" w14:textId="77777777" w:rsidR="004F44B0" w:rsidRDefault="001F4DFD">
      <w:pPr>
        <w:keepNext/>
        <w:spacing w:before="200" w:after="40" w:line="240" w:lineRule="auto"/>
        <w:jc w:val="center"/>
      </w:pPr>
      <w:r>
        <w:rPr>
          <w:rFonts w:cs="Times New Roman"/>
          <w:b/>
          <w:sz w:val="20"/>
        </w:rPr>
        <w:t>TABLE V</w:t>
      </w:r>
    </w:p>
    <w:p w14:paraId="3D163BD6"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F570417" w14:textId="77777777">
        <w:trPr>
          <w:cantSplit/>
          <w:tblHeader/>
        </w:trPr>
        <w:tc>
          <w:tcPr>
            <w:tcW w:w="2880" w:type="dxa"/>
            <w:tcBorders>
              <w:top w:val="single" w:sz="12" w:space="0" w:color="000000"/>
              <w:bottom w:val="single" w:sz="4" w:space="0" w:color="000000"/>
            </w:tcBorders>
            <w:vAlign w:val="bottom"/>
          </w:tcPr>
          <w:p w14:paraId="190264C6"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0BE0C637"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4920EDFE" w14:textId="77777777" w:rsidR="004F44B0" w:rsidRDefault="001F4DFD">
            <w:pPr>
              <w:pStyle w:val="Compact"/>
            </w:pPr>
            <w:r>
              <w:rPr>
                <w:rFonts w:cs="Times New Roman"/>
                <w:smallCaps/>
              </w:rPr>
              <w:t>pop_2013</w:t>
            </w:r>
          </w:p>
        </w:tc>
      </w:tr>
      <w:tr w:rsidR="004F44B0" w14:paraId="28E9742C" w14:textId="77777777">
        <w:trPr>
          <w:cantSplit/>
        </w:trPr>
        <w:tc>
          <w:tcPr>
            <w:tcW w:w="2880" w:type="dxa"/>
            <w:tcBorders>
              <w:bottom w:val="single" w:sz="12" w:space="0" w:color="000000"/>
            </w:tcBorders>
          </w:tcPr>
          <w:p w14:paraId="18449F87" w14:textId="77777777" w:rsidR="004F44B0" w:rsidRDefault="001F4DFD">
            <w:pPr>
              <w:pStyle w:val="Compact"/>
            </w:pPr>
            <w:r>
              <w:t>A001</w:t>
            </w:r>
          </w:p>
        </w:tc>
        <w:tc>
          <w:tcPr>
            <w:tcW w:w="3238" w:type="dxa"/>
            <w:tcBorders>
              <w:bottom w:val="single" w:sz="12" w:space="0" w:color="000000"/>
            </w:tcBorders>
          </w:tcPr>
          <w:p w14:paraId="1BA8C839" w14:textId="77777777" w:rsidR="004F44B0" w:rsidRDefault="001F4DFD">
            <w:pPr>
              <w:pStyle w:val="Compact"/>
            </w:pPr>
            <w:r>
              <w:t>125000</w:t>
            </w:r>
          </w:p>
        </w:tc>
        <w:tc>
          <w:tcPr>
            <w:tcW w:w="3242" w:type="dxa"/>
            <w:tcBorders>
              <w:bottom w:val="single" w:sz="12" w:space="0" w:color="000000"/>
            </w:tcBorders>
          </w:tcPr>
          <w:p w14:paraId="351605CE" w14:textId="77777777" w:rsidR="004F44B0" w:rsidRDefault="001F4DFD">
            <w:pPr>
              <w:pStyle w:val="Compact"/>
            </w:pPr>
            <w:r>
              <w:t>126500</w:t>
            </w:r>
          </w:p>
        </w:tc>
      </w:tr>
    </w:tbl>
    <w:p w14:paraId="1F1A88A3"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57F8A816"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795529C8"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5330DD09" w14:textId="77777777"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149C7405" w14:textId="77777777" w:rsidR="004F44B0" w:rsidRDefault="001F4DFD">
      <w:pPr>
        <w:pStyle w:val="BodyText"/>
      </w:pPr>
      <w:r>
        <w:t>Benchmark data should include:</w:t>
      </w:r>
    </w:p>
    <w:p w14:paraId="511B9DCF" w14:textId="77777777" w:rsidR="004F44B0" w:rsidRDefault="001F4DFD">
      <w:pPr>
        <w:keepNext/>
        <w:spacing w:before="200" w:after="40" w:line="240" w:lineRule="auto"/>
        <w:jc w:val="center"/>
      </w:pPr>
      <w:r>
        <w:rPr>
          <w:rFonts w:cs="Times New Roman"/>
          <w:b/>
          <w:sz w:val="20"/>
        </w:rPr>
        <w:t>TABLE VI</w:t>
      </w:r>
    </w:p>
    <w:p w14:paraId="2B81FEAB"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433108" w14:textId="77777777">
        <w:trPr>
          <w:cantSplit/>
          <w:tblHeader/>
        </w:trPr>
        <w:tc>
          <w:tcPr>
            <w:tcW w:w="2880" w:type="dxa"/>
            <w:tcBorders>
              <w:top w:val="single" w:sz="12" w:space="0" w:color="000000"/>
              <w:bottom w:val="single" w:sz="4" w:space="0" w:color="000000"/>
            </w:tcBorders>
            <w:vAlign w:val="bottom"/>
          </w:tcPr>
          <w:p w14:paraId="3513B2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FAA09B4" w14:textId="77777777" w:rsidR="004F44B0" w:rsidRDefault="001F4DFD">
            <w:pPr>
              <w:pStyle w:val="Compact"/>
            </w:pPr>
            <w:r>
              <w:rPr>
                <w:rFonts w:cs="Times New Roman"/>
                <w:smallCaps/>
              </w:rPr>
              <w:t>Description</w:t>
            </w:r>
          </w:p>
        </w:tc>
      </w:tr>
      <w:tr w:rsidR="004F44B0" w14:paraId="2FB77FDF" w14:textId="77777777">
        <w:trPr>
          <w:cantSplit/>
        </w:trPr>
        <w:tc>
          <w:tcPr>
            <w:tcW w:w="2880" w:type="dxa"/>
          </w:tcPr>
          <w:p w14:paraId="31BCD64D" w14:textId="77777777" w:rsidR="004F44B0" w:rsidRDefault="001F4DFD">
            <w:pPr>
              <w:pStyle w:val="Compact"/>
            </w:pPr>
            <w:r>
              <w:t>Benchmark area</w:t>
            </w:r>
          </w:p>
        </w:tc>
        <w:tc>
          <w:tcPr>
            <w:tcW w:w="6480" w:type="dxa"/>
          </w:tcPr>
          <w:p w14:paraId="34760C02" w14:textId="77777777" w:rsidR="004F44B0" w:rsidRDefault="001F4DFD">
            <w:pPr>
              <w:pStyle w:val="Compact"/>
            </w:pPr>
            <w:r>
              <w:t xml:space="preserve">Higher-level geographic unit, such as a region or the national total. Column: the selected benchmark-level variable, or benchmark_level, level, group, group_id, region, reg or region_id; it can be omitted when there is a single group.</w:t>
            </w:r>
          </w:p>
        </w:tc>
      </w:tr>
      <w:tr w:rsidR="004F44B0" w14:paraId="158BC923" w14:textId="77777777">
        <w:trPr>
          <w:cantSplit/>
        </w:trPr>
        <w:tc>
          <w:tcPr>
            <w:tcW w:w="2880" w:type="dxa"/>
          </w:tcPr>
          <w:p w14:paraId="2DB14B01" w14:textId="77777777" w:rsidR="004F44B0" w:rsidRDefault="001F4DFD">
            <w:pPr>
              <w:pStyle w:val="Compact"/>
            </w:pPr>
            <w:r>
              <w:lastRenderedPageBreak/>
              <w:t>Year</w:t>
            </w:r>
          </w:p>
        </w:tc>
        <w:tc>
          <w:tcPr>
            <w:tcW w:w="6480" w:type="dxa"/>
          </w:tcPr>
          <w:p w14:paraId="059739A9" w14:textId="77777777" w:rsidR="007E4E93" w:rsidRDefault="00E3560C">
            <w:r>
              <w:t xml:space="preserve">Analysis year matching the survey-year labels. Name the column year, time or period. CPI conversion separately determines the income reference year.</w:t>
            </w:r>
          </w:p>
        </w:tc>
      </w:tr>
      <w:tr w:rsidR="004F44B0" w14:paraId="013E92D9" w14:textId="77777777">
        <w:trPr>
          <w:cantSplit/>
        </w:trPr>
        <w:tc>
          <w:tcPr>
            <w:tcW w:w="2880" w:type="dxa"/>
          </w:tcPr>
          <w:p w14:paraId="2EAFF4CB" w14:textId="77777777" w:rsidR="004F44B0" w:rsidRDefault="001F4DFD">
            <w:pPr>
              <w:pStyle w:val="Compact"/>
            </w:pPr>
            <w:r>
              <w:t>Benchmark estimate</w:t>
            </w:r>
          </w:p>
        </w:tc>
        <w:tc>
          <w:tcPr>
            <w:tcW w:w="6480" w:type="dxa"/>
          </w:tcPr>
          <w:p w14:paraId="2F4EE89D" w14:textId="77777777" w:rsidR="004F44B0" w:rsidRDefault="001F4DFD">
            <w:pPr>
              <w:pStyle w:val="Compact"/>
            </w:pPr>
            <w:r>
              <w:t xml:space="preserve">Direct, official, or otherwise trusted estimate. Name the column benchmark or target (also accepted: B_r, benchmark_target, regional_benchmark, direct, direct_rate, poverty_rate).</w:t>
            </w:r>
          </w:p>
        </w:tc>
      </w:tr>
      <w:tr w:rsidR="004F44B0" w14:paraId="375177D4" w14:textId="77777777">
        <w:trPr>
          <w:cantSplit/>
        </w:trPr>
        <w:tc>
          <w:tcPr>
            <w:tcW w:w="2880" w:type="dxa"/>
            <w:tcBorders>
              <w:bottom w:val="single" w:sz="12" w:space="0" w:color="000000"/>
            </w:tcBorders>
          </w:tcPr>
          <w:p w14:paraId="58945111" w14:textId="77777777" w:rsidR="004F44B0" w:rsidRDefault="001F4DFD">
            <w:pPr>
              <w:pStyle w:val="Compact"/>
            </w:pPr>
            <w:r>
              <w:t>Population</w:t>
            </w:r>
          </w:p>
        </w:tc>
        <w:tc>
          <w:tcPr>
            <w:tcW w:w="6480" w:type="dxa"/>
            <w:tcBorders>
              <w:bottom w:val="single" w:sz="12" w:space="0" w:color="000000"/>
            </w:tcBorders>
          </w:tcPr>
          <w:p w14:paraId="4CF6E8E5" w14:textId="77777777" w:rsidR="004F44B0" w:rsidRDefault="001F4DFD">
            <w:pPr>
              <w:pStyle w:val="Compact"/>
            </w:pPr>
            <w:r>
              <w:t xml:space="preserve">Not read from the benchmark-target file: aggregation populations come from the population file or are estimated from the survey (Section 3.7).</w:t>
            </w:r>
          </w:p>
        </w:tc>
      </w:tr>
    </w:tbl>
    <w:p w14:paraId="4B6EC34D"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73473F28"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in constant prices, targets must use those same prices. Benchmarking requires usable estimates and positive population weights for the requested benchmark population; incomplete coverage must be resolved, not silently scaled to a whole-area target.</w:t>
      </w:r>
    </w:p>
    <w:p w14:paraId="0F4EC7B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5C5147D8" w14:textId="77777777" w:rsidR="004F44B0" w:rsidRDefault="001F4DFD">
      <w:pPr>
        <w:pStyle w:val="FirstParagraph"/>
      </w:pPr>
      <w:r>
        <w:t>Before running UFH or MFH models, users should confirm that:</w:t>
      </w:r>
    </w:p>
    <w:p w14:paraId="353E0D6D" w14:textId="77777777" w:rsidR="004F44B0" w:rsidRDefault="001F4DFD">
      <w:pPr>
        <w:numPr>
          <w:ilvl w:val="0"/>
          <w:numId w:val="2"/>
        </w:numPr>
      </w:pPr>
      <w:r>
        <w:t>Survey data contain year, domain, welfare, survey weight, household size, and the survey-design variables needed for estimation. For poverty, also prepare a poverty-line column or a positive numeric line for each selected analysis year; mean welfare does not require a poverty line.</w:t>
      </w:r>
    </w:p>
    <w:p w14:paraId="2895CDEA" w14:textId="77777777" w:rsidR="004F44B0" w:rsidRDefault="001F4DFD">
      <w:pPr>
        <w:numPr>
          <w:ilvl w:val="0"/>
          <w:numId w:val="2"/>
        </w:numPr>
      </w:pPr>
      <w:r>
        <w:t>PSU and strata variables are available, or their absence is documented.</w:t>
      </w:r>
    </w:p>
    <w:p w14:paraId="16095025" w14:textId="77777777" w:rsidR="004F44B0" w:rsidRDefault="001F4DFD">
      <w:pPr>
        <w:numPr>
          <w:ilvl w:val="0"/>
          <w:numId w:val="2"/>
        </w:numPr>
      </w:pPr>
      <w:r>
        <w:t>Direct estimates can be computed for the target areas and years.</w:t>
      </w:r>
    </w:p>
    <w:p w14:paraId="7E544F83" w14:textId="77777777" w:rsidR="004F44B0" w:rsidRDefault="001F4DFD">
      <w:pPr>
        <w:numPr>
          <w:ilvl w:val="0"/>
          <w:numId w:val="2"/>
        </w:numPr>
      </w:pPr>
      <w:r>
        <w:t>Sampling variances can be computed, or a clear variance-smoothing strategy is available.</w:t>
      </w:r>
    </w:p>
    <w:p w14:paraId="037B5E03" w14:textId="77777777" w:rsidR="004F44B0" w:rsidRDefault="001F4DFD">
      <w:pPr>
        <w:numPr>
          <w:ilvl w:val="0"/>
          <w:numId w:val="2"/>
        </w:numPr>
      </w:pPr>
      <w:r>
        <w:t>Auxiliary variables are available for all target areas.</w:t>
      </w:r>
    </w:p>
    <w:p w14:paraId="2ED251A9" w14:textId="77777777" w:rsidR="004F44B0" w:rsidRDefault="001F4DFD">
      <w:pPr>
        <w:numPr>
          <w:ilvl w:val="0"/>
          <w:numId w:val="2"/>
        </w:numPr>
      </w:pPr>
      <w:r>
        <w:t>Domain identifiers match across surveys, auxiliary, population, and geographic data.</w:t>
      </w:r>
    </w:p>
    <w:p w14:paraId="55939F8D" w14:textId="77777777" w:rsidR="004F44B0" w:rsidRDefault="001F4DFD">
      <w:pPr>
        <w:numPr>
          <w:ilvl w:val="0"/>
          <w:numId w:val="2"/>
        </w:numPr>
      </w:pPr>
      <w:r>
        <w:t>Population sizes use the same universe and domains as the survey, whether supplied in an optional file or estimated from sum(weight x household size).</w:t>
      </w:r>
    </w:p>
    <w:p w14:paraId="1B5CD84A" w14:textId="77777777" w:rsidR="004F44B0" w:rsidRDefault="001F4DFD">
      <w:pPr>
        <w:numPr>
          <w:ilvl w:val="0"/>
          <w:numId w:val="2"/>
        </w:numPr>
      </w:pPr>
      <w:r>
        <w:t>Geographic boundaries match the target domains.</w:t>
      </w:r>
    </w:p>
    <w:p w14:paraId="53E25038" w14:textId="77777777" w:rsidR="004F44B0" w:rsidRDefault="001F4DFD">
      <w:pPr>
        <w:numPr>
          <w:ilvl w:val="0"/>
          <w:numId w:val="2"/>
        </w:numPr>
      </w:pPr>
      <w:r>
        <w:t>Repeated cross-sections use comparable welfare variables, poverty lines, weights, and area definitions.</w:t>
      </w:r>
    </w:p>
    <w:p w14:paraId="2C2C5D2C" w14:textId="77777777" w:rsidR="004F44B0" w:rsidRDefault="001F4DFD">
      <w:pPr>
        <w:numPr>
          <w:ilvl w:val="0"/>
          <w:numId w:val="2"/>
        </w:numPr>
      </w:pPr>
      <w:r>
        <w:t>Optional benchmark data, if used, match the indicator, population, survey years, and input price basis. For real mean welfare, either verify that welfare is already in a common price basis or check the CPI values and required years for conversion (Section 11.12).</w:t>
      </w:r>
    </w:p>
    <w:p w14:paraId="3CFF18E2" w14:textId="77777777" w:rsidR="004F44B0" w:rsidRDefault="001F4DFD">
      <w:pPr>
        <w:pStyle w:val="FirstParagraph"/>
      </w:pPr>
      <w:r>
        <w:lastRenderedPageBreak/>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16A5CE9" w14:textId="77777777" w:rsidR="007E4E93" w:rsidRDefault="00E3560C">
      <w:pPr>
        <w:pStyle w:val="Heading2"/>
      </w:pPr>
      <w:bookmarkStart w:id="77" w:name="_Toc242266001"/>
      <w:r>
        <w:t>3.10 Preparing supplementary CPI data</w:t>
      </w:r>
      <w:bookmarkEnd w:id="77"/>
    </w:p>
    <w:p w14:paraId="087B2313"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76FD4DDD" w14:textId="77777777" w:rsidR="007E4E93" w:rsidRDefault="00E3560C">
      <w:pPr>
        <w:pStyle w:val="BodyText"/>
      </w:pPr>
      <w:r>
        <w:t xml:space="preserve">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w:t>
      </w:r>
      <w:r>
        <w:t xml:space="preserve">enter the anchored lines as numeric values by survey year or supply them in a survey column and, if you calculate them yourself,</w:t>
      </w:r>
      <w:r>
        <w:t xml:space="preserve"> apply the same CPI principles outside the app (Section 11.11).</w:t>
      </w:r>
    </w:p>
    <w:p w14:paraId="6EA11FC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br/>
      </w:r>
      <w:r>
        <w:rPr>
          <w:sz w:val="48"/>
        </w:rPr>
        <w:br/>
      </w:r>
      <w:r>
        <w:rPr>
          <w:bCs/>
        </w:rPr>
        <w:t>Preparing the Survey Data</w:t>
      </w:r>
      <w:bookmarkEnd w:id="80"/>
    </w:p>
    <w:p w14:paraId="364DF9E1"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6877F0B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5C59D33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7D083300"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3E998149"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220191C8"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426B5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5C1CBF99"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55EF2600"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5291AA89"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948301F"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216AF3C0"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area mean after aggregation.</w:t>
      </w:r>
    </w:p>
    <w:p w14:paraId="1F15C21A"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20C41F83" w14:textId="77777777" w:rsidR="007E4E93" w:rsidRDefault="00E3560C">
      <w:pPr>
        <w:pStyle w:val="BodyText"/>
      </w:pPr>
      <w:r>
        <w:t>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were made; the Dashboard cannot check this. Poverty indicators are never converted: the welfare variable and the poverty line must already be in the same prices in each year.</w:t>
      </w:r>
    </w:p>
    <w:p w14:paraId="1EF9A3AF"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6A0921CD" w14:textId="77777777" w:rsidR="004F44B0" w:rsidRDefault="001F4DFD">
      <w:pPr>
        <w:pStyle w:val="FirstParagraph"/>
      </w:pPr>
      <w:r>
        <w:t>The poverty line must be defined before computing poverty indicators. It should be expressed in the same units and price base as the welfare variable.</w:t>
      </w:r>
    </w:p>
    <w:p w14:paraId="7B629C45" w14:textId="77777777" w:rsidR="004F44B0" w:rsidRDefault="001F4DFD">
      <w:pPr>
        <w:pStyle w:val="BodyText"/>
      </w:pPr>
      <w:r>
        <w:t>The app allows two main poverty-line options.</w:t>
      </w:r>
    </w:p>
    <w:p w14:paraId="11120B5D"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7C4AB1D8"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58959B1C"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lastRenderedPageBreak/>
        <w:t>adjustments are already incorporated, and whether the line corresponds to the intended welfare aggregate and population universe.</w:t>
      </w:r>
    </w:p>
    <w:p w14:paraId="7E6C73E2"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21A6A8D4" w14:textId="77777777" w:rsidR="007E4E93" w:rsidRDefault="00E3560C">
      <w:pPr>
        <w:pStyle w:val="BodyText"/>
      </w:pPr>
      <w:r>
        <w:t xml:space="preserve">For an anchored poverty line, keep the anchor-year threshold fixed in real terms and express it in the same prices as each survey welfare observation. </w:t>
      </w:r>
      <w:r>
        <w:t xml:space="preserve">Enter the anchored lines in Step 3 as one numeric value per survey year, or supply them in a survey column when they vary across records, using official anchored thresholds where available (Section 11.11).</w:t>
      </w:r>
    </w:p>
    <w:p w14:paraId="11A78D1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63DC1DB7"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0E6CF370" w14:textId="77777777" w:rsidR="004F44B0" w:rsidRDefault="001F4DFD">
      <w:pPr>
        <w:pStyle w:val="BodyText"/>
      </w:pPr>
      <w:r>
        <w:t>For a target area (d), the general FGT indicator can be written as:</w:t>
      </w:r>
    </w:p>
    <w:p w14:paraId="04C3D021"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67143D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(equal to the survey weight for person records with household size 1),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0E8A59F0"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6CA90E7F"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2C9E14D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4791B1B4" w14:textId="77777777"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B5B1212" w14:textId="77777777" w:rsidR="004F44B0" w:rsidRDefault="001F4DFD">
      <w:pPr>
        <w:pStyle w:val="BodyText"/>
      </w:pPr>
      <w:r>
        <w:t xml:space="preserve">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w:t>
        <w:lastRenderedPageBreak/>
        <w:t>of weight; confirming that the weight is appropriate for the unit of analysis; and checking whether weights are year-specific in repeated cross-sections.</w:t>
      </w:r>
    </w:p>
    <w:p w14:paraId="2FD1018D"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00353CDE"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156CBE6F"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07D25B2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2BFEC8AD"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68657004"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16872D56"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AE2F496"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4FCE0F1C"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2F267F3D" w14:textId="77777777" w:rsidR="004F44B0" w:rsidRDefault="001F4DFD">
      <w:pPr>
        <w:pStyle w:val="BodyText"/>
      </w:pPr>
      <w:r>
        <w:t>Areas with very small sample sizes may still contribute useful information, but their sampling variances should be carefully reviewed. If variance estimates are unstable, variance smoothing may be needed before fitting the FH model.</w:t>
      </w:r>
    </w:p>
    <w:p w14:paraId="72EC075F"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63E3BAE6"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3285FF45" w14:textId="77777777" w:rsidR="004F44B0" w:rsidRDefault="001F4DFD">
      <w:pPr>
        <w:pStyle w:val="BodyText"/>
      </w:pPr>
      <w:r>
        <w:lastRenderedPageBreak/>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599EBB41"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9828781"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5F952000"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76F98C6B" w14:textId="77777777" w:rsidR="004F44B0" w:rsidRDefault="001F4DFD">
      <w:pPr>
        <w:pStyle w:val="BodyText"/>
      </w:pPr>
      <w:r>
        <w:t>At minimum, include the year or survey round, domain identifier, welfare variable, survey weight, and household size for person weighting. Include PSU and strata identifiers and a household or individual identifier where available. For person-level records, use household size equal to 1. Poverty estimation also needs a poverty-line column unless a numeric line will be entered for each analysis year; mean-welfare estimation needs no poverty line.</w:t>
      </w:r>
    </w:p>
    <w:p w14:paraId="5E8CDEB4"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5D4886B7"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426506D4" w14:textId="77777777" w:rsidR="004F44B0" w:rsidRDefault="001F4DFD">
      <w:pPr>
        <w:pStyle w:val="FirstParagraph"/>
      </w:pPr>
      <w:r>
        <w:t>Before proceeding to direct estimation, users should confirm that:</w:t>
      </w:r>
    </w:p>
    <w:p w14:paraId="38C3BF85" w14:textId="77777777" w:rsidR="004F44B0" w:rsidRDefault="001F4DFD">
      <w:pPr>
        <w:numPr>
          <w:ilvl w:val="0"/>
          <w:numId w:val="2"/>
        </w:numPr>
      </w:pPr>
      <w:r>
        <w:t>Area identifiers are harmonized across all input files.</w:t>
      </w:r>
    </w:p>
    <w:p w14:paraId="48971640" w14:textId="77777777" w:rsidR="004F44B0" w:rsidRDefault="001F4DFD">
      <w:pPr>
        <w:numPr>
          <w:ilvl w:val="0"/>
          <w:numId w:val="2"/>
        </w:numPr>
      </w:pPr>
      <w:r>
        <w:t>The welfare variable is final, clean, and expressed in the correct units.</w:t>
      </w:r>
    </w:p>
    <w:p w14:paraId="673D7348" w14:textId="77777777" w:rsidR="004F44B0" w:rsidRDefault="001F4DFD">
      <w:pPr>
        <w:numPr>
          <w:ilvl w:val="0"/>
          <w:numId w:val="2"/>
        </w:numPr>
      </w:pPr>
      <w:r>
        <w:t>For poverty estimation, the poverty line is correctly defined and aligned with the welfare variable. For real mean welfare, all observations use the same price basis after any CPI conversion.</w:t>
      </w:r>
    </w:p>
    <w:p w14:paraId="3B7C8FC9" w14:textId="77777777" w:rsidR="004F44B0" w:rsidRDefault="001F4DFD">
      <w:pPr>
        <w:numPr>
          <w:ilvl w:val="0"/>
          <w:numId w:val="2"/>
        </w:numPr>
      </w:pPr>
      <w:r>
        <w:t>Survey weights are valid and appropriate for the unit of analysis.</w:t>
      </w:r>
    </w:p>
    <w:p w14:paraId="34A4EAD0" w14:textId="77777777" w:rsidR="004F44B0" w:rsidRDefault="001F4DFD">
      <w:pPr>
        <w:numPr>
          <w:ilvl w:val="0"/>
          <w:numId w:val="2"/>
        </w:numPr>
      </w:pPr>
      <w:r>
        <w:t>PSU and strata variables are available, or their absence is documented.</w:t>
      </w:r>
    </w:p>
    <w:p w14:paraId="35D0EA68" w14:textId="77777777" w:rsidR="004F44B0" w:rsidRDefault="001F4DFD">
      <w:pPr>
        <w:numPr>
          <w:ilvl w:val="0"/>
          <w:numId w:val="2"/>
        </w:numPr>
      </w:pPr>
      <w:r>
        <w:t>Missing or implausible welfare values have been reviewed.</w:t>
      </w:r>
    </w:p>
    <w:p w14:paraId="2ABD5E24" w14:textId="77777777" w:rsidR="004F44B0" w:rsidRDefault="001F4DFD">
      <w:pPr>
        <w:numPr>
          <w:ilvl w:val="0"/>
          <w:numId w:val="2"/>
        </w:numPr>
      </w:pPr>
      <w:r>
        <w:t>Small-sample and zero-sample areas have been flagged.</w:t>
      </w:r>
    </w:p>
    <w:p w14:paraId="3DD1540F" w14:textId="77777777" w:rsidR="004F44B0" w:rsidRDefault="001F4DFD">
      <w:pPr>
        <w:numPr>
          <w:ilvl w:val="0"/>
          <w:numId w:val="2"/>
        </w:numPr>
      </w:pPr>
      <w:r>
        <w:t>Repeated cross-sections are comparable across years.</w:t>
      </w:r>
    </w:p>
    <w:p w14:paraId="22929A25" w14:textId="77777777" w:rsidR="004F44B0" w:rsidRDefault="001F4DFD">
      <w:pPr>
        <w:numPr>
          <w:ilvl w:val="0"/>
          <w:numId w:val="2"/>
        </w:numPr>
      </w:pPr>
      <w:r>
        <w:t>Any boundary changes have been addressed.</w:t>
      </w:r>
    </w:p>
    <w:p w14:paraId="6D3036FC" w14:textId="77777777" w:rsidR="004F44B0" w:rsidRDefault="001F4DFD">
      <w:pPr>
        <w:numPr>
          <w:ilvl w:val="0"/>
          <w:numId w:val="2"/>
        </w:numPr>
      </w:pPr>
      <w:r>
        <w:lastRenderedPageBreak/>
        <w:t>The cleaned survey dataset is saved and documented.</w:t>
      </w:r>
    </w:p>
    <w:p w14:paraId="6DBA4E91"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F64F59B"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br/>
        <w:br/>
      </w:r>
      <w:r>
        <w:t>Preparing Auxiliary Data</w:t>
      </w:r>
      <w:bookmarkEnd w:id="116"/>
    </w:p>
    <w:p w14:paraId="7F2F088E"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4A683A3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1B8DB83B"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26E17305"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2065A83"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38CB294F"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4FC8DBE" w14:textId="77777777"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47D6AE41"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11E7D399"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05AD623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679D6BFC" w14:textId="77777777" w:rsidR="004F44B0" w:rsidRDefault="001F4DFD">
      <w:pPr>
        <w:pStyle w:val="FirstParagraph"/>
      </w:pPr>
      <w:r>
        <w:t>For UFH, each year can be modeled separately so that covariates may be year-specific. For MFH, covariates must be organized consistently across years because the model estimates multiple years jointly.</w:t>
      </w:r>
    </w:p>
    <w:p w14:paraId="1D448F7F" w14:textId="77777777" w:rsidR="004F44B0" w:rsidRDefault="001F4DFD">
      <w:pPr>
        <w:pStyle w:val="BodyText"/>
      </w:pPr>
      <w:r>
        <w:t>Users should distinguish among the three types of covariates.</w:t>
      </w:r>
    </w:p>
    <w:p w14:paraId="6A41B2A8"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756FC7B8"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5C4DE53D"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36037B1"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0D4555AC"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37F46F31"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375A7E1F"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25A54481"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041C927"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06CEB12B"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426F637C"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464873F9" w14:textId="77777777" w:rsidR="004F44B0" w:rsidRDefault="001F4DFD">
      <w:pPr>
        <w:pStyle w:val="BodyText"/>
      </w:pPr>
      <w:r>
        <w:lastRenderedPageBreak/>
        <w:t>All transformations should be documented. Users should record the original variable, the transformation applied, and the reason for applying it.</w:t>
      </w:r>
    </w:p>
    <w:p w14:paraId="6495EED2"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66F7E68C"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F547727"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766BFB64"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27981E92"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1D9889B"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15A534F"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613AF5F5"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2DFAA64D"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03CA99D7"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0E7C739F"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76C5C2C"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7318F3C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1F4CF36F"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6623B094"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023A1402"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091E35F8"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67092922"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657BFD78"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0B7C660"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05422C4B" w14:textId="77777777"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56A9DD6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4DA0E143"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2FEE9D6F" w14:textId="77777777" w:rsidR="004F44B0" w:rsidRDefault="001F4DFD">
      <w:pPr>
        <w:pStyle w:val="FirstParagraph"/>
      </w:pPr>
      <w:r>
        <w:t>Before proceeding to model estimation, users should confirm that:</w:t>
      </w:r>
    </w:p>
    <w:p w14:paraId="701A79D9" w14:textId="77777777" w:rsidR="004F44B0" w:rsidRDefault="001F4DFD">
      <w:pPr>
        <w:numPr>
          <w:ilvl w:val="0"/>
          <w:numId w:val="2"/>
        </w:numPr>
      </w:pPr>
      <w:r>
        <w:t>Auxiliary variables are available for all target areas.</w:t>
      </w:r>
    </w:p>
    <w:p w14:paraId="42C16175" w14:textId="77777777" w:rsidR="004F44B0" w:rsidRDefault="001F4DFD">
      <w:pPr>
        <w:numPr>
          <w:ilvl w:val="0"/>
          <w:numId w:val="2"/>
        </w:numPr>
      </w:pPr>
      <w:r>
        <w:t>Domain codes match the survey, population, and shapefile domain codes.</w:t>
      </w:r>
    </w:p>
    <w:p w14:paraId="0FC4A770" w14:textId="77777777" w:rsidR="004F44B0" w:rsidRDefault="001F4DFD">
      <w:pPr>
        <w:numPr>
          <w:ilvl w:val="0"/>
          <w:numId w:val="2"/>
        </w:numPr>
      </w:pPr>
      <w:r>
        <w:t>Year definitions are correct and aligned with survey years.</w:t>
      </w:r>
    </w:p>
    <w:p w14:paraId="065836AD" w14:textId="77777777" w:rsidR="004F44B0" w:rsidRDefault="001F4DFD">
      <w:pPr>
        <w:numPr>
          <w:ilvl w:val="0"/>
          <w:numId w:val="2"/>
        </w:numPr>
      </w:pPr>
      <w:r>
        <w:t>Covariates are conceptually related to poverty or welfare.</w:t>
      </w:r>
    </w:p>
    <w:p w14:paraId="01364D2A" w14:textId="77777777" w:rsidR="004F44B0" w:rsidRDefault="001F4DFD">
      <w:pPr>
        <w:numPr>
          <w:ilvl w:val="0"/>
          <w:numId w:val="2"/>
        </w:numPr>
      </w:pPr>
      <w:r>
        <w:t>Covariates come from appropriate non-sample-survey sources, such as censuses, registers, administrative records, or geospatial data.</w:t>
      </w:r>
    </w:p>
    <w:p w14:paraId="1B3AEE38" w14:textId="77777777" w:rsidR="004F44B0" w:rsidRDefault="001F4DFD">
      <w:pPr>
        <w:numPr>
          <w:ilvl w:val="0"/>
          <w:numId w:val="2"/>
        </w:numPr>
      </w:pPr>
      <w:r>
        <w:lastRenderedPageBreak/>
        <w:t>Missing values have been reviewed and addressed.</w:t>
      </w:r>
    </w:p>
    <w:p w14:paraId="3ED1A965" w14:textId="77777777" w:rsidR="004F44B0" w:rsidRDefault="001F4DFD">
      <w:pPr>
        <w:numPr>
          <w:ilvl w:val="0"/>
          <w:numId w:val="2"/>
        </w:numPr>
      </w:pPr>
      <w:r>
        <w:t>Outliers and implausible values have been investigated.</w:t>
      </w:r>
    </w:p>
    <w:p w14:paraId="0C5C5EE0" w14:textId="77777777" w:rsidR="004F44B0" w:rsidRDefault="001F4DFD">
      <w:pPr>
        <w:numPr>
          <w:ilvl w:val="0"/>
          <w:numId w:val="2"/>
        </w:numPr>
      </w:pPr>
      <w:r>
        <w:t>Highly collinear or redundant variables have been reviewed.</w:t>
      </w:r>
    </w:p>
    <w:p w14:paraId="4EB064A2" w14:textId="77777777" w:rsidR="004F44B0" w:rsidRDefault="001F4DFD">
      <w:pPr>
        <w:numPr>
          <w:ilvl w:val="0"/>
          <w:numId w:val="2"/>
        </w:numPr>
      </w:pPr>
      <w:r>
        <w:t>Transformations have been documented.</w:t>
      </w:r>
    </w:p>
    <w:p w14:paraId="60116999" w14:textId="77777777" w:rsidR="004F44B0" w:rsidRDefault="001F4DFD">
      <w:pPr>
        <w:numPr>
          <w:ilvl w:val="0"/>
          <w:numId w:val="2"/>
        </w:numPr>
      </w:pPr>
      <w:r>
        <w:t>The candidate covariate set is not too large relative to the number of areas.</w:t>
      </w:r>
    </w:p>
    <w:p w14:paraId="170D0F1E" w14:textId="77777777" w:rsidR="004F44B0" w:rsidRDefault="001F4DFD">
      <w:pPr>
        <w:numPr>
          <w:ilvl w:val="0"/>
          <w:numId w:val="2"/>
        </w:numPr>
      </w:pPr>
      <w:r>
        <w:t>Time-varying covariates are comparable across years.</w:t>
      </w:r>
    </w:p>
    <w:p w14:paraId="6B09A107" w14:textId="77777777" w:rsidR="004F44B0" w:rsidRDefault="001F4DFD">
      <w:pPr>
        <w:numPr>
          <w:ilvl w:val="0"/>
          <w:numId w:val="2"/>
        </w:numPr>
      </w:pPr>
      <w:r>
        <w:t>The final auxiliary dataset is saved and documented.</w:t>
      </w:r>
    </w:p>
    <w:p w14:paraId="6B736D0C"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462B4797"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br/>
        <w:br/>
      </w:r>
      <w:r>
        <w:t>Direct Estimates and Sampling Variances</w:t>
      </w:r>
      <w:bookmarkEnd w:id="152"/>
    </w:p>
    <w:p w14:paraId="05664ACB"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4050068B"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5917D03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019AF5DE"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0D7081C"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445EF86F"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0A6D8CA3"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27B8FDF7" w14:textId="77777777" w:rsidR="004F44B0" w:rsidRDefault="001F4DFD">
      <w:pPr>
        <w:pStyle w:val="BodyText"/>
      </w:pPr>
      <w:r>
        <w:t xml:space="preserve">For a poverty headcount ratio, the direct estimate is the weighted share of persons whose welfare is below the poverty line:</w:t>
      </w:r>
    </w:p>
    <w:p w14:paraId="7EF3C1C5"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d</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d</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685DA8FC"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6C28C6A7"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7359DF37" w14:textId="77777777" w:rsidR="004F44B0" w:rsidRDefault="001F4DFD">
      <w:pPr>
        <w:pStyle w:val="BodyText"/>
      </w:pPr>
      <w:r>
        <w:t>Operationally, users should produce a direct-estimate table with the following variables:</w:t>
      </w:r>
    </w:p>
    <w:p w14:paraId="59D52635" w14:textId="77777777" w:rsidR="004F44B0" w:rsidRDefault="001F4DFD">
      <w:pPr>
        <w:keepNext/>
        <w:spacing w:before="200" w:after="40" w:line="240" w:lineRule="auto"/>
        <w:jc w:val="center"/>
      </w:pPr>
      <w:r>
        <w:rPr>
          <w:rFonts w:cs="Times New Roman"/>
          <w:b/>
          <w:sz w:val="20"/>
        </w:rPr>
        <w:t>TABLE VII</w:t>
      </w:r>
    </w:p>
    <w:p w14:paraId="6127A860"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B25E270" w14:textId="77777777">
        <w:trPr>
          <w:cantSplit/>
          <w:tblHeader/>
        </w:trPr>
        <w:tc>
          <w:tcPr>
            <w:tcW w:w="2880" w:type="dxa"/>
            <w:tcBorders>
              <w:top w:val="single" w:sz="12" w:space="0" w:color="000000"/>
              <w:bottom w:val="single" w:sz="4" w:space="0" w:color="000000"/>
            </w:tcBorders>
            <w:vAlign w:val="bottom"/>
          </w:tcPr>
          <w:p w14:paraId="49736502"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AF6DA69" w14:textId="77777777" w:rsidR="004F44B0" w:rsidRDefault="001F4DFD">
            <w:pPr>
              <w:pStyle w:val="Compact"/>
            </w:pPr>
            <w:r>
              <w:rPr>
                <w:rFonts w:cs="Times New Roman"/>
                <w:smallCaps/>
              </w:rPr>
              <w:t>Description</w:t>
            </w:r>
          </w:p>
        </w:tc>
      </w:tr>
      <w:tr w:rsidR="004F44B0" w14:paraId="13159B1A" w14:textId="77777777">
        <w:trPr>
          <w:cantSplit/>
        </w:trPr>
        <w:tc>
          <w:tcPr>
            <w:tcW w:w="2880" w:type="dxa"/>
          </w:tcPr>
          <w:p w14:paraId="176C9292" w14:textId="77777777" w:rsidR="004F44B0" w:rsidRDefault="001F4DFD">
            <w:pPr>
              <w:pStyle w:val="Compact"/>
            </w:pPr>
            <w:r>
              <w:t>domain</w:t>
            </w:r>
          </w:p>
        </w:tc>
        <w:tc>
          <w:tcPr>
            <w:tcW w:w="6480" w:type="dxa"/>
          </w:tcPr>
          <w:p w14:paraId="3B3FA123" w14:textId="77777777" w:rsidR="004F44B0" w:rsidRDefault="001F4DFD">
            <w:pPr>
              <w:pStyle w:val="Compact"/>
            </w:pPr>
            <w:r>
              <w:t>Small-area identifier.</w:t>
            </w:r>
          </w:p>
        </w:tc>
      </w:tr>
      <w:tr w:rsidR="004F44B0" w14:paraId="72894660" w14:textId="77777777">
        <w:trPr>
          <w:cantSplit/>
        </w:trPr>
        <w:tc>
          <w:tcPr>
            <w:tcW w:w="2880" w:type="dxa"/>
          </w:tcPr>
          <w:p w14:paraId="3EEBF0B0" w14:textId="77777777" w:rsidR="004F44B0" w:rsidRDefault="001F4DFD">
            <w:pPr>
              <w:pStyle w:val="Compact"/>
            </w:pPr>
            <w:r>
              <w:t>year</w:t>
            </w:r>
          </w:p>
        </w:tc>
        <w:tc>
          <w:tcPr>
            <w:tcW w:w="6480" w:type="dxa"/>
          </w:tcPr>
          <w:p w14:paraId="7C7D6B46" w14:textId="77777777" w:rsidR="004F44B0" w:rsidRDefault="001F4DFD">
            <w:pPr>
              <w:pStyle w:val="Compact"/>
            </w:pPr>
            <w:r>
              <w:t>Survey year or round.</w:t>
            </w:r>
          </w:p>
        </w:tc>
      </w:tr>
      <w:tr w:rsidR="004F44B0" w14:paraId="5DC74231" w14:textId="77777777">
        <w:trPr>
          <w:cantSplit/>
        </w:trPr>
        <w:tc>
          <w:tcPr>
            <w:tcW w:w="2880" w:type="dxa"/>
          </w:tcPr>
          <w:p w14:paraId="175DCB16" w14:textId="77777777" w:rsidR="004F44B0" w:rsidRDefault="001F4DFD">
            <w:pPr>
              <w:pStyle w:val="Compact"/>
            </w:pPr>
            <w:r>
              <w:t>sample_size</w:t>
            </w:r>
          </w:p>
        </w:tc>
        <w:tc>
          <w:tcPr>
            <w:tcW w:w="6480" w:type="dxa"/>
          </w:tcPr>
          <w:p w14:paraId="0444C85D" w14:textId="77777777" w:rsidR="004F44B0" w:rsidRDefault="001F4DFD">
            <w:pPr>
              <w:pStyle w:val="Compact"/>
            </w:pPr>
            <w:r>
              <w:t>Number of sampled observations in the area-year cell.</w:t>
            </w:r>
          </w:p>
        </w:tc>
      </w:tr>
      <w:tr w:rsidR="004F44B0" w14:paraId="7B05235F" w14:textId="77777777">
        <w:trPr>
          <w:cantSplit/>
        </w:trPr>
        <w:tc>
          <w:tcPr>
            <w:tcW w:w="2880" w:type="dxa"/>
          </w:tcPr>
          <w:p w14:paraId="40434AA9" w14:textId="77777777" w:rsidR="004F44B0" w:rsidRDefault="001F4DFD">
            <w:pPr>
              <w:pStyle w:val="Compact"/>
            </w:pPr>
            <w:r>
              <w:t>direct_estimate</w:t>
            </w:r>
          </w:p>
        </w:tc>
        <w:tc>
          <w:tcPr>
            <w:tcW w:w="6480" w:type="dxa"/>
          </w:tcPr>
          <w:p w14:paraId="70940EB5" w14:textId="77777777" w:rsidR="004F44B0" w:rsidRDefault="001F4DFD">
            <w:pPr>
              <w:pStyle w:val="Compact"/>
            </w:pPr>
            <w:r>
              <w:t>Direct poverty estimate.</w:t>
            </w:r>
          </w:p>
        </w:tc>
      </w:tr>
      <w:tr w:rsidR="004F44B0" w14:paraId="00B948DD" w14:textId="77777777">
        <w:trPr>
          <w:cantSplit/>
        </w:trPr>
        <w:tc>
          <w:tcPr>
            <w:tcW w:w="2880" w:type="dxa"/>
          </w:tcPr>
          <w:p w14:paraId="0F2AE9D4" w14:textId="77777777" w:rsidR="004F44B0" w:rsidRDefault="001F4DFD">
            <w:pPr>
              <w:pStyle w:val="Compact"/>
            </w:pPr>
            <w:r>
              <w:t>sampling_variance</w:t>
            </w:r>
          </w:p>
        </w:tc>
        <w:tc>
          <w:tcPr>
            <w:tcW w:w="6480" w:type="dxa"/>
          </w:tcPr>
          <w:p w14:paraId="7C59164B" w14:textId="77777777" w:rsidR="004F44B0" w:rsidRDefault="001F4DFD">
            <w:pPr>
              <w:pStyle w:val="Compact"/>
            </w:pPr>
            <w:r>
              <w:t>Estimated sampling variance of the direct estimate.</w:t>
            </w:r>
          </w:p>
        </w:tc>
      </w:tr>
      <w:tr w:rsidR="004F44B0" w14:paraId="1EEF3064" w14:textId="77777777">
        <w:trPr>
          <w:cantSplit/>
        </w:trPr>
        <w:tc>
          <w:tcPr>
            <w:tcW w:w="2880" w:type="dxa"/>
          </w:tcPr>
          <w:p w14:paraId="5F2D0573" w14:textId="77777777" w:rsidR="004F44B0" w:rsidRDefault="001F4DFD">
            <w:pPr>
              <w:pStyle w:val="Compact"/>
            </w:pPr>
            <w:r>
              <w:t>standard_error</w:t>
            </w:r>
          </w:p>
        </w:tc>
        <w:tc>
          <w:tcPr>
            <w:tcW w:w="6480" w:type="dxa"/>
          </w:tcPr>
          <w:p w14:paraId="5D36EB56" w14:textId="77777777" w:rsidR="004F44B0" w:rsidRDefault="001F4DFD">
            <w:pPr>
              <w:pStyle w:val="Compact"/>
            </w:pPr>
            <w:r>
              <w:t>Square root of the sampling variance.</w:t>
            </w:r>
          </w:p>
        </w:tc>
      </w:tr>
      <w:tr w:rsidR="004F44B0" w14:paraId="5DE116F5" w14:textId="77777777">
        <w:trPr>
          <w:cantSplit/>
        </w:trPr>
        <w:tc>
          <w:tcPr>
            <w:tcW w:w="2880" w:type="dxa"/>
            <w:tcBorders>
              <w:bottom w:val="single" w:sz="12" w:space="0" w:color="000000"/>
            </w:tcBorders>
          </w:tcPr>
          <w:p w14:paraId="59202041" w14:textId="77777777" w:rsidR="004F44B0" w:rsidRDefault="001F4DFD">
            <w:pPr>
              <w:pStyle w:val="Compact"/>
            </w:pPr>
            <w:r>
              <w:t>cv</w:t>
            </w:r>
          </w:p>
        </w:tc>
        <w:tc>
          <w:tcPr>
            <w:tcW w:w="6480" w:type="dxa"/>
            <w:tcBorders>
              <w:bottom w:val="single" w:sz="12" w:space="0" w:color="000000"/>
            </w:tcBorders>
          </w:tcPr>
          <w:p w14:paraId="408232BB" w14:textId="77777777" w:rsidR="004F44B0" w:rsidRDefault="001F4DFD">
            <w:pPr>
              <w:pStyle w:val="Compact"/>
            </w:pPr>
            <w:r>
              <w:t xml:space="preserve">Coefficient of variation: standard error divided by the direct estimate, often shown as a percentage.</w:t>
            </w:r>
          </w:p>
        </w:tc>
      </w:tr>
    </w:tbl>
    <w:p w14:paraId="1F3AABD8" w14:textId="77777777" w:rsidR="004F44B0" w:rsidRDefault="001F4DFD">
      <w:pPr>
        <w:pStyle w:val="BodyText"/>
      </w:pPr>
      <w:r>
        <w:t xml:space="preserve">Direct estimates should be computed using the appropriate survey weights and, where possible, the survey design variables. In the Dashboard, direct estimates are therefore person-weighted; household size must be present in the survey data and mapped in the app (use a constant-one column for person records with person weights).</w:t>
      </w:r>
    </w:p>
    <w:p w14:paraId="28DF3418"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15DE4028" w14:textId="77777777" w:rsidR="004F44B0" w:rsidRDefault="001F4DFD">
      <w:pPr>
        <w:pStyle w:val="FirstParagraph"/>
      </w:pPr>
      <w:r>
        <w:t>The sampling variance measures the uncertainty of the direct estimate caused by the survey design and sample size. It is a required input for UFH and MFH models.</w:t>
      </w:r>
    </w:p>
    <w:p w14:paraId="0A50044B" w14:textId="77777777" w:rsidR="004F44B0" w:rsidRDefault="001F4DFD">
      <w:pPr>
        <w:pStyle w:val="BodyText"/>
      </w:pPr>
      <w:r>
        <w:t>The Fay-Herriot measurement equation can be written as:</w:t>
      </w:r>
    </w:p>
    <w:p w14:paraId="3AC168D8"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28DFF7C5"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330F71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7884F65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1FEC3E08"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45147047"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3C24368D" w14:textId="77777777" w:rsidR="004F44B0" w:rsidRDefault="001F4DFD">
      <w:pPr>
        <w:pStyle w:val="FirstParagraph"/>
      </w:pPr>
      <w:r>
        <w:t>The standard error is the square root of the sampling variance:</w:t>
      </w:r>
    </w:p>
    <w:p w14:paraId="544D8222"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C86340F" w14:textId="77777777" w:rsidR="004F44B0" w:rsidRDefault="001F4DFD">
      <w:pPr>
        <w:pStyle w:val="FirstParagraph"/>
      </w:pPr>
      <w:r>
        <w:t>The coefficient of variation is commonly computed as:</w:t>
      </w:r>
    </w:p>
    <w:p w14:paraId="0387F7E6"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123DDADF" w14:textId="77777777" w:rsidR="004F44B0" w:rsidRDefault="001F4DFD">
      <w:pPr>
        <w:pStyle w:val="FirstParagraph"/>
      </w:pPr>
      <w:r>
        <w:t xml:space="preserve">The CV is useful because it quantifies uncertainty about the size of the estimate. The Dashboard stores CVs as ratios: 0.09 means 9%. Multiply by 100 to present a CV as a percentage. High CVs indicate that the direct estimate is imprecise and that model-based estimates may add value.</w:t>
      </w:r>
    </w:p>
    <w:p w14:paraId="6A0245D8"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743E6F7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1A464B8C"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15CCF954"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7385B938"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6C1F91E7" w14:textId="77777777" w:rsidR="004F44B0" w:rsidRDefault="001F4DFD">
      <w:pPr>
        <w:pStyle w:val="BodyText"/>
      </w:pPr>
      <w:r>
        <w:t>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122D2ECD"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6926E4"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5F05F069"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01E4E874" w14:textId="77777777" w:rsidR="002B5F1E" w:rsidRDefault="001F4DFD">
      <w:pPr>
        <w:pStyle w:val="BodyText"/>
      </w:pPr>
      <w:r>
        <w:t>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45B66ABB"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02295172" w14:textId="77777777" w:rsidR="004F44B0" w:rsidRDefault="001F4DFD">
      <w:pPr>
        <w:pStyle w:val="BodyText"/>
      </w:pPr>
      <w:r>
        <w:t>In the app, the main variance options are:</w:t>
      </w:r>
    </w:p>
    <w:p w14:paraId="06262DCD" w14:textId="77777777" w:rsidR="004F44B0" w:rsidRDefault="001F4DFD">
      <w:pPr>
        <w:keepNext/>
        <w:spacing w:before="200" w:after="40" w:line="240" w:lineRule="auto"/>
        <w:jc w:val="center"/>
      </w:pPr>
      <w:r>
        <w:rPr>
          <w:rFonts w:cs="Times New Roman"/>
          <w:b/>
          <w:sz w:val="20"/>
        </w:rPr>
        <w:t>TABLE VIII</w:t>
      </w:r>
    </w:p>
    <w:p w14:paraId="01B7CB79"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82742E" w14:textId="77777777">
        <w:trPr>
          <w:cantSplit/>
          <w:tblHeader/>
        </w:trPr>
        <w:tc>
          <w:tcPr>
            <w:tcW w:w="2880" w:type="dxa"/>
            <w:tcBorders>
              <w:top w:val="single" w:sz="12" w:space="0" w:color="000000"/>
              <w:bottom w:val="single" w:sz="4" w:space="0" w:color="000000"/>
            </w:tcBorders>
            <w:vAlign w:val="bottom"/>
          </w:tcPr>
          <w:p w14:paraId="03059BB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932AF79" w14:textId="77777777" w:rsidR="004F44B0" w:rsidRDefault="001F4DFD">
            <w:pPr>
              <w:pStyle w:val="Compact"/>
            </w:pPr>
            <w:r>
              <w:rPr>
                <w:rFonts w:cs="Times New Roman"/>
                <w:smallCaps/>
              </w:rPr>
              <w:t>Interpretation</w:t>
            </w:r>
          </w:p>
        </w:tc>
      </w:tr>
      <w:tr w:rsidR="004F44B0" w14:paraId="2018E7E2" w14:textId="77777777">
        <w:trPr>
          <w:cantSplit/>
        </w:trPr>
        <w:tc>
          <w:tcPr>
            <w:tcW w:w="2880" w:type="dxa"/>
          </w:tcPr>
          <w:p w14:paraId="3FAFFDB6" w14:textId="77777777" w:rsidR="004F44B0" w:rsidRDefault="001F4DFD">
            <w:pPr>
              <w:pStyle w:val="Compact"/>
            </w:pPr>
            <w:r>
              <w:t>direct</w:t>
            </w:r>
          </w:p>
        </w:tc>
        <w:tc>
          <w:tcPr>
            <w:tcW w:w="6480" w:type="dxa"/>
          </w:tcPr>
          <w:p w14:paraId="5DA50E0D" w14:textId="77777777" w:rsidR="004F44B0" w:rsidRDefault="001F4DFD">
            <w:pPr>
              <w:pStyle w:val="Compact"/>
            </w:pPr>
            <w:r>
              <w:t>Use the raw survey variance estimates.</w:t>
            </w:r>
          </w:p>
        </w:tc>
      </w:tr>
      <w:tr w:rsidR="004F44B0" w14:paraId="4E8466CF" w14:textId="77777777">
        <w:trPr>
          <w:cantSplit/>
        </w:trPr>
        <w:tc>
          <w:tcPr>
            <w:tcW w:w="2880" w:type="dxa"/>
          </w:tcPr>
          <w:p w14:paraId="768496CD" w14:textId="77777777" w:rsidR="004F44B0" w:rsidRDefault="001F4DFD">
            <w:pPr>
              <w:pStyle w:val="Compact"/>
            </w:pPr>
            <w:r>
              <w:t>sm_out</w:t>
            </w:r>
          </w:p>
        </w:tc>
        <w:tc>
          <w:tcPr>
            <w:tcW w:w="6480" w:type="dxa"/>
          </w:tcPr>
          <w:p w14:paraId="579A1E2C"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1DE77347" w14:textId="77777777">
        <w:trPr>
          <w:cantSplit/>
        </w:trPr>
        <w:tc>
          <w:tcPr>
            <w:tcW w:w="2880" w:type="dxa"/>
            <w:tcBorders>
              <w:bottom w:val="single" w:sz="12" w:space="0" w:color="000000"/>
            </w:tcBorders>
          </w:tcPr>
          <w:p w14:paraId="4868F175" w14:textId="77777777" w:rsidR="004F44B0" w:rsidRDefault="001F4DFD">
            <w:pPr>
              <w:pStyle w:val="Compact"/>
            </w:pPr>
            <w:r>
              <w:t>sm_all</w:t>
            </w:r>
          </w:p>
        </w:tc>
        <w:tc>
          <w:tcPr>
            <w:tcW w:w="6480" w:type="dxa"/>
            <w:tcBorders>
              <w:bottom w:val="single" w:sz="12" w:space="0" w:color="000000"/>
            </w:tcBorders>
          </w:tcPr>
          <w:p w14:paraId="7D0402AC" w14:textId="77777777" w:rsidR="004F44B0" w:rsidRDefault="001F4DFD">
            <w:pPr>
              <w:pStyle w:val="Compact"/>
            </w:pPr>
            <w:r>
              <w:t>Replace all variances with smoothed variances.</w:t>
            </w:r>
          </w:p>
        </w:tc>
      </w:tr>
    </w:tbl>
    <w:p w14:paraId="533E28C2" w14:textId="77777777" w:rsidR="004F44B0" w:rsidRDefault="001F4DFD">
      <w:pPr>
        <w:pStyle w:val="BodyText"/>
      </w:pPr>
      <w:r>
        <w:t>A practical default is to start with sm_out, then compare results with direct and sm_all where feasible.</w:t>
      </w:r>
    </w:p>
    <w:p w14:paraId="12AE7CA3"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4AF02AB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7AA49755" w14:textId="77777777"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174E8FB1"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BEB3DDC"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AB1027A" w14:textId="77777777" w:rsidR="004F44B0" w:rsidRDefault="001F4DFD">
      <w:pPr>
        <w:pStyle w:val="FirstParagraph"/>
      </w:pPr>
      <w:r>
        <w:t>This covariance affects the standard error of estimated changes in poverty. For example, the variance of the difference between two direct estimates is:</w:t>
      </w:r>
    </w:p>
    <w:p w14:paraId="03B8EF32"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68BD01B7"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5F7BE4B"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7C4C23E6"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100A3AE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3824545"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67A85F5A" w14:textId="77777777" w:rsidR="004F44B0" w:rsidRDefault="001F4DFD">
      <w:pPr>
        <w:pStyle w:val="Heading2"/>
      </w:pPr>
      <w:bookmarkStart w:id="177" w:name="direct-estimate-outputs-for-the-app"/>
      <w:bookmarkStart w:id="178" w:name="_Toc231387042"/>
      <w:bookmarkStart w:id="179" w:name="_Toc242266035"/>
      <w:r>
        <w:t>6.9 Direct-estimate outputs for the app</w:t>
      </w:r>
      <w:bookmarkEnd w:id="177"/>
      <w:bookmarkEnd w:id="178"/>
      <w:bookmarkEnd w:id="179"/>
    </w:p>
    <w:p w14:paraId="415EE021"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FC9230F"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1252E4D2"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11211533" w14:textId="77777777" w:rsidR="004F44B0" w:rsidRDefault="001F4DFD">
      <w:pPr>
        <w:pStyle w:val="FirstParagraph"/>
      </w:pPr>
      <w:r>
        <w:t>Before proceeding to UFH or MFH estimation, users should confirm that:</w:t>
      </w:r>
    </w:p>
    <w:p w14:paraId="3D36EEE3"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F775E7E" w14:textId="77777777" w:rsidR="004F44B0" w:rsidRDefault="001F4DFD">
      <w:pPr>
        <w:numPr>
          <w:ilvl w:val="0"/>
          <w:numId w:val="2"/>
        </w:numPr>
      </w:pPr>
      <w:r>
        <w:t>Survey weights have been applied correctly.</w:t>
      </w:r>
    </w:p>
    <w:p w14:paraId="2170F46C" w14:textId="77777777" w:rsidR="004F44B0" w:rsidRDefault="001F4DFD">
      <w:pPr>
        <w:numPr>
          <w:ilvl w:val="0"/>
          <w:numId w:val="2"/>
        </w:numPr>
      </w:pPr>
      <w:r>
        <w:lastRenderedPageBreak/>
        <w:t>Sampling variances have been computed using the best available survey design information.</w:t>
      </w:r>
    </w:p>
    <w:p w14:paraId="055D9566" w14:textId="77777777" w:rsidR="004F44B0" w:rsidRDefault="001F4DFD">
      <w:pPr>
        <w:numPr>
          <w:ilvl w:val="0"/>
          <w:numId w:val="2"/>
        </w:numPr>
      </w:pPr>
      <w:r>
        <w:t>Standard errors and CVs have been reviewed.</w:t>
      </w:r>
    </w:p>
    <w:p w14:paraId="72392C70" w14:textId="77777777" w:rsidR="004F44B0" w:rsidRDefault="001F4DFD">
      <w:pPr>
        <w:numPr>
          <w:ilvl w:val="0"/>
          <w:numId w:val="2"/>
        </w:numPr>
      </w:pPr>
      <w:r>
        <w:t>Small-sample and zero-sample areas have been flagged.</w:t>
      </w:r>
    </w:p>
    <w:p w14:paraId="166AC258" w14:textId="77777777" w:rsidR="004F44B0" w:rsidRDefault="001F4DFD">
      <w:pPr>
        <w:numPr>
          <w:ilvl w:val="0"/>
          <w:numId w:val="2"/>
        </w:numPr>
      </w:pPr>
      <w:r>
        <w:t>Zero, one, and missing direct estimates have been investigated.</w:t>
      </w:r>
    </w:p>
    <w:p w14:paraId="18AE74FA" w14:textId="77777777" w:rsidR="004F44B0" w:rsidRDefault="001F4DFD">
      <w:pPr>
        <w:numPr>
          <w:ilvl w:val="0"/>
          <w:numId w:val="2"/>
        </w:numPr>
      </w:pPr>
      <w:r>
        <w:t>Zero, missing, or outlier sampling variances have been addressed or flagged.</w:t>
      </w:r>
    </w:p>
    <w:p w14:paraId="77CA4779" w14:textId="77777777" w:rsidR="004F44B0" w:rsidRDefault="001F4DFD">
      <w:pPr>
        <w:numPr>
          <w:ilvl w:val="0"/>
          <w:numId w:val="2"/>
        </w:numPr>
      </w:pPr>
      <w:r>
        <w:t>The variance smoothing strategy has been selected and documented.</w:t>
      </w:r>
    </w:p>
    <w:p w14:paraId="2624F70D" w14:textId="77777777" w:rsidR="004F44B0" w:rsidRDefault="001F4DFD">
      <w:pPr>
        <w:numPr>
          <w:ilvl w:val="0"/>
          <w:numId w:val="2"/>
        </w:numPr>
      </w:pPr>
      <w:r>
        <w:t>Cross-year sampling covariance has been considered for repeated surveys.</w:t>
      </w:r>
    </w:p>
    <w:p w14:paraId="73267E91" w14:textId="77777777" w:rsidR="004F44B0" w:rsidRDefault="001F4DFD">
      <w:pPr>
        <w:numPr>
          <w:ilvl w:val="0"/>
          <w:numId w:val="2"/>
        </w:numPr>
      </w:pPr>
      <w:r>
        <w:t>Direct estimates are plausible in light of country knowledge and auxiliary data.</w:t>
      </w:r>
    </w:p>
    <w:p w14:paraId="26D28081" w14:textId="77777777" w:rsidR="004F44B0" w:rsidRDefault="001F4DFD">
      <w:pPr>
        <w:pStyle w:val="FirstParagraph"/>
      </w:pPr>
      <w:r>
        <w:t>Users should not proceed to final model selection until the direct estimates and sampling variances have passed these checks.</w:t>
      </w:r>
    </w:p>
    <w:p w14:paraId="7498AA3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br/>
        <w:br/>
      </w:r>
      <w:r>
        <w:t>UFH Methodology</w:t>
      </w:r>
      <w:bookmarkEnd w:id="185"/>
    </w:p>
    <w:p w14:paraId="1FC688D3"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1E7BCAEA" w14:textId="77777777" w:rsidR="004F44B0" w:rsidRDefault="001F4DFD">
      <w:pPr>
        <w:pStyle w:val="FirstParagraph"/>
      </w:pPr>
      <w:r>
        <w:t>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0E2438B2"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1E9FB54B"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6FFAD3A9"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0496FD4C"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2F800CAD" w14:textId="77777777" w:rsidR="004F44B0" w:rsidRDefault="00E93A09">
      <w:pPr>
        <w:pStyle w:val="BodyText"/>
      </w:pPr>
      <w:r>
        <w:t>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5E7307F0"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7E0459C6"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07F50E19" w14:textId="77777777" w:rsidR="004F44B0" w:rsidRDefault="001F4DFD">
      <w:pPr>
        <w:pStyle w:val="ImageCaption"/>
      </w:pPr>
      <w:r>
        <w:t xml:space="preserve">Figure 2. Earlier-run illustration of 2013 Direct, FH and MFH estimates, ordered by Direct poverty rate. Regenerate these estimates with the current revision before interpreting numerical differences.</w:t>
      </w:r>
    </w:p>
    <w:p w14:paraId="5F2A90A6" w14:textId="77777777" w:rsidR="004F44B0" w:rsidRDefault="001F4DFD">
      <w:pPr>
        <w:pStyle w:val="BodyText"/>
      </w:pPr>
      <w:r>
        <w:t>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7EFC19A6"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28710458" w14:textId="77777777" w:rsidR="004F44B0" w:rsidRDefault="001F4DFD">
      <w:pPr>
        <w:pStyle w:val="Heading2"/>
      </w:pPr>
      <w:bookmarkStart w:id="192" w:name="_Toc242266040"/>
      <w:r>
        <w:t>7.3 What Fay–Herriot aims to estimate</w:t>
      </w:r>
      <w:bookmarkEnd w:id="192"/>
    </w:p>
    <w:p w14:paraId="12C0745F" w14:textId="77777777" w:rsidR="004F44B0" w:rsidRDefault="001F4DFD">
      <w:pPr>
        <w:pStyle w:val="FirstParagraph"/>
      </w:pPr>
      <w:r>
        <w:t>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C3D102A"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4DA2092D"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5C46EF2B"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28522D1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7397ED51" w14:textId="77777777" w:rsidR="004F44B0" w:rsidRDefault="001F4DFD">
      <w:pPr>
        <w:pStyle w:val="FirstParagraph"/>
      </w:pPr>
      <w:r>
        <w:t>For a fixed year, the UFH model can be written as:</w:t>
      </w:r>
    </w:p>
    <w:p w14:paraId="26783E34"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6DF71B71"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BE4B3FD" w14:textId="77777777" w:rsidR="004F44B0" w:rsidRDefault="001F4DFD">
      <w:pPr>
        <w:pStyle w:val="BodyText"/>
      </w:pPr>
      <w:r>
        <w:t>The sampling error is assumed to have mean zero and known or estimated sampling variance:</w:t>
      </w:r>
    </w:p>
    <w:p w14:paraId="4FD9C727"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70B9FFA0"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2A90A2E0" w14:textId="77777777" w:rsidR="004F44B0" w:rsidRDefault="001F4DFD">
      <w:pPr>
        <w:pStyle w:val="BodyText"/>
      </w:pPr>
      <w:r>
        <w:t>The area random effect captures area-level variation that is not explained by the auxiliary variables:</w:t>
      </w:r>
    </w:p>
    <w:p w14:paraId="09C527B2"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6B90939B"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47B8723" w14:textId="77777777" w:rsidR="002B5F1E" w:rsidRDefault="001F4DFD">
      <w:pPr>
        <w:pStyle w:val="BodyText"/>
      </w:pPr>
      <w:r>
        <w:t>Formally, the UFH estimate for area (d) is:</w:t>
      </w:r>
    </w:p>
    <w:p w14:paraId="31FC1DDC" w14:textId="77777777" w:rsidR="002B5F1E" w:rsidRDefault="00E3560C">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0125A16" w14:textId="77777777" w:rsidR="002B5F1E" w:rsidRDefault="001F4DFD">
      <w:pPr>
        <w:pStyle w:val="BodyText"/>
      </w:pPr>
      <w:r>
        <w:t>where the estimated shrinkage weight is:</w:t>
      </w:r>
    </w:p>
    <w:p w14:paraId="4B16DDAD" w14:textId="77777777" w:rsidR="002B5F1E" w:rsidRDefault="00E3560C">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47430DF7"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727B8795" w14:textId="77777777"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080D4A94" w14:textId="77777777" w:rsidR="004F44B0" w:rsidRDefault="001F4DFD">
      <w:pPr>
        <w:pStyle w:val="Heading2"/>
      </w:pPr>
      <w:bookmarkStart w:id="196" w:name="inputs-required-for-ufh"/>
      <w:bookmarkStart w:id="197" w:name="_Toc231387048"/>
      <w:bookmarkStart w:id="198" w:name="_Toc242266042"/>
      <w:r>
        <w:t>7.5 Inputs required for UFH</w:t>
      </w:r>
      <w:bookmarkEnd w:id="196"/>
      <w:bookmarkEnd w:id="197"/>
      <w:bookmarkEnd w:id="198"/>
    </w:p>
    <w:p w14:paraId="00F2D587" w14:textId="77777777" w:rsidR="004F44B0" w:rsidRDefault="001F4DFD">
      <w:pPr>
        <w:pStyle w:val="FirstParagraph"/>
      </w:pPr>
      <w:r>
        <w:t xml:space="preserve">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7EF653A3"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4AF38BE0" w14:textId="77777777"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C49F8E6"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3CDE784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DBA1FC7" w14:textId="77777777" w:rsidR="004F44B0" w:rsidRDefault="001F4DFD">
      <w:pPr>
        <w:pStyle w:val="BodyText"/>
      </w:pPr>
      <w:r>
        <w:t xml:space="preserve">The app supports four UFH transformation options: arcsin or no transformation for the headcount ratio (FGT(0)), and log or no transformation for mean welfare. FGT(1) and FGT(2) are always modeled without transformation.</w:t>
      </w:r>
    </w:p>
    <w:p w14:paraId="2861EE29"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4FFA5EB4"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531007FD" w14:textId="77777777" w:rsidR="004F44B0" w:rsidRDefault="001F4DFD">
      <w:pPr>
        <w:pStyle w:val="BodyText"/>
      </w:pPr>
      <w:r>
        <w:t>Transformations should improve stability and interpretation. They should not be used to hide poor model fit or unresolved data problems.</w:t>
      </w:r>
    </w:p>
    <w:p w14:paraId="290F64A1"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E9447A8" w14:textId="77777777"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298DE9B3"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mean must be positive and finite. UFH bias correction uses native emdi Slud–Maiti bc_sm with ML fitting and its original-scale analytical MSE. The naive option exponentiates the same fitted log-area mean and uses bootstrap MSE; it does not change the target into a geometric mean. The arcsine option follows the installed emdi point estimator; its upper-boundary limitation is disclosed in Annex G.4.</w:t>
      </w:r>
    </w:p>
    <w:p w14:paraId="444B408F" w14:textId="77777777" w:rsidR="004F44B0" w:rsidRDefault="001F4DFD">
      <w:pPr>
        <w:pStyle w:val="BodyText"/>
      </w:pPr>
      <w:r>
        <w:t xml:space="preserve">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5F88133"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79812D6F"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BB8E618"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2F6020C7" w14:textId="77777777" w:rsidR="004F44B0" w:rsidRDefault="001F4DFD">
      <w:pPr>
        <w:pStyle w:val="BodyText"/>
      </w:pPr>
      <w:r>
        <w:t>The app can select covariates automatically using AIC or BIC. Users can also force specific covariates by entering comma-separated variable names.</w:t>
      </w:r>
    </w:p>
    <w:p w14:paraId="15D64817"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58984D01"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65CF1779" w14:textId="77777777" w:rsidR="004F44B0" w:rsidRDefault="001F4DFD">
      <w:pPr>
        <w:pStyle w:val="BodyText"/>
      </w:pPr>
      <w:r>
        <w:t>Automatic model selection should support, not replace, technical judgment. The final model should be explainable to statistical reviewers and country counterparts.</w:t>
      </w:r>
    </w:p>
    <w:p w14:paraId="54C45D50"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0C3CB689"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10334B89" w14:textId="77777777" w:rsidR="004F44B0" w:rsidRDefault="001F4DFD">
      <w:pPr>
        <w:pStyle w:val="BodyText"/>
      </w:pPr>
      <w:r>
        <w:t>When no transformation is used, the app allows the following variance options:</w:t>
      </w:r>
    </w:p>
    <w:p w14:paraId="1AE58F3A" w14:textId="77777777" w:rsidR="004F44B0" w:rsidRDefault="001F4DFD">
      <w:pPr>
        <w:keepNext/>
        <w:spacing w:before="200" w:after="40" w:line="240" w:lineRule="auto"/>
        <w:jc w:val="center"/>
      </w:pPr>
      <w:r>
        <w:rPr>
          <w:rFonts w:cs="Times New Roman"/>
          <w:b/>
          <w:sz w:val="20"/>
        </w:rPr>
        <w:lastRenderedPageBreak/>
        <w:t>TABLE IX</w:t>
      </w:r>
    </w:p>
    <w:p w14:paraId="73B47058"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92AE465" w14:textId="77777777">
        <w:trPr>
          <w:cantSplit/>
          <w:tblHeader/>
        </w:trPr>
        <w:tc>
          <w:tcPr>
            <w:tcW w:w="2880" w:type="dxa"/>
            <w:tcBorders>
              <w:top w:val="single" w:sz="12" w:space="0" w:color="000000"/>
              <w:bottom w:val="single" w:sz="4" w:space="0" w:color="000000"/>
            </w:tcBorders>
            <w:vAlign w:val="bottom"/>
          </w:tcPr>
          <w:p w14:paraId="6C46DCB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58E8FAD" w14:textId="77777777" w:rsidR="004F44B0" w:rsidRDefault="001F4DFD">
            <w:pPr>
              <w:pStyle w:val="Compact"/>
            </w:pPr>
            <w:r>
              <w:rPr>
                <w:rFonts w:cs="Times New Roman"/>
                <w:smallCaps/>
              </w:rPr>
              <w:t>Interpretation</w:t>
            </w:r>
          </w:p>
        </w:tc>
      </w:tr>
      <w:tr w:rsidR="004F44B0" w14:paraId="27583974" w14:textId="77777777">
        <w:trPr>
          <w:cantSplit/>
        </w:trPr>
        <w:tc>
          <w:tcPr>
            <w:tcW w:w="2880" w:type="dxa"/>
          </w:tcPr>
          <w:p w14:paraId="7D88DCF7" w14:textId="77777777" w:rsidR="004F44B0" w:rsidRDefault="001F4DFD">
            <w:pPr>
              <w:pStyle w:val="Compact"/>
            </w:pPr>
            <w:r>
              <w:t>direct</w:t>
            </w:r>
          </w:p>
        </w:tc>
        <w:tc>
          <w:tcPr>
            <w:tcW w:w="6480" w:type="dxa"/>
          </w:tcPr>
          <w:p w14:paraId="0691EDB0" w14:textId="77777777" w:rsidR="004F44B0" w:rsidRDefault="001F4DFD">
            <w:pPr>
              <w:pStyle w:val="Compact"/>
            </w:pPr>
            <w:r>
              <w:t>Use the raw survey variance estimates.</w:t>
            </w:r>
          </w:p>
        </w:tc>
      </w:tr>
      <w:tr w:rsidR="004F44B0" w14:paraId="4ED56D07" w14:textId="77777777">
        <w:trPr>
          <w:cantSplit/>
        </w:trPr>
        <w:tc>
          <w:tcPr>
            <w:tcW w:w="2880" w:type="dxa"/>
          </w:tcPr>
          <w:p w14:paraId="7EA0D9AC" w14:textId="77777777" w:rsidR="004F44B0" w:rsidRDefault="001F4DFD">
            <w:pPr>
              <w:pStyle w:val="Compact"/>
            </w:pPr>
            <w:r>
              <w:t>sm_out</w:t>
            </w:r>
          </w:p>
        </w:tc>
        <w:tc>
          <w:tcPr>
            <w:tcW w:w="6480" w:type="dxa"/>
          </w:tcPr>
          <w:p w14:paraId="7BCBA713"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C44D3B7" w14:textId="77777777">
        <w:trPr>
          <w:cantSplit/>
        </w:trPr>
        <w:tc>
          <w:tcPr>
            <w:tcW w:w="2880" w:type="dxa"/>
            <w:tcBorders>
              <w:bottom w:val="single" w:sz="12" w:space="0" w:color="000000"/>
            </w:tcBorders>
          </w:tcPr>
          <w:p w14:paraId="6CC47963" w14:textId="77777777" w:rsidR="004F44B0" w:rsidRDefault="001F4DFD">
            <w:pPr>
              <w:pStyle w:val="Compact"/>
            </w:pPr>
            <w:r>
              <w:t>sm_all</w:t>
            </w:r>
          </w:p>
        </w:tc>
        <w:tc>
          <w:tcPr>
            <w:tcW w:w="6480" w:type="dxa"/>
            <w:tcBorders>
              <w:bottom w:val="single" w:sz="12" w:space="0" w:color="000000"/>
            </w:tcBorders>
          </w:tcPr>
          <w:p w14:paraId="4871AE9F" w14:textId="77777777" w:rsidR="004F44B0" w:rsidRDefault="001F4DFD">
            <w:pPr>
              <w:pStyle w:val="Compact"/>
            </w:pPr>
            <w:r>
              <w:t>Replace all variances with smoothed variances.</w:t>
            </w:r>
          </w:p>
        </w:tc>
      </w:tr>
    </w:tbl>
    <w:p w14:paraId="077AF80A" w14:textId="77777777" w:rsidR="004F44B0" w:rsidRDefault="001F4DFD">
      <w:pPr>
        <w:pStyle w:val="BodyText"/>
      </w:pPr>
      <w:r>
        <w:t>When UFH uses no transformation, start with sm_out, compare with direct when raw sampling variances are reliable, and consider sm_all when many variances are unstable. sm_out replaces missing, non-finite, or strictly below-0.001 variances; a variance equal to 0.001 is retained. Document the setting used.</w:t>
      </w:r>
    </w:p>
    <w:p w14:paraId="138A41F8" w14:textId="77777777" w:rsidR="004F44B0" w:rsidRDefault="001F4DFD">
      <w:pPr>
        <w:pStyle w:val="BodyText"/>
      </w:pPr>
      <w:r>
        <w:t>The UFH variance selector applies only with no transformation. With arcsin, the implementation backfills missing or zero sampling variances rather than applying the below-0.001 rule. With log, the pipeline uses sm_out and ignores the selector. MFH has its own variance and covariance controls, which remain available with log mean welfare. Review the direct variances and the actual settings recorded in the run.</w:t>
      </w:r>
    </w:p>
    <w:p w14:paraId="3A11929F"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4F32BB32"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8445A68" w14:textId="77777777" w:rsidR="004F44B0" w:rsidRDefault="001F4DFD">
      <w:pPr>
        <w:pStyle w:val="BodyText"/>
      </w:pPr>
      <w:r>
        <w:t>UFH diagnostics should include:</w:t>
      </w:r>
    </w:p>
    <w:p w14:paraId="2BD82B58" w14:textId="77777777" w:rsidR="004F44B0" w:rsidRDefault="001F4DFD">
      <w:pPr>
        <w:numPr>
          <w:ilvl w:val="0"/>
          <w:numId w:val="2"/>
        </w:numPr>
      </w:pPr>
      <w:r>
        <w:t>Model convergence status.</w:t>
      </w:r>
    </w:p>
    <w:p w14:paraId="1F038B23" w14:textId="77777777" w:rsidR="004F44B0" w:rsidRDefault="001F4DFD">
      <w:pPr>
        <w:numPr>
          <w:ilvl w:val="0"/>
          <w:numId w:val="2"/>
        </w:numPr>
      </w:pPr>
      <w:r>
        <w:t>Selected covariates and their plausibility.</w:t>
      </w:r>
    </w:p>
    <w:p w14:paraId="65FD9215" w14:textId="77777777" w:rsidR="004F44B0" w:rsidRDefault="001F4DFD">
      <w:pPr>
        <w:numPr>
          <w:ilvl w:val="0"/>
          <w:numId w:val="2"/>
        </w:numPr>
      </w:pPr>
      <w:r>
        <w:t>Residual plots.</w:t>
      </w:r>
    </w:p>
    <w:p w14:paraId="4BDA1DB3" w14:textId="77777777" w:rsidR="004F44B0" w:rsidRDefault="001F4DFD">
      <w:pPr>
        <w:numPr>
          <w:ilvl w:val="0"/>
          <w:numId w:val="2"/>
        </w:numPr>
      </w:pPr>
      <w:r>
        <w:t>Q-Q plots of residuals.</w:t>
      </w:r>
    </w:p>
    <w:p w14:paraId="09B22F5A" w14:textId="77777777" w:rsidR="004F44B0" w:rsidRDefault="001F4DFD">
      <w:pPr>
        <w:numPr>
          <w:ilvl w:val="0"/>
          <w:numId w:val="2"/>
        </w:numPr>
      </w:pPr>
      <w:r>
        <w:t>Q-Q plots or histograms of random effects.</w:t>
      </w:r>
    </w:p>
    <w:p w14:paraId="13CF4293" w14:textId="77777777" w:rsidR="004F44B0" w:rsidRDefault="001F4DFD">
      <w:pPr>
        <w:numPr>
          <w:ilvl w:val="0"/>
          <w:numId w:val="2"/>
        </w:numPr>
      </w:pPr>
      <w:r>
        <w:t>Outlier areas.</w:t>
      </w:r>
    </w:p>
    <w:p w14:paraId="1139C1B2" w14:textId="77777777" w:rsidR="004F44B0" w:rsidRDefault="001F4DFD">
      <w:pPr>
        <w:numPr>
          <w:ilvl w:val="0"/>
          <w:numId w:val="2"/>
        </w:numPr>
      </w:pPr>
      <w:r>
        <w:t>Estimated random-effect variance.</w:t>
      </w:r>
    </w:p>
    <w:p w14:paraId="6FC8774B" w14:textId="77777777" w:rsidR="004F44B0" w:rsidRDefault="001F4DFD">
      <w:pPr>
        <w:numPr>
          <w:ilvl w:val="0"/>
          <w:numId w:val="2"/>
        </w:numPr>
      </w:pPr>
      <w:r>
        <w:t>Comparison of direct and UFH estimates.</w:t>
      </w:r>
    </w:p>
    <w:p w14:paraId="789569D6" w14:textId="77777777" w:rsidR="004F44B0" w:rsidRDefault="001F4DFD">
      <w:pPr>
        <w:numPr>
          <w:ilvl w:val="0"/>
          <w:numId w:val="2"/>
        </w:numPr>
      </w:pPr>
      <w:r>
        <w:t>Comparison of direct and UFH standard errors or CVs.</w:t>
      </w:r>
    </w:p>
    <w:p w14:paraId="170A1EAC" w14:textId="77777777" w:rsidR="004F44B0" w:rsidRDefault="001F4DFD">
      <w:pPr>
        <w:numPr>
          <w:ilvl w:val="0"/>
          <w:numId w:val="2"/>
        </w:numPr>
      </w:pPr>
      <w:r>
        <w:lastRenderedPageBreak/>
        <w:t>Sensitivity to covariate selection.</w:t>
      </w:r>
    </w:p>
    <w:p w14:paraId="7A475D8F" w14:textId="77777777" w:rsidR="004F44B0" w:rsidRDefault="001F4DFD">
      <w:pPr>
        <w:numPr>
          <w:ilvl w:val="0"/>
          <w:numId w:val="2"/>
        </w:numPr>
      </w:pPr>
      <w:r>
        <w:t>Sensitivity to variance smoothing.</w:t>
      </w:r>
    </w:p>
    <w:p w14:paraId="1EDD362E" w14:textId="77777777" w:rsidR="004F44B0" w:rsidRDefault="001F4DFD">
      <w:pPr>
        <w:numPr>
          <w:ilvl w:val="0"/>
          <w:numId w:val="2"/>
        </w:numPr>
      </w:pPr>
      <w:r>
        <w:t>Maps of estimates and uncertainty.</w:t>
      </w:r>
    </w:p>
    <w:p w:rsidR="008D263D" w:rsidRDefault="00733D29">
      <w:pPr>
        <w:pStyle w:val="BodyText"/>
      </w:pPr>
      <w:r>
        <w:t>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277446AC"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32C804A9"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E678882" w14:textId="77777777" w:rsidR="004F44B0" w:rsidRDefault="001F4DFD">
      <w:pPr>
        <w:pStyle w:val="ImageCaption"/>
      </w:pPr>
      <w:r>
        <w:t xml:space="preserve">Figure 3. Earlier-run illustration of UFH residual diagnostics for 2013. Current numerical diagnostics must be regenerated with the revised estimator.</w:t>
      </w:r>
    </w:p>
    <w:p w14:paraId="24ECB726"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83AF111"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83EDEDB"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1EF874EA" w14:textId="77777777" w:rsidR="004F44B0" w:rsidRDefault="001F4DFD">
      <w:pPr>
        <w:pStyle w:val="BodyText"/>
      </w:pPr>
      <w:r>
        <w:t xml:space="preserve">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3CAA0A8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6261B401"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59436C98" w14:textId="77777777" w:rsidR="004F44B0" w:rsidRDefault="001F4DFD">
      <w:pPr>
        <w:pStyle w:val="FirstParagraph"/>
      </w:pPr>
      <w:r>
        <w:t>Benchmarking adjusts small-area estimates so they aggregate to trusted estimates at a higher geographic level, such as regions or national totals. Benchmarking can be useful when official higher-level estimates are considered reliable and should be preserved.</w:t>
      </w:r>
    </w:p>
    <w:p w14:paraId="0AA9E215"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and mean welfare,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benchmarking adjustments, and more general constrained benchmarking schemes are available in the small-area estimation benchmarking literature (Datta et al., 2011; Bell, Datta, and Ghosh, 2013).</w:t>
      </w:r>
    </w:p>
    <w:p w14:paraId="3252F175" w14:textId="77777777" w:rsidR="009E62CE" w:rsidRDefault="00C32C6E">
      <w:pPr>
        <w:pStyle w:val="BodyText"/>
      </w:pPr>
      <w:r>
        <w:t xml:space="preserve">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Within the benchmarking step, if a target or the model aggregate is missing, or the aggregate is close to zero, the factor is set to 1, so the target is not guaranteed to be met. And the ratio does not keep poverty rates at or below 1.</w:t>
      </w:r>
    </w:p>
    <w:p w14:paraId="3305E754" w14:textId="77777777"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populations and estimated sampling covariance inputs are held fixed; variable-selection and variance-smoothing uncertainty are not included. The shared Bootstrap replicates control defaults to 500 for UFH, MFH and benchmarking; explicit counts restored from older setups are retained. Successful finite replicates and rejected fits are counted; insufficient draws make uncertainty unavailable. More draws improve Monte Carlo precision, not model validity or guaranteed coverage.</w:t>
      </w:r>
    </w:p>
    <w:p w14:paraId="0488427B"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7A6B2EAA"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7CEA229F" w14:textId="77777777" w:rsidR="004F44B0" w:rsidRDefault="001F4DFD">
      <w:pPr>
        <w:pStyle w:val="BodyText"/>
      </w:pPr>
      <w:r>
        <w:lastRenderedPageBreak/>
        <w:t>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14:paraId="3D3F1922"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populations and estimated sampling covariance inputs are held fixed; variable-selection and variance-smoothing uncertainty are not included. There is no separate post-bootstrap currency adjustment and no reuse of a log-scale coefficient of variation as the MSE of the final estimator.</w:t>
      </w:r>
    </w:p>
    <w:p w14:paraId="38B4126E" w14:textId="77777777" w:rsidR="004F44B0" w:rsidRDefault="001F4DFD">
      <w:pPr>
        <w:pStyle w:val="BodyText"/>
      </w:pPr>
      <w:r>
        <w:t xml:space="preserve">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F33E112" w14:textId="77777777" w:rsidR="004F44B0" w:rsidRDefault="001F4DFD">
      <w:pPr>
        <w:pStyle w:val="BodyText"/>
      </w:pPr>
      <w:r>
        <w:t>Benchmarking should not be used to force consistency with a benchmark that is conceptually different from the small-area estimates.</w:t>
      </w:r>
    </w:p>
    <w:p w14:paraId="344E6AF2"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3F69A60C"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5313F5E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FCE373A"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65297366" w14:textId="77777777" w:rsidR="004F44B0" w:rsidRDefault="001F4DFD">
      <w:pPr>
        <w:pStyle w:val="FirstParagraph"/>
      </w:pPr>
      <w:r>
        <w:t>Before accepting UFH results, users should confirm that:</w:t>
      </w:r>
    </w:p>
    <w:p w14:paraId="023D0D44" w14:textId="77777777" w:rsidR="004F44B0" w:rsidRDefault="001F4DFD">
      <w:pPr>
        <w:numPr>
          <w:ilvl w:val="0"/>
          <w:numId w:val="2"/>
        </w:numPr>
      </w:pPr>
      <w:r>
        <w:t>Direct estimates and sampling variances have been reviewed.</w:t>
      </w:r>
    </w:p>
    <w:p w14:paraId="7B328AD1" w14:textId="77777777" w:rsidR="004F44B0" w:rsidRDefault="001F4DFD">
      <w:pPr>
        <w:numPr>
          <w:ilvl w:val="0"/>
          <w:numId w:val="2"/>
        </w:numPr>
      </w:pPr>
      <w:r>
        <w:t>Auxiliary variables are available for all target areas.</w:t>
      </w:r>
    </w:p>
    <w:p w14:paraId="5D047F12" w14:textId="77777777" w:rsidR="004F44B0" w:rsidRDefault="001F4DFD">
      <w:pPr>
        <w:numPr>
          <w:ilvl w:val="0"/>
          <w:numId w:val="2"/>
        </w:numPr>
      </w:pPr>
      <w:r>
        <w:t>The selected transformation is appropriate.</w:t>
      </w:r>
    </w:p>
    <w:p w14:paraId="108BABC9" w14:textId="77777777" w:rsidR="004F44B0" w:rsidRDefault="001F4DFD">
      <w:pPr>
        <w:numPr>
          <w:ilvl w:val="0"/>
          <w:numId w:val="2"/>
        </w:numPr>
      </w:pPr>
      <w:r>
        <w:t>Bias correction is applied when needed.</w:t>
      </w:r>
    </w:p>
    <w:p w14:paraId="5949F41E" w14:textId="77777777" w:rsidR="004F44B0" w:rsidRDefault="001F4DFD">
      <w:pPr>
        <w:numPr>
          <w:ilvl w:val="0"/>
          <w:numId w:val="2"/>
        </w:numPr>
      </w:pPr>
      <w:r>
        <w:t>The variance option is appropriate and documented.</w:t>
      </w:r>
    </w:p>
    <w:p w14:paraId="05270249" w14:textId="77777777" w:rsidR="004F44B0" w:rsidRDefault="001F4DFD">
      <w:pPr>
        <w:numPr>
          <w:ilvl w:val="0"/>
          <w:numId w:val="2"/>
        </w:numPr>
      </w:pPr>
      <w:r>
        <w:lastRenderedPageBreak/>
        <w:t>The selected covariates are plausible and not overfitted.</w:t>
      </w:r>
    </w:p>
    <w:p w14:paraId="448F66C3" w14:textId="77777777" w:rsidR="004F44B0" w:rsidRDefault="001F4DFD">
      <w:pPr>
        <w:numPr>
          <w:ilvl w:val="0"/>
          <w:numId w:val="2"/>
        </w:numPr>
      </w:pPr>
      <w:r>
        <w:t>The model converged successfully.</w:t>
      </w:r>
    </w:p>
    <w:p w14:paraId="4C66222D" w14:textId="77777777" w:rsidR="004F44B0" w:rsidRDefault="001F4DFD">
      <w:pPr>
        <w:numPr>
          <w:ilvl w:val="0"/>
          <w:numId w:val="2"/>
        </w:numPr>
      </w:pPr>
      <w:r>
        <w:t>Residuals and random effects do not show major problems.</w:t>
      </w:r>
    </w:p>
    <w:p w14:paraId="053A024D" w14:textId="77777777" w:rsidR="004F44B0" w:rsidRDefault="001F4DFD">
      <w:pPr>
        <w:numPr>
          <w:ilvl w:val="0"/>
          <w:numId w:val="2"/>
        </w:numPr>
      </w:pPr>
      <w:r>
        <w:t>UFH estimates are broadly consistent with direct estimates.</w:t>
      </w:r>
    </w:p>
    <w:p w14:paraId="1D76F14F" w14:textId="77777777" w:rsidR="004F44B0" w:rsidRDefault="001F4DFD">
      <w:pPr>
        <w:numPr>
          <w:ilvl w:val="0"/>
          <w:numId w:val="2"/>
        </w:numPr>
      </w:pPr>
      <w:r>
        <w:t>UFH standard errors or CVs show reasonable precision gains.</w:t>
      </w:r>
    </w:p>
    <w:p w14:paraId="7714130D" w14:textId="77777777" w:rsidR="004F44B0" w:rsidRDefault="001F4DFD">
      <w:pPr>
        <w:numPr>
          <w:ilvl w:val="0"/>
          <w:numId w:val="2"/>
        </w:numPr>
      </w:pPr>
      <w:r>
        <w:t>Results are not highly sensitive to reasonable alternative settings.</w:t>
      </w:r>
    </w:p>
    <w:p w14:paraId="582BD222" w14:textId="77777777" w:rsidR="004F44B0" w:rsidRDefault="001F4DFD">
      <w:pPr>
        <w:numPr>
          <w:ilvl w:val="0"/>
          <w:numId w:val="2"/>
        </w:numPr>
      </w:pPr>
      <w:r>
        <w:t>Benchmarking, if used, is documented and reviewed.</w:t>
      </w:r>
    </w:p>
    <w:p w14:paraId="2429384C" w14:textId="77777777" w:rsidR="004F44B0" w:rsidRDefault="001F4DFD">
      <w:pPr>
        <w:numPr>
          <w:ilvl w:val="0"/>
          <w:numId w:val="2"/>
        </w:numPr>
      </w:pPr>
      <w:r>
        <w:t>Final maps include uncertainty information.</w:t>
      </w:r>
    </w:p>
    <w:p w14:paraId="5C617C32" w14:textId="77777777" w:rsidR="004F44B0" w:rsidRDefault="001F4DFD">
      <w:pPr>
        <w:pStyle w:val="FirstParagraph"/>
      </w:pPr>
      <w:r>
        <w:t>UFH results should be treated as provisional until these checks have been completed.</w:t>
      </w:r>
    </w:p>
    <w:p w14:paraId="22E67A09"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br/>
        <w:br/>
      </w:r>
      <w:r>
        <w:t>MFH Methodology</w:t>
      </w:r>
      <w:bookmarkEnd w:id="228"/>
    </w:p>
    <w:p w14:paraId="7EE46603"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1B2A6A84"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545134F"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060290E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B7C865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33999F4"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3D41F40"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6BBFAC85"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34A5517"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45AF270D"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B79F370"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407D0819" w14:textId="77777777" w:rsidR="004F44B0" w:rsidRDefault="001F4DFD">
      <w:pPr>
        <w:pStyle w:val="FirstParagraph"/>
      </w:pPr>
      <w:r>
        <w:t>For area (d) and year (t), the MFH model can be written as:</w:t>
      </w:r>
    </w:p>
    <w:p w14:paraId="17AC7D07"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4F453621"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2D3A7FDC" w14:textId="77777777" w:rsidR="004F44B0" w:rsidRDefault="001F4DFD">
      <w:pPr>
        <w:pStyle w:val="BodyText"/>
      </w:pPr>
      <w:r>
        <w:t>The sampling error has variance:</w:t>
      </w:r>
    </w:p>
    <w:p w14:paraId="3847D5AB"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6DCC42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4E5F085B"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2ED05743" w14:textId="77777777" w:rsidR="004F44B0" w:rsidRDefault="001F4DFD">
      <w:pPr>
        <w:pStyle w:val="BodyText"/>
      </w:pPr>
      <w:r>
        <w:t>This time correlation is what allows MFH to borrow strength across years.</w:t>
      </w:r>
    </w:p>
    <w:p w14:paraId="09B074C4" w14:textId="77777777" w:rsidR="002B5F1E" w:rsidRDefault="001F4DFD">
      <w:pPr>
        <w:pStyle w:val="BodyText"/>
      </w:pPr>
      <w:r>
        <w:t>Stacking the years for area (d), the MFH estimate is the multivariate empirical best linear unbiased predictor:</w:t>
      </w:r>
    </w:p>
    <w:p w14:paraId="517C4B5C" w14:textId="77777777" w:rsidR="002B5F1E" w:rsidRDefault="00E3560C">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m:t>
              </m:r>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2863DF31"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1A761B5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4002B4F6"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42E52698"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6C067E44"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5026E9DE"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7FE6CA87"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53F497ED" w14:textId="77777777" w:rsidR="004F44B0" w:rsidRDefault="001F4DFD">
      <w:pPr>
        <w:pStyle w:val="FirstParagraph"/>
      </w:pPr>
      <w:r>
        <w:t>The app includes three MFH variants: MFH1, MFH2, and MFH3. The main difference among them is how they model the covariance structure of the area-time random effects.</w:t>
      </w:r>
    </w:p>
    <w:p w14:paraId="697534BD" w14:textId="77777777" w:rsidR="004F44B0" w:rsidRDefault="001F4DFD">
      <w:pPr>
        <w:pStyle w:val="BodyText"/>
        <w:rPr>
          <w:b/>
        </w:rPr>
      </w:pPr>
      <w:r>
        <w:rPr>
          <w:b/>
        </w:rPr>
        <w:t>MFH1: diagonal (independent years).</w:t>
      </w:r>
    </w:p>
    <w:p w14:paraId="5075281A"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990476F" w14:textId="77777777" w:rsidR="004F44B0" w:rsidRDefault="001F4DFD">
      <w:pPr>
        <w:pStyle w:val="BodyText"/>
        <w:rPr>
          <w:b/>
        </w:rPr>
      </w:pPr>
      <w:r>
        <w:rPr>
          <w:b/>
        </w:rPr>
        <w:t>MFH2: homoskedastic AR(1) structure.</w:t>
      </w:r>
    </w:p>
    <w:p w14:paraId="6F114CEE" w14:textId="77777777" w:rsidR="004F44B0" w:rsidRDefault="001F4DFD">
      <w:pPr>
        <w:pStyle w:val="BodyText"/>
      </w:pPr>
      <w:r>
        <w:t xml:space="preserve">MFH2 uses a stationary AR(1)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05C13DFA" w14:textId="77777777" w:rsidR="004F44B0" w:rsidRDefault="001F4DFD">
      <w:pPr>
        <w:pStyle w:val="BodyText"/>
        <w:rPr>
          <w:b/>
        </w:rPr>
      </w:pPr>
      <w:r>
        <w:rPr>
          <w:b/>
        </w:rPr>
        <w:t>MFH3: heteroskedastic AR(1) structure.</w:t>
      </w:r>
    </w:p>
    <w:p w14:paraId="61734881" w14:textId="77777777" w:rsidR="004F44B0" w:rsidRDefault="001F4DFD">
      <w:pPr>
        <w:pStyle w:val="BodyText"/>
      </w:pPr>
      <w:r>
        <w:t xml:space="preserve">MFH3 permits time-varying innovation variances and uses u0 ~ N(0,1), with u1 = rho × u0 + a1. The fit and bootstrap use this same initial state. Its fixed initial variance makes the model sensitive to outcome measurement scale and can complicate fitting. An unusable MFH3 endpoint leads to MFH2 with the reason recorded.</w:t>
      </w:r>
    </w:p>
    <w:p w14:paraId="1EB16EE8"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17F87F4B" w14:textId="77777777" w:rsidR="004F44B0" w:rsidRDefault="001F4DFD">
      <w:pPr>
        <w:pStyle w:val="ImageCaption"/>
      </w:pPr>
      <w:r>
        <w:t>Figure 4. The three MFH random-effect covariance structures over T = 5 periods: MFH1 (diagonal / independent years), MFH2 (homoskedastic AR(1)), and MFH3 (heteroskedastic AR(1)).</w:t>
      </w:r>
    </w:p>
    <w:p w14:paraId="33381EE3" w14:textId="77777777" w:rsidR="004F44B0" w:rsidRDefault="001F4DFD">
      <w:pPr>
        <w:pStyle w:val="Heading2"/>
      </w:pPr>
      <w:bookmarkStart w:id="244" w:name="choosing-among-mfh1-mfh2-and-mfh3"/>
      <w:bookmarkStart w:id="245" w:name="_Toc231387064"/>
      <w:bookmarkStart w:id="246" w:name="_Toc242266058"/>
      <w:r>
        <w:t>8.6 Choosing among MFH1, MFH2, and MFH3</w:t>
      </w:r>
      <w:bookmarkEnd w:id="244"/>
      <w:bookmarkEnd w:id="245"/>
      <w:bookmarkEnd w:id="246"/>
    </w:p>
    <w:p w14:paraId="0B05BE9D" w14:textId="77777777" w:rsidR="004F44B0" w:rsidRDefault="001F4DFD">
      <w:pPr>
        <w:pStyle w:val="FirstParagraph"/>
      </w:pPr>
      <w:r>
        <w:t xml:space="preserve">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766E3FD5"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7EE0CB10" w14:textId="77777777">
        <w:tc>
          <w:tcPr>
            <w:tcW w:w="9240" w:type="dxa"/>
            <w:shd w:val="clear" w:color="auto" w:fill="FFF2CC"/>
            <w:tcMar>
              <w:top w:w="90" w:type="dxa"/>
              <w:left w:w="100" w:type="dxa"/>
              <w:bottom w:w="90" w:type="dxa"/>
              <w:right w:w="100" w:type="dxa"/>
            </w:tcMar>
          </w:tcPr>
          <w:p w14:paraId="7E93D46C" w14:textId="77777777" w:rsidR="0071327A" w:rsidRDefault="00162135">
            <w:pPr>
              <w:keepNext/>
              <w:spacing w:after="80"/>
            </w:pPr>
            <w:r>
              <w:rPr>
                <w:b/>
                <w:color w:val="7F6000"/>
                <w:sz w:val="21"/>
              </w:rPr>
              <w:lastRenderedPageBreak/>
              <w:t>Method box: Bonferroni and BH in MFH2/MFH3 selection</w:t>
            </w:r>
          </w:p>
          <w:p w14:paraId="084931CB"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7B07E447"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78CD6616"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7AD24237"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6F432B4B"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10DB1788"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4022737B"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04B4FC92"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2E4A1A13" w14:textId="77777777"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6BD704BF"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2DDF5EB"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300CD2"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36687C9A" w14:textId="77777777" w:rsidR="002B5F1E" w:rsidRDefault="00E3560C">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180EF25"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2A63380F"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B6A5437" w14:textId="77777777" w:rsidR="004F44B0" w:rsidRDefault="001F4DFD">
      <w:pPr>
        <w:pStyle w:val="FirstParagraph"/>
      </w:pPr>
      <w:r>
        <w:t>This covariance affects the uncertainty of estimated changes. The variance of the difference between two direct estimates is:</w:t>
      </w:r>
    </w:p>
    <w:p w14:paraId="792DA7B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6788A465"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0017B374" w14:textId="77777777" w:rsidR="004F44B0" w:rsidRDefault="001F4DFD">
      <w:pPr>
        <w:pStyle w:val="BodyText"/>
      </w:pPr>
      <w:r>
        <w:t>The app includes several covariance options:</w:t>
      </w:r>
    </w:p>
    <w:p w14:paraId="284C06D0" w14:textId="77777777" w:rsidR="004F44B0" w:rsidRDefault="001F4DFD">
      <w:pPr>
        <w:keepNext/>
        <w:spacing w:before="200" w:after="40" w:line="240" w:lineRule="auto"/>
        <w:jc w:val="center"/>
      </w:pPr>
      <w:r>
        <w:rPr>
          <w:rFonts w:cs="Times New Roman"/>
          <w:b/>
          <w:sz w:val="20"/>
        </w:rPr>
        <w:t>TABLE X</w:t>
      </w:r>
    </w:p>
    <w:p w14:paraId="07AE30B6"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5F5B56A" w14:textId="77777777">
        <w:trPr>
          <w:cantSplit/>
          <w:tblHeader/>
        </w:trPr>
        <w:tc>
          <w:tcPr>
            <w:tcW w:w="2880" w:type="dxa"/>
            <w:tcBorders>
              <w:top w:val="single" w:sz="12" w:space="0" w:color="000000"/>
              <w:bottom w:val="single" w:sz="4" w:space="0" w:color="000000"/>
            </w:tcBorders>
            <w:vAlign w:val="bottom"/>
          </w:tcPr>
          <w:p w14:paraId="408F5A6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68B3825" w14:textId="77777777" w:rsidR="004F44B0" w:rsidRDefault="001F4DFD">
            <w:pPr>
              <w:pStyle w:val="Compact"/>
            </w:pPr>
            <w:r>
              <w:rPr>
                <w:rFonts w:cs="Times New Roman"/>
                <w:smallCaps/>
              </w:rPr>
              <w:t>Interpretation</w:t>
            </w:r>
          </w:p>
        </w:tc>
      </w:tr>
      <w:tr w:rsidR="004F44B0" w14:paraId="67E548B7" w14:textId="77777777">
        <w:trPr>
          <w:cantSplit/>
        </w:trPr>
        <w:tc>
          <w:tcPr>
            <w:tcW w:w="2880" w:type="dxa"/>
          </w:tcPr>
          <w:p w14:paraId="2E3D7269" w14:textId="77777777" w:rsidR="004F44B0" w:rsidRDefault="001F4DFD">
            <w:pPr>
              <w:pStyle w:val="Compact"/>
            </w:pPr>
            <w:r>
              <w:t>rho_sm_out</w:t>
            </w:r>
          </w:p>
        </w:tc>
        <w:tc>
          <w:tcPr>
            <w:tcW w:w="6480" w:type="dxa"/>
          </w:tcPr>
          <w:p w14:paraId="065AE3E4" w14:textId="77777777" w:rsidR="0071327A" w:rsidRDefault="00162135">
            <w:pPr>
              <w:spacing w:after="40" w:line="240" w:lineRule="auto"/>
              <w:jc w:val="left"/>
            </w:pPr>
            <w:r>
              <w:rPr>
                <w:sz w:val="18"/>
              </w:rPr>
              <w:t>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5582340F" w14:textId="77777777">
        <w:trPr>
          <w:cantSplit/>
        </w:trPr>
        <w:tc>
          <w:tcPr>
            <w:tcW w:w="2880" w:type="dxa"/>
          </w:tcPr>
          <w:p w14:paraId="622378BC" w14:textId="77777777" w:rsidR="004F44B0" w:rsidRDefault="001F4DFD">
            <w:pPr>
              <w:pStyle w:val="Compact"/>
            </w:pPr>
            <w:r>
              <w:t>rho_sm_all</w:t>
            </w:r>
          </w:p>
        </w:tc>
        <w:tc>
          <w:tcPr>
            <w:tcW w:w="6480" w:type="dxa"/>
          </w:tcPr>
          <w:p w14:paraId="05DB9F7D" w14:textId="77777777" w:rsidR="0071327A" w:rsidRDefault="00162135">
            <w:pPr>
              <w:spacing w:after="40" w:line="240" w:lineRule="auto"/>
              <w:jc w:val="left"/>
            </w:pPr>
            <w:r>
              <w:rPr>
                <w:sz w:val="18"/>
              </w:rPr>
              <w:t>Use one national sampling-error correlation with fully smoothed variances.</w:t>
            </w:r>
          </w:p>
        </w:tc>
      </w:tr>
      <w:tr w:rsidR="004F44B0" w14:paraId="5A6FA310" w14:textId="77777777">
        <w:trPr>
          <w:cantSplit/>
        </w:trPr>
        <w:tc>
          <w:tcPr>
            <w:tcW w:w="2880" w:type="dxa"/>
          </w:tcPr>
          <w:p w14:paraId="7F13FF62" w14:textId="77777777" w:rsidR="004F44B0" w:rsidRDefault="001F4DFD">
            <w:pPr>
              <w:pStyle w:val="Compact"/>
            </w:pPr>
            <w:r>
              <w:t>rho_dir</w:t>
            </w:r>
          </w:p>
        </w:tc>
        <w:tc>
          <w:tcPr>
            <w:tcW w:w="6480" w:type="dxa"/>
          </w:tcPr>
          <w:p w14:paraId="3D394DEF"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14F3BC4D" w14:textId="77777777">
        <w:trPr>
          <w:cantSplit/>
        </w:trPr>
        <w:tc>
          <w:tcPr>
            <w:tcW w:w="2880" w:type="dxa"/>
          </w:tcPr>
          <w:p w14:paraId="07CF8378" w14:textId="77777777" w:rsidR="004F44B0" w:rsidRDefault="001F4DFD">
            <w:pPr>
              <w:pStyle w:val="Compact"/>
            </w:pPr>
            <w:r>
              <w:t>direct</w:t>
            </w:r>
          </w:p>
        </w:tc>
        <w:tc>
          <w:tcPr>
            <w:tcW w:w="6480" w:type="dxa"/>
          </w:tcPr>
          <w:p w14:paraId="3EF3403A" w14:textId="77777777" w:rsidR="0071327A" w:rsidRDefault="00162135">
            <w:pPr>
              <w:spacing w:after="40" w:line="240" w:lineRule="auto"/>
              <w:jc w:val="left"/>
            </w:pPr>
            <w:r>
              <w:rPr>
                <w:sz w:val="18"/>
              </w:rPr>
              <w:t>Use the design-based domain covariance estimated from the full survey design.</w:t>
            </w:r>
          </w:p>
        </w:tc>
      </w:tr>
      <w:tr w:rsidR="004F44B0" w14:paraId="5C60229C" w14:textId="77777777">
        <w:trPr>
          <w:cantSplit/>
        </w:trPr>
        <w:tc>
          <w:tcPr>
            <w:tcW w:w="2880" w:type="dxa"/>
            <w:tcBorders>
              <w:bottom w:val="single" w:sz="12" w:space="0" w:color="000000"/>
            </w:tcBorders>
          </w:tcPr>
          <w:p w14:paraId="658B9788" w14:textId="77777777" w:rsidR="004F44B0" w:rsidRDefault="001F4DFD">
            <w:pPr>
              <w:pStyle w:val="Compact"/>
            </w:pPr>
            <w:r>
              <w:t>zero</w:t>
            </w:r>
          </w:p>
        </w:tc>
        <w:tc>
          <w:tcPr>
            <w:tcW w:w="6480" w:type="dxa"/>
            <w:tcBorders>
              <w:bottom w:val="single" w:sz="12" w:space="0" w:color="000000"/>
            </w:tcBorders>
          </w:tcPr>
          <w:p w14:paraId="37413A23"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6F1CA8F7"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98AF3F5" w14:textId="77777777" w:rsidR="004F44B0" w:rsidRDefault="001F4DFD">
      <w:pPr>
        <w:pStyle w:val="BodyText"/>
      </w:pPr>
      <w:r>
        <w:lastRenderedPageBreak/>
        <w:t>The selected covariance option should be documented because it affects uncertainty estimates for changes over time.</w:t>
      </w:r>
    </w:p>
    <w:p w14:paraId="22BDCAF5" w14:textId="77777777"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661FE162"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0165845"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24454FF2"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1218BA94" w14:textId="77777777" w:rsidR="004F44B0" w:rsidRDefault="001F4DFD">
      <w:pPr>
        <w:pStyle w:val="BodyText"/>
      </w:pPr>
      <w:r>
        <w:t xml:space="preserve">MFH log models also transform the arithmetic Direct area means. Corrected currency predictions use the Gaussian conditional mean exp(eta + v/2), where v is the diagonal of G − G(G + R)⁻¹G. The naive option uses exp(eta). This multivariate extension is distinct from emdi’s univariate Slud–Maiti method; saved MFH settings named bc_sm are accepted as a legacy alias. Original-scale MSE and MCPE are estimated after inverse transformation inside the bootstrap. CPI conversion precedes direct estimation and serves a different purpose from the model transformation.</w:t>
      </w:r>
    </w:p>
    <w:p w14:paraId="59BA7410"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610381C5"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5E965B59" w14:textId="77777777" w:rsidR="004F44B0" w:rsidRDefault="001F4DFD">
      <w:pPr>
        <w:pStyle w:val="BodyText"/>
      </w:pPr>
      <w:r>
        <w:t>MFH diagnostics should include:</w:t>
      </w:r>
    </w:p>
    <w:p w14:paraId="493B5E0B" w14:textId="77777777" w:rsidR="004F44B0" w:rsidRDefault="001F4DFD">
      <w:pPr>
        <w:numPr>
          <w:ilvl w:val="0"/>
          <w:numId w:val="2"/>
        </w:numPr>
      </w:pPr>
      <w:r>
        <w:t>Model convergence.</w:t>
      </w:r>
    </w:p>
    <w:p w14:paraId="05939761" w14:textId="77777777" w:rsidR="004F44B0" w:rsidRDefault="001F4DFD">
      <w:pPr>
        <w:numPr>
          <w:ilvl w:val="0"/>
          <w:numId w:val="2"/>
        </w:numPr>
      </w:pPr>
      <w:r>
        <w:t>Estimated time correlation.</w:t>
      </w:r>
    </w:p>
    <w:p w14:paraId="0A230D61" w14:textId="77777777" w:rsidR="004F44B0" w:rsidRDefault="001F4DFD">
      <w:pPr>
        <w:numPr>
          <w:ilvl w:val="0"/>
          <w:numId w:val="2"/>
        </w:numPr>
      </w:pPr>
      <w:r>
        <w:t>Estimated random-effect variance.</w:t>
      </w:r>
    </w:p>
    <w:p w14:paraId="7DC4EAFF" w14:textId="77777777" w:rsidR="004F44B0" w:rsidRDefault="001F4DFD">
      <w:pPr>
        <w:numPr>
          <w:ilvl w:val="0"/>
          <w:numId w:val="2"/>
        </w:numPr>
      </w:pPr>
      <w:r>
        <w:t>Plausibility of the covariance structure.</w:t>
      </w:r>
    </w:p>
    <w:p w14:paraId="067831A6" w14:textId="77777777" w:rsidR="004F44B0" w:rsidRDefault="001F4DFD">
      <w:pPr>
        <w:numPr>
          <w:ilvl w:val="0"/>
          <w:numId w:val="2"/>
        </w:numPr>
      </w:pPr>
      <w:r>
        <w:t>Residual diagnostics by year.</w:t>
      </w:r>
    </w:p>
    <w:p w14:paraId="4C156E44" w14:textId="77777777" w:rsidR="004F44B0" w:rsidRDefault="001F4DFD">
      <w:pPr>
        <w:numPr>
          <w:ilvl w:val="0"/>
          <w:numId w:val="2"/>
        </w:numPr>
      </w:pPr>
      <w:r>
        <w:t>Random-effect diagnostics by year.</w:t>
      </w:r>
    </w:p>
    <w:p w14:paraId="6D34130C" w14:textId="77777777" w:rsidR="004F44B0" w:rsidRDefault="001F4DFD">
      <w:pPr>
        <w:numPr>
          <w:ilvl w:val="0"/>
          <w:numId w:val="2"/>
        </w:numPr>
      </w:pPr>
      <w:r>
        <w:t>Comparison of direct, UFH, and MFH estimates.</w:t>
      </w:r>
    </w:p>
    <w:p w14:paraId="01CBA63B" w14:textId="77777777" w:rsidR="004F44B0" w:rsidRDefault="001F4DFD">
      <w:pPr>
        <w:numPr>
          <w:ilvl w:val="0"/>
          <w:numId w:val="2"/>
        </w:numPr>
      </w:pPr>
      <w:r>
        <w:t>Comparison of UFH and MFH standard errors or CVs.</w:t>
      </w:r>
    </w:p>
    <w:p w14:paraId="7CB4C413" w14:textId="77777777" w:rsidR="004F44B0" w:rsidRDefault="001F4DFD">
      <w:pPr>
        <w:numPr>
          <w:ilvl w:val="0"/>
          <w:numId w:val="2"/>
        </w:numPr>
      </w:pPr>
      <w:r>
        <w:lastRenderedPageBreak/>
        <w:t>Stability of area trends.</w:t>
      </w:r>
    </w:p>
    <w:p w14:paraId="3DD31846" w14:textId="77777777" w:rsidR="004F44B0" w:rsidRDefault="001F4DFD">
      <w:pPr>
        <w:numPr>
          <w:ilvl w:val="0"/>
          <w:numId w:val="2"/>
        </w:numPr>
      </w:pPr>
      <w:r>
        <w:t>Sensitivity to covariance assumptions.</w:t>
      </w:r>
    </w:p>
    <w:p w14:paraId="6656FA49" w14:textId="77777777" w:rsidR="004F44B0" w:rsidRDefault="001F4DFD">
      <w:pPr>
        <w:numPr>
          <w:ilvl w:val="0"/>
          <w:numId w:val="2"/>
        </w:numPr>
      </w:pPr>
      <w:r>
        <w:t>Sensitivity to MFH1, MFH2, and MFH3.</w:t>
      </w:r>
    </w:p>
    <w:p w14:paraId="31CCBFF3" w14:textId="77777777" w:rsidR="004F44B0" w:rsidRDefault="001F4DFD">
      <w:pPr>
        <w:numPr>
          <w:ilvl w:val="0"/>
          <w:numId w:val="2"/>
        </w:numPr>
      </w:pPr>
      <w:r>
        <w:t>Maps of estimates and uncertainty by year.</w:t>
      </w:r>
    </w:p>
    <w:p w14:paraId="16ECA9AB" w14:textId="77777777" w:rsidR="004F44B0" w:rsidRDefault="001F4DFD">
      <w:pPr>
        <w:numPr>
          <w:ilvl w:val="0"/>
          <w:numId w:val="2"/>
        </w:numPr>
      </w:pPr>
      <w:r>
        <w:t>Maps of changes over time.</w:t>
      </w:r>
    </w:p>
    <w:p w14:paraId="1035B72D"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77C0F9B5"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necessary using the same REML objective, exact gradients and several feasible starts; a usable original fit is preserved and an inferior refit is rejected. A valid zero random-effect covariance is allowed, including in bootstrap refits. The AR(1) correlation is bounded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pPr>
        <w:pStyle w:val="Normal"/>
      </w:pPr>
      <w:r>
        <w:t xml:space="preserve">Boundary-sensitive inference. If the original MFH fit has zero random-effect covariance or reaches the numerical correlation limit, point estimates are retained and inference_status is boundary_sensitive.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undercoverage. Review the current validation status and assess model sensitivity before using these results for substantive significance claims.</w:t>
      </w:r>
    </w:p>
    <w:p>
      <w:pPr>
        <w:pStyle w:val="Normal"/>
      </w:pPr>
      <w:r>
        <w:t xml:space="preserve">MFH residual plots standardize Direct minus EBLUP by sqrt(diag(R P R)), where P accounts for fitted fixed effects. The residuals remain correlated. Q–Q plots, Shapiro–Wilk and residual-versus-fitted regressions are descriptive checks, not exact independent-sample tests.</w:t>
      </w:r>
    </w:p>
    <w:p w14:paraId="41389615"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2E26AE3" w14:textId="77777777" w:rsidR="004F44B0" w:rsidRDefault="001F4DFD">
      <w:pPr>
        <w:pStyle w:val="ImageCaption"/>
      </w:pPr>
      <w:r>
        <w:t xml:space="preserve">Figure 5. Earlier-run MFH residual plots for 2013. These images predate the revised standardization; current plots use the model-based residual variance described above.</w:t>
      </w:r>
    </w:p>
    <w:p w14:paraId="332B5657" w14:textId="77777777" w:rsidR="004F44B0" w:rsidRDefault="001F4DFD">
      <w:pPr>
        <w:pStyle w:val="Heading2"/>
      </w:pPr>
      <w:bookmarkStart w:id="256" w:name="interpreting-mfh-estimates"/>
      <w:bookmarkStart w:id="257" w:name="_Toc231387068"/>
      <w:bookmarkStart w:id="258" w:name="_Toc242266062"/>
      <w:r>
        <w:t>8.10 Interpreting MFH estimates</w:t>
      </w:r>
      <w:bookmarkEnd w:id="256"/>
      <w:bookmarkEnd w:id="257"/>
      <w:bookmarkEnd w:id="258"/>
    </w:p>
    <w:p w14:paraId="209C1336"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1E99BCA9" w14:textId="77777777" w:rsidR="004F44B0" w:rsidRDefault="001F4DFD">
      <w:pPr>
        <w:pStyle w:val="BodyText"/>
      </w:pPr>
      <w:r>
        <w:t xml:space="preserve">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AE76229" w14:textId="77777777" w:rsidR="004F44B0" w:rsidRDefault="001F4DFD">
      <w:pPr>
        <w:pStyle w:val="BodyText"/>
      </w:pPr>
      <w:r>
        <w:t>MFH is often preferred for trend analysis, but only when diagnostics are satisfactory and the input data are comparable across years.</w:t>
      </w:r>
    </w:p>
    <w:p w14:paraId="69AD6C4D" w14:textId="77777777" w:rsidR="004F44B0" w:rsidRDefault="001F4DFD">
      <w:pPr>
        <w:pStyle w:val="Heading2"/>
      </w:pPr>
      <w:bookmarkStart w:id="259" w:name="_Toc242266063"/>
      <w:r>
        <w:t>8.11 Covariance specification and the interpretation of EBLUP</w:t>
      </w:r>
      <w:bookmarkEnd w:id="259"/>
    </w:p>
    <w:p w14:paraId="3D20A2A9"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280CFB5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15124F09" w14:textId="77777777" w:rsidR="004F44B0" w:rsidRDefault="001F4DFD">
      <w:pPr>
        <w:pStyle w:val="BodyText"/>
      </w:pPr>
      <w:r>
        <w:t>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7A6EC25D"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06236F89"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187A9717"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203094D" w14:textId="77777777" w:rsidR="004F44B0" w:rsidRDefault="001F4DFD">
      <w:pPr>
        <w:pStyle w:val="FirstParagraph"/>
      </w:pPr>
      <w:r>
        <w:t>The estimated change is:</w:t>
      </w:r>
    </w:p>
    <w:p w14:paraId="39888E70" w14:textId="77777777" w:rsidR="004F44B0"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46CD32C2" w14:textId="77777777" w:rsidR="004F44B0" w:rsidRDefault="001F4DFD">
      <w:pPr>
        <w:pStyle w:val="FirstParagraph"/>
      </w:pPr>
      <w:r>
        <w:t xml:space="preserve">A positive value indicates an estimated increase in poverty, while a negative value indicates an estimated decline. However, users should not interpret every estimated change as statistically meaningful. The </w:t>
        <w:lastRenderedPageBreak/>
        <w:t>uncertainty in the difference must account for the uncertainties in both estimates and the covariance between them.</w:t>
      </w:r>
    </w:p>
    <w:p w14:paraId="49210EAC" w14:textId="77777777" w:rsidR="004F44B0" w:rsidRDefault="001F4DFD">
      <w:pPr>
        <w:pStyle w:val="BodyText"/>
      </w:pPr>
      <w:r>
        <w:t xml:space="preserve">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143CC04B" w14:textId="77777777" w:rsidR="004F44B0" w:rsidRDefault="001F4DFD">
      <w:pPr>
        <w:pStyle w:val="BodyText"/>
      </w:pPr>
      <w:r>
        <w:t>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p w14:paraId="79A9AE9F"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bounded below by −100%. Currency differences remain in fields ending in _eur.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436194EE" w14:textId="77777777">
        <w:tc>
          <w:tcPr>
            <w:tcW w:w="9240" w:type="dxa"/>
            <w:shd w:val="clear" w:color="auto" w:fill="EAF2F8"/>
            <w:tcMar>
              <w:top w:w="90" w:type="dxa"/>
              <w:left w:w="100" w:type="dxa"/>
              <w:bottom w:w="90" w:type="dxa"/>
              <w:right w:w="100" w:type="dxa"/>
            </w:tcMar>
          </w:tcPr>
          <w:p w14:paraId="7D9CFE7F" w14:textId="77777777" w:rsidR="0071327A" w:rsidRDefault="00162135">
            <w:pPr>
              <w:keepNext/>
              <w:spacing w:after="80"/>
            </w:pPr>
            <w:r>
              <w:rPr>
                <w:b/>
                <w:color w:val="1F4E79"/>
                <w:sz w:val="21"/>
              </w:rPr>
              <w:lastRenderedPageBreak/>
              <w:t>Interpretation box: Pointwise and Benjamini-Hochberg (BH) significance</w:t>
            </w:r>
          </w:p>
          <w:p w14:paraId="0ADC4E58"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0B6315A" w14:textId="77777777"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28902A0E"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3DAA253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119B36E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0A96A1A7"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4FC433B2" w14:textId="77777777" w:rsidR="004F44B0" w:rsidRDefault="001F4DFD">
      <w:pPr>
        <w:pStyle w:val="ImageCaption"/>
      </w:pPr>
      <w:r>
        <w:t xml:space="preserve">Figure 6. Earlier-run illustration of benchmarked MFH poverty changes and pointwise significance, 2012–2013. Rerun the revised estimator and joint uncertainty before interpreting significance.</w:t>
      </w:r>
    </w:p>
    <w:p w14:paraId="35001E10"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608E22F4" w14:textId="77777777" w:rsidR="004F44B0" w:rsidRDefault="001F4DFD">
      <w:pPr>
        <w:pStyle w:val="FirstParagraph"/>
      </w:pPr>
      <w:r>
        <w:t>The MFH stage should produce outputs that support both cross-sectional mapping and time-comparison analysis. These outputs should include:</w:t>
      </w:r>
    </w:p>
    <w:p w14:paraId="47DFCDFF" w14:textId="77777777" w:rsidR="004F44B0" w:rsidRDefault="001F4DFD">
      <w:pPr>
        <w:numPr>
          <w:ilvl w:val="0"/>
          <w:numId w:val="2"/>
        </w:numPr>
      </w:pPr>
      <w:r>
        <w:t>Area-year MFH estimates.</w:t>
      </w:r>
    </w:p>
    <w:p w14:paraId="6FEE83EE" w14:textId="77777777" w:rsidR="004F44B0" w:rsidRDefault="001F4DFD">
      <w:pPr>
        <w:numPr>
          <w:ilvl w:val="0"/>
          <w:numId w:val="2"/>
        </w:numPr>
      </w:pPr>
      <w:r>
        <w:t>Standard errors or MSEs.</w:t>
      </w:r>
    </w:p>
    <w:p w14:paraId="2C482890" w14:textId="77777777" w:rsidR="004F44B0" w:rsidRDefault="001F4DFD">
      <w:pPr>
        <w:numPr>
          <w:ilvl w:val="0"/>
          <w:numId w:val="2"/>
        </w:numPr>
      </w:pPr>
      <w:r>
        <w:t>Coefficients of variation.</w:t>
      </w:r>
    </w:p>
    <w:p w14:paraId="6748F3C0" w14:textId="77777777" w:rsidR="004F44B0" w:rsidRDefault="001F4DFD">
      <w:pPr>
        <w:numPr>
          <w:ilvl w:val="0"/>
          <w:numId w:val="2"/>
        </w:numPr>
      </w:pPr>
      <w:r>
        <w:lastRenderedPageBreak/>
        <w:t>Estimated changes between selected years.</w:t>
      </w:r>
    </w:p>
    <w:p w14:paraId="74BC0BFA" w14:textId="77777777" w:rsidR="004F44B0" w:rsidRDefault="001F4DFD">
      <w:pPr>
        <w:numPr>
          <w:ilvl w:val="0"/>
          <w:numId w:val="2"/>
        </w:numPr>
      </w:pPr>
      <w:r>
        <w:t>Standard errors and confidence intervals for changes.</w:t>
      </w:r>
    </w:p>
    <w:p w14:paraId="6D245FFE" w14:textId="77777777" w:rsidR="004F44B0" w:rsidRDefault="001F4DFD">
      <w:pPr>
        <w:numPr>
          <w:ilvl w:val="0"/>
          <w:numId w:val="2"/>
        </w:numPr>
      </w:pPr>
      <w:r>
        <w:t>Significance flags for increases and decreases.</w:t>
      </w:r>
    </w:p>
    <w:p w14:paraId="27837BF3" w14:textId="77777777" w:rsidR="004F44B0" w:rsidRDefault="001F4DFD">
      <w:pPr>
        <w:numPr>
          <w:ilvl w:val="0"/>
          <w:numId w:val="2"/>
        </w:numPr>
      </w:pPr>
      <w:r>
        <w:t>Comparison tables with direct and UFH estimates.</w:t>
      </w:r>
    </w:p>
    <w:p w14:paraId="7A36E9AC" w14:textId="77777777" w:rsidR="004F44B0" w:rsidRDefault="001F4DFD">
      <w:pPr>
        <w:numPr>
          <w:ilvl w:val="0"/>
          <w:numId w:val="2"/>
        </w:numPr>
      </w:pPr>
      <w:r>
        <w:t>Model diagnostics.</w:t>
      </w:r>
    </w:p>
    <w:p w14:paraId="27AF67DE" w14:textId="77777777" w:rsidR="004F44B0" w:rsidRDefault="001F4DFD">
      <w:pPr>
        <w:numPr>
          <w:ilvl w:val="0"/>
          <w:numId w:val="2"/>
        </w:numPr>
      </w:pPr>
      <w:r>
        <w:t>Selected covariates.</w:t>
      </w:r>
    </w:p>
    <w:p w14:paraId="0F307735" w14:textId="77777777" w:rsidR="004F44B0" w:rsidRDefault="001F4DFD">
      <w:pPr>
        <w:numPr>
          <w:ilvl w:val="0"/>
          <w:numId w:val="2"/>
        </w:numPr>
      </w:pPr>
      <w:r>
        <w:t>Estimated covariance or correlation parameters.</w:t>
      </w:r>
    </w:p>
    <w:p w14:paraId="5159F1A3" w14:textId="77777777" w:rsidR="004F44B0" w:rsidRDefault="001F4DFD">
      <w:pPr>
        <w:numPr>
          <w:ilvl w:val="0"/>
          <w:numId w:val="2"/>
        </w:numPr>
      </w:pPr>
      <w:r>
        <w:t>Maps by year.</w:t>
      </w:r>
    </w:p>
    <w:p w14:paraId="0297DBB3" w14:textId="77777777" w:rsidR="004F44B0" w:rsidRDefault="001F4DFD">
      <w:pPr>
        <w:numPr>
          <w:ilvl w:val="0"/>
          <w:numId w:val="2"/>
        </w:numPr>
      </w:pPr>
      <w:r>
        <w:t>Maps of changes over time.</w:t>
      </w:r>
    </w:p>
    <w:p w14:paraId="16D42192" w14:textId="77777777" w:rsidR="004F44B0" w:rsidRDefault="001F4DFD">
      <w:pPr>
        <w:numPr>
          <w:ilvl w:val="0"/>
          <w:numId w:val="2"/>
        </w:numPr>
      </w:pPr>
      <w:r>
        <w:t>Maps of statistically significant changes.</w:t>
      </w:r>
    </w:p>
    <w:p w14:paraId="631892B7" w14:textId="77777777" w:rsidR="004F44B0" w:rsidRDefault="001F4DFD">
      <w:pPr>
        <w:numPr>
          <w:ilvl w:val="0"/>
          <w:numId w:val="2"/>
        </w:numPr>
      </w:pPr>
      <w:r>
        <w:t>Output files for the comparison stage.</w:t>
      </w:r>
    </w:p>
    <w:p w14:paraId="40C15B8F" w14:textId="77777777" w:rsidR="004F44B0" w:rsidRDefault="001F4DFD">
      <w:pPr>
        <w:pStyle w:val="FirstParagraph"/>
      </w:pPr>
      <w:r>
        <w:t>MFH outputs should retain direct and UFH estimates alongside MFH estimates. This lets users assess whether MFH substantially changes the results and whether those changes are justified by the model and data.</w:t>
      </w:r>
    </w:p>
    <w:p w14:paraId="54E258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0A5932DC" w14:textId="77777777" w:rsidR="004F44B0" w:rsidRDefault="001F4DFD">
      <w:pPr>
        <w:pStyle w:val="FirstParagraph"/>
      </w:pPr>
      <w:r>
        <w:t>Before accepting MFH results, users should confirm that:</w:t>
      </w:r>
    </w:p>
    <w:p w14:paraId="1B00DB9F" w14:textId="77777777" w:rsidR="004F44B0" w:rsidRDefault="001F4DFD">
      <w:pPr>
        <w:numPr>
          <w:ilvl w:val="0"/>
          <w:numId w:val="2"/>
        </w:numPr>
      </w:pPr>
      <w:r>
        <w:t>Two or more comparable survey years are available.</w:t>
      </w:r>
    </w:p>
    <w:p w14:paraId="0AF610FF" w14:textId="77777777" w:rsidR="004F44B0" w:rsidRDefault="001F4DFD">
      <w:pPr>
        <w:numPr>
          <w:ilvl w:val="0"/>
          <w:numId w:val="2"/>
        </w:numPr>
      </w:pPr>
      <w:r>
        <w:t>Domain definitions are consistent across years or have been harmonized.</w:t>
      </w:r>
    </w:p>
    <w:p w14:paraId="1CF6BCE3" w14:textId="77777777" w:rsidR="004F44B0" w:rsidRDefault="001F4DFD">
      <w:pPr>
        <w:numPr>
          <w:ilvl w:val="0"/>
          <w:numId w:val="2"/>
        </w:numPr>
      </w:pPr>
      <w:r>
        <w:t>Welfare variables and poverty lines are comparable across years.</w:t>
      </w:r>
    </w:p>
    <w:p w14:paraId="40B9176C" w14:textId="77777777" w:rsidR="004F44B0" w:rsidRDefault="001F4DFD">
      <w:pPr>
        <w:numPr>
          <w:ilvl w:val="0"/>
          <w:numId w:val="2"/>
        </w:numPr>
      </w:pPr>
      <w:r>
        <w:t>Direct estimates and sampling variances have been reviewed for all area-year cells.</w:t>
      </w:r>
    </w:p>
    <w:p w14:paraId="17C4649A" w14:textId="77777777" w:rsidR="004F44B0" w:rsidRDefault="001F4DFD">
      <w:pPr>
        <w:numPr>
          <w:ilvl w:val="0"/>
          <w:numId w:val="2"/>
        </w:numPr>
      </w:pPr>
      <w:r>
        <w:t>Auxiliary variables are available and comparable across years.</w:t>
      </w:r>
    </w:p>
    <w:p w14:paraId="64541DAB" w14:textId="77777777" w:rsidR="004F44B0" w:rsidRDefault="001F4DFD">
      <w:pPr>
        <w:numPr>
          <w:ilvl w:val="0"/>
          <w:numId w:val="2"/>
        </w:numPr>
      </w:pPr>
      <w:r>
        <w:t>The selected MFH variant converged successfully.</w:t>
      </w:r>
    </w:p>
    <w:p w14:paraId="0A030C08" w14:textId="77777777" w:rsidR="004F44B0" w:rsidRDefault="001F4DFD">
      <w:pPr>
        <w:numPr>
          <w:ilvl w:val="0"/>
          <w:numId w:val="2"/>
        </w:numPr>
      </w:pPr>
      <w:r>
        <w:t>The estimated time correlation is plausible.</w:t>
      </w:r>
    </w:p>
    <w:p w14:paraId="31F13964" w14:textId="77777777" w:rsidR="004F44B0" w:rsidRDefault="001F4DFD">
      <w:pPr>
        <w:numPr>
          <w:ilvl w:val="0"/>
          <w:numId w:val="2"/>
        </w:numPr>
      </w:pPr>
      <w:r>
        <w:t>Random-effect variances are plausible.</w:t>
      </w:r>
    </w:p>
    <w:p w14:paraId="0E338ACC" w14:textId="77777777" w:rsidR="004F44B0" w:rsidRDefault="001F4DFD">
      <w:pPr>
        <w:numPr>
          <w:ilvl w:val="0"/>
          <w:numId w:val="2"/>
        </w:numPr>
      </w:pPr>
      <w:r>
        <w:t>Residuals and random effects do not show major problems.</w:t>
      </w:r>
    </w:p>
    <w:p w14:paraId="6A6062F0" w14:textId="77777777" w:rsidR="004F44B0" w:rsidRDefault="001F4DFD">
      <w:pPr>
        <w:numPr>
          <w:ilvl w:val="0"/>
          <w:numId w:val="2"/>
        </w:numPr>
      </w:pPr>
      <w:r>
        <w:t>MFH estimates are compared with direct and UFH estimates.</w:t>
      </w:r>
    </w:p>
    <w:p w14:paraId="0EC07F30" w14:textId="77777777" w:rsidR="004F44B0" w:rsidRDefault="001F4DFD">
      <w:pPr>
        <w:numPr>
          <w:ilvl w:val="0"/>
          <w:numId w:val="2"/>
        </w:numPr>
      </w:pPr>
      <w:r>
        <w:t>Large differences between UFH and MFH estimates are investigated.</w:t>
      </w:r>
    </w:p>
    <w:p w14:paraId="09DBFA6E" w14:textId="77777777" w:rsidR="004F44B0" w:rsidRDefault="001F4DFD">
      <w:pPr>
        <w:numPr>
          <w:ilvl w:val="0"/>
          <w:numId w:val="2"/>
        </w:numPr>
      </w:pPr>
      <w:r>
        <w:t>Time trends are plausible in light of the country context.</w:t>
      </w:r>
    </w:p>
    <w:p w14:paraId="572304F5" w14:textId="77777777" w:rsidR="004F44B0" w:rsidRDefault="001F4DFD">
      <w:pPr>
        <w:numPr>
          <w:ilvl w:val="0"/>
          <w:numId w:val="2"/>
        </w:numPr>
      </w:pPr>
      <w:r>
        <w:t>Covariance assumptions have been reviewed.</w:t>
      </w:r>
    </w:p>
    <w:p w14:paraId="75821147" w14:textId="77777777" w:rsidR="004F44B0" w:rsidRDefault="001F4DFD">
      <w:pPr>
        <w:numPr>
          <w:ilvl w:val="0"/>
          <w:numId w:val="2"/>
        </w:numPr>
      </w:pPr>
      <w:r>
        <w:t>Sensitivity checks have been conducted where feasible.</w:t>
      </w:r>
    </w:p>
    <w:p w14:paraId="19DDCEAD" w14:textId="77777777" w:rsidR="004F44B0" w:rsidRDefault="001F4DFD">
      <w:pPr>
        <w:numPr>
          <w:ilvl w:val="0"/>
          <w:numId w:val="2"/>
        </w:numPr>
      </w:pPr>
      <w:r>
        <w:lastRenderedPageBreak/>
        <w:t>Estimated changes are reported with standard errors and confidence intervals.</w:t>
      </w:r>
    </w:p>
    <w:p w14:paraId="6D4E7C51" w14:textId="77777777" w:rsidR="004F44B0" w:rsidRDefault="001F4DFD">
      <w:pPr>
        <w:numPr>
          <w:ilvl w:val="0"/>
          <w:numId w:val="2"/>
        </w:numPr>
      </w:pPr>
      <w:r>
        <w:t>Maps of changes distinguish statistically significant and non-significant changes.</w:t>
      </w:r>
    </w:p>
    <w:p w14:paraId="7704157A" w14:textId="77777777" w:rsidR="004F44B0" w:rsidRDefault="001F4DFD">
      <w:pPr>
        <w:numPr>
          <w:ilvl w:val="0"/>
          <w:numId w:val="2"/>
        </w:numPr>
      </w:pPr>
      <w:r>
        <w:t>Limitations are documented.</w:t>
      </w:r>
    </w:p>
    <w:p w14:paraId="72B8D271"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376E3342"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br/>
        <w:br/>
      </w:r>
      <w:r>
        <w:t>Comparing UFH and MFH Results</w:t>
      </w:r>
      <w:bookmarkEnd w:id="271"/>
    </w:p>
    <w:p w14:paraId="19B14EB5"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42254687" w14:textId="77777777" w:rsidR="004F44B0" w:rsidRDefault="001F4DFD">
      <w:pPr>
        <w:pStyle w:val="FirstParagraph"/>
      </w:pPr>
      <w:r>
        <w:t>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2B0F7B8A"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0C033673" w14:textId="77777777" w:rsidR="004F44B0" w:rsidRDefault="001F4DFD">
      <w:pPr>
        <w:pStyle w:val="BodyText"/>
      </w:pPr>
      <w:r>
        <w:t>The comparison stage should answer four practical questions:</w:t>
      </w:r>
    </w:p>
    <w:p w14:paraId="724CA108" w14:textId="77777777" w:rsidR="004F44B0" w:rsidRDefault="001F4DFD">
      <w:pPr>
        <w:numPr>
          <w:ilvl w:val="0"/>
          <w:numId w:val="8"/>
        </w:numPr>
      </w:pPr>
      <w:r>
        <w:t>Are the model-based estimates broadly consistent with the direct survey evidence?</w:t>
      </w:r>
    </w:p>
    <w:p w14:paraId="00CAA626" w14:textId="77777777" w:rsidR="004F44B0" w:rsidRDefault="001F4DFD">
      <w:pPr>
        <w:numPr>
          <w:ilvl w:val="0"/>
          <w:numId w:val="8"/>
        </w:numPr>
      </w:pPr>
      <w:r>
        <w:t>Do UFH and MFH improve precision without producing implausible estimates?</w:t>
      </w:r>
    </w:p>
    <w:p w14:paraId="7954A531" w14:textId="77777777" w:rsidR="004F44B0" w:rsidRDefault="001F4DFD">
      <w:pPr>
        <w:numPr>
          <w:ilvl w:val="0"/>
          <w:numId w:val="8"/>
        </w:numPr>
      </w:pPr>
      <w:r>
        <w:t>Does MFH improve time comparability relative to separate UFH models?</w:t>
      </w:r>
    </w:p>
    <w:p w14:paraId="3F523B25" w14:textId="77777777" w:rsidR="004F44B0" w:rsidRDefault="001F4DFD">
      <w:pPr>
        <w:numPr>
          <w:ilvl w:val="0"/>
          <w:numId w:val="8"/>
        </w:numPr>
      </w:pPr>
      <w:r>
        <w:t>Are the final recommended estimates robust enough for mapping, reporting, and policy use?</w:t>
      </w:r>
    </w:p>
    <w:p w14:paraId="50B3C080"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1AECC1F9"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07DA2E4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582DEB7A"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74AF7C10" w14:textId="77777777" w:rsidR="004F44B0" w:rsidRDefault="001F4DFD">
      <w:pPr>
        <w:pStyle w:val="BodyText"/>
      </w:pPr>
      <w:r>
        <w:t>In these cases, comparison helps determine whether MFH adds useful information or imposes a structure that is not adequately supported by the data.</w:t>
      </w:r>
    </w:p>
    <w:p w14:paraId="0B375C5D"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65DF1AA6" w14:textId="77777777" w:rsidR="004F44B0" w:rsidRDefault="001F4DFD">
      <w:pPr>
        <w:pStyle w:val="FirstParagraph"/>
      </w:pPr>
      <w:r>
        <w:t>The comparison should cover both point estimates and uncertainty measures. Users should review the following dimensions.</w:t>
      </w:r>
    </w:p>
    <w:p w14:paraId="3B0E3B5B"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2C07DEDD"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4FD7EBB"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BF3997C"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5B5403CF"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41230D4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78C0C736"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16A756D5"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2CBAF8BB"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1BE4DF20"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6508327"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49C42F4E"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0657AFC3"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6CFE78F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7972C316"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42B327D7"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6E0C3EE4" w14:textId="77777777" w:rsidR="004F44B0" w:rsidRDefault="001F4DFD">
      <w:pPr>
        <w:pStyle w:val="BodyText"/>
      </w:pPr>
      <w:r>
        <w:t>The objective is not for UFH to reproduce direct estimates exactly. The objective is for UFH to improve precision while remaining anchored in the survey evidence.</w:t>
      </w:r>
    </w:p>
    <w:p w14:paraId="66D59E39"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2C23D20A"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753DA199"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86D4DDC"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450E4AF"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5E61FFC3"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709DD525" w14:textId="77777777" w:rsidR="004F44B0" w:rsidRDefault="001F4DFD">
      <w:pPr>
        <w:pStyle w:val="ImageCaption"/>
      </w:pPr>
      <w:r>
        <w:t xml:space="preserve">Figure 7. Earlier-run illustration of RMSE by method in 2013. These values predate the methodology revision and do not establish the current relative precision of Direct, UFH and MFH.</w:t>
      </w:r>
    </w:p>
    <w:p w14:paraId="7206EF90"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0F2162B9" w14:textId="77777777"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0ED50CFB"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1E5FAE63"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57B1BE17" w14:textId="77777777" w:rsidR="004F44B0" w:rsidRDefault="004F44B0">
      <w:pPr>
        <w:pStyle w:val="BodyText"/>
      </w:pPr>
    </w:p>
    <w:p w14:paraId="58D6660D"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3415D791"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44FB9D28"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03C8EC5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4E1E784D"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01FA0781" w14:textId="77777777" w:rsidR="004F44B0" w:rsidRDefault="001F4DFD">
      <w:pPr>
        <w:pStyle w:val="FirstParagraph"/>
      </w:pPr>
      <w:r>
        <w:t>The comparison stage should produce tables that allow users to review estimates, uncertainty, and differences across methods. Recommended tables include:</w:t>
      </w:r>
    </w:p>
    <w:p w14:paraId="6FFE980F" w14:textId="77777777" w:rsidR="004F44B0" w:rsidRDefault="001F4DFD">
      <w:pPr>
        <w:keepNext/>
        <w:spacing w:before="200" w:after="40" w:line="240" w:lineRule="auto"/>
        <w:jc w:val="center"/>
      </w:pPr>
      <w:r>
        <w:rPr>
          <w:rFonts w:cs="Times New Roman"/>
          <w:b/>
          <w:sz w:val="20"/>
        </w:rPr>
        <w:t>TABLE XI</w:t>
      </w:r>
    </w:p>
    <w:p w14:paraId="151C5A23"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AD8968F" w14:textId="77777777">
        <w:trPr>
          <w:cantSplit/>
          <w:tblHeader/>
        </w:trPr>
        <w:tc>
          <w:tcPr>
            <w:tcW w:w="2880" w:type="dxa"/>
            <w:tcBorders>
              <w:top w:val="single" w:sz="12" w:space="0" w:color="000000"/>
              <w:bottom w:val="single" w:sz="4" w:space="0" w:color="000000"/>
            </w:tcBorders>
            <w:vAlign w:val="bottom"/>
          </w:tcPr>
          <w:p w14:paraId="7BBA9D4B"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131495F" w14:textId="77777777" w:rsidR="004F44B0" w:rsidRDefault="001F4DFD">
            <w:pPr>
              <w:pStyle w:val="Compact"/>
            </w:pPr>
            <w:r>
              <w:rPr>
                <w:rFonts w:cs="Times New Roman"/>
                <w:smallCaps/>
              </w:rPr>
              <w:t>Purpose</w:t>
            </w:r>
          </w:p>
        </w:tc>
      </w:tr>
      <w:tr w:rsidR="004F44B0" w14:paraId="05E08763" w14:textId="77777777">
        <w:trPr>
          <w:cantSplit/>
        </w:trPr>
        <w:tc>
          <w:tcPr>
            <w:tcW w:w="2880" w:type="dxa"/>
          </w:tcPr>
          <w:p w14:paraId="0214A5A6" w14:textId="77777777" w:rsidR="004F44B0" w:rsidRDefault="001F4DFD">
            <w:pPr>
              <w:pStyle w:val="Compact"/>
            </w:pPr>
            <w:r>
              <w:t>Direct, UFH, and MFH estimates by area-year</w:t>
            </w:r>
          </w:p>
        </w:tc>
        <w:tc>
          <w:tcPr>
            <w:tcW w:w="6480" w:type="dxa"/>
          </w:tcPr>
          <w:p w14:paraId="6D237F88" w14:textId="77777777" w:rsidR="004F44B0" w:rsidRDefault="001F4DFD">
            <w:pPr>
              <w:pStyle w:val="Compact"/>
            </w:pPr>
            <w:r>
              <w:t>Shows all main estimates together.</w:t>
            </w:r>
          </w:p>
        </w:tc>
      </w:tr>
      <w:tr w:rsidR="004F44B0" w14:paraId="1E7CB07A" w14:textId="77777777">
        <w:trPr>
          <w:cantSplit/>
        </w:trPr>
        <w:tc>
          <w:tcPr>
            <w:tcW w:w="2880" w:type="dxa"/>
          </w:tcPr>
          <w:p w14:paraId="11B698A4" w14:textId="77777777" w:rsidR="004F44B0" w:rsidRDefault="001F4DFD">
            <w:pPr>
              <w:pStyle w:val="Compact"/>
            </w:pPr>
            <w:r>
              <w:t>Standard errors and CVs by method</w:t>
            </w:r>
          </w:p>
        </w:tc>
        <w:tc>
          <w:tcPr>
            <w:tcW w:w="6480" w:type="dxa"/>
          </w:tcPr>
          <w:p w14:paraId="250A7D7B" w14:textId="77777777" w:rsidR="004F44B0" w:rsidRDefault="001F4DFD">
            <w:pPr>
              <w:pStyle w:val="Compact"/>
            </w:pPr>
            <w:r>
              <w:t>Compares uncertainty across methods.</w:t>
            </w:r>
          </w:p>
        </w:tc>
      </w:tr>
      <w:tr w:rsidR="004F44B0" w14:paraId="44930061" w14:textId="77777777">
        <w:trPr>
          <w:cantSplit/>
        </w:trPr>
        <w:tc>
          <w:tcPr>
            <w:tcW w:w="2880" w:type="dxa"/>
          </w:tcPr>
          <w:p w14:paraId="308AF52A" w14:textId="77777777" w:rsidR="004F44B0" w:rsidRDefault="001F4DFD">
            <w:pPr>
              <w:pStyle w:val="Compact"/>
            </w:pPr>
            <w:r>
              <w:t>UFH minus direct differences</w:t>
            </w:r>
          </w:p>
        </w:tc>
        <w:tc>
          <w:tcPr>
            <w:tcW w:w="6480" w:type="dxa"/>
          </w:tcPr>
          <w:p w14:paraId="5DEC129D" w14:textId="77777777" w:rsidR="004F44B0" w:rsidRDefault="001F4DFD">
            <w:pPr>
              <w:pStyle w:val="Compact"/>
            </w:pPr>
            <w:r>
              <w:t>Shows cross-sectional model adjustments.</w:t>
            </w:r>
          </w:p>
        </w:tc>
      </w:tr>
      <w:tr w:rsidR="004F44B0" w14:paraId="3DB8BC2B" w14:textId="77777777">
        <w:trPr>
          <w:cantSplit/>
        </w:trPr>
        <w:tc>
          <w:tcPr>
            <w:tcW w:w="2880" w:type="dxa"/>
          </w:tcPr>
          <w:p w14:paraId="56825FEE" w14:textId="77777777" w:rsidR="004F44B0" w:rsidRDefault="001F4DFD">
            <w:pPr>
              <w:pStyle w:val="Compact"/>
            </w:pPr>
            <w:r>
              <w:t>MFH minus UFH differences</w:t>
            </w:r>
          </w:p>
        </w:tc>
        <w:tc>
          <w:tcPr>
            <w:tcW w:w="6480" w:type="dxa"/>
          </w:tcPr>
          <w:p w14:paraId="62A70D5E" w14:textId="77777777" w:rsidR="004F44B0" w:rsidRDefault="001F4DFD">
            <w:pPr>
              <w:pStyle w:val="Compact"/>
            </w:pPr>
            <w:r>
              <w:t>Shows the effect of borrowing strength over time.</w:t>
            </w:r>
          </w:p>
        </w:tc>
      </w:tr>
      <w:tr w:rsidR="004F44B0" w14:paraId="3FA56486" w14:textId="77777777">
        <w:trPr>
          <w:cantSplit/>
        </w:trPr>
        <w:tc>
          <w:tcPr>
            <w:tcW w:w="2880" w:type="dxa"/>
          </w:tcPr>
          <w:p w14:paraId="7317A279" w14:textId="77777777" w:rsidR="004F44B0" w:rsidRDefault="001F4DFD">
            <w:pPr>
              <w:pStyle w:val="Compact"/>
            </w:pPr>
            <w:r>
              <w:t>Estimated changes over time</w:t>
            </w:r>
          </w:p>
        </w:tc>
        <w:tc>
          <w:tcPr>
            <w:tcW w:w="6480" w:type="dxa"/>
          </w:tcPr>
          <w:p w14:paraId="6CC0E887" w14:textId="77777777" w:rsidR="004F44B0" w:rsidRDefault="001F4DFD">
            <w:pPr>
              <w:pStyle w:val="Compact"/>
            </w:pPr>
            <w:r>
              <w:t>Shows area-level changes between two years.</w:t>
            </w:r>
          </w:p>
        </w:tc>
      </w:tr>
      <w:tr w:rsidR="004F44B0" w14:paraId="29ECFA97" w14:textId="77777777">
        <w:trPr>
          <w:cantSplit/>
        </w:trPr>
        <w:tc>
          <w:tcPr>
            <w:tcW w:w="2880" w:type="dxa"/>
          </w:tcPr>
          <w:p w14:paraId="470E4EA8" w14:textId="77777777" w:rsidR="004F44B0" w:rsidRDefault="001F4DFD">
            <w:pPr>
              <w:pStyle w:val="Compact"/>
            </w:pPr>
            <w:r>
              <w:lastRenderedPageBreak/>
              <w:t>Confidence intervals for changes</w:t>
            </w:r>
          </w:p>
        </w:tc>
        <w:tc>
          <w:tcPr>
            <w:tcW w:w="6480" w:type="dxa"/>
          </w:tcPr>
          <w:p w14:paraId="0AEC650B" w14:textId="77777777" w:rsidR="004F44B0" w:rsidRDefault="001F4DFD">
            <w:pPr>
              <w:pStyle w:val="Compact"/>
            </w:pPr>
            <w:r>
              <w:t>Distinguishes meaningful changes from uncertain changes.</w:t>
            </w:r>
          </w:p>
        </w:tc>
      </w:tr>
      <w:tr w:rsidR="004F44B0" w14:paraId="6A858CFA" w14:textId="77777777">
        <w:trPr>
          <w:cantSplit/>
        </w:trPr>
        <w:tc>
          <w:tcPr>
            <w:tcW w:w="2880" w:type="dxa"/>
          </w:tcPr>
          <w:p w14:paraId="0356310D" w14:textId="77777777" w:rsidR="004F44B0" w:rsidRDefault="001F4DFD">
            <w:pPr>
              <w:pStyle w:val="Compact"/>
            </w:pPr>
            <w:r>
              <w:t>Diagnostic flags</w:t>
            </w:r>
          </w:p>
        </w:tc>
        <w:tc>
          <w:tcPr>
            <w:tcW w:w="6480" w:type="dxa"/>
          </w:tcPr>
          <w:p w14:paraId="1CA46A0F" w14:textId="77777777" w:rsidR="004F44B0" w:rsidRDefault="001F4DFD">
            <w:pPr>
              <w:pStyle w:val="Compact"/>
            </w:pPr>
            <w:r>
              <w:t>Identifies areas requiring review.</w:t>
            </w:r>
          </w:p>
        </w:tc>
      </w:tr>
      <w:tr w:rsidR="004F44B0" w14:paraId="4C293D51" w14:textId="77777777">
        <w:trPr>
          <w:cantSplit/>
        </w:trPr>
        <w:tc>
          <w:tcPr>
            <w:tcW w:w="2880" w:type="dxa"/>
            <w:tcBorders>
              <w:bottom w:val="single" w:sz="12" w:space="0" w:color="000000"/>
            </w:tcBorders>
          </w:tcPr>
          <w:p w14:paraId="207E3042" w14:textId="77777777" w:rsidR="004F44B0" w:rsidRDefault="001F4DFD">
            <w:pPr>
              <w:pStyle w:val="Compact"/>
            </w:pPr>
            <w:r>
              <w:t>Benchmark comparison</w:t>
            </w:r>
          </w:p>
        </w:tc>
        <w:tc>
          <w:tcPr>
            <w:tcW w:w="6480" w:type="dxa"/>
            <w:tcBorders>
              <w:bottom w:val="single" w:sz="12" w:space="0" w:color="000000"/>
            </w:tcBorders>
          </w:tcPr>
          <w:p w14:paraId="240E1ADC" w14:textId="77777777" w:rsidR="004F44B0" w:rsidRDefault="001F4DFD">
            <w:pPr>
              <w:pStyle w:val="Compact"/>
            </w:pPr>
            <w:r>
              <w:t>Shows the effect of benchmarking, if used.</w:t>
            </w:r>
          </w:p>
        </w:tc>
      </w:tr>
    </w:tbl>
    <w:p w14:paraId="65222CA2"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6B172561"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7201F4F8" w14:textId="77777777" w:rsidR="004F44B0" w:rsidRDefault="001F4DFD">
      <w:pPr>
        <w:pStyle w:val="FirstParagraph"/>
      </w:pPr>
      <w:r>
        <w:t>Figures and maps can help identify patterns that are difficult to see in tables. Recommended outputs include:</w:t>
      </w:r>
    </w:p>
    <w:p w14:paraId="501FBC50" w14:textId="77777777" w:rsidR="004F44B0" w:rsidRDefault="001F4DFD">
      <w:pPr>
        <w:numPr>
          <w:ilvl w:val="0"/>
          <w:numId w:val="2"/>
        </w:numPr>
      </w:pPr>
      <w:r>
        <w:t>Scatter plot of direct versus UFH estimates.</w:t>
      </w:r>
    </w:p>
    <w:p w14:paraId="6C882A64" w14:textId="77777777" w:rsidR="004F44B0" w:rsidRDefault="001F4DFD">
      <w:pPr>
        <w:numPr>
          <w:ilvl w:val="0"/>
          <w:numId w:val="2"/>
        </w:numPr>
      </w:pPr>
      <w:r>
        <w:t>Scatter plot of UFH versus MFH estimates.</w:t>
      </w:r>
    </w:p>
    <w:p w14:paraId="3ECF3CA8" w14:textId="77777777" w:rsidR="004F44B0" w:rsidRDefault="001F4DFD">
      <w:pPr>
        <w:numPr>
          <w:ilvl w:val="0"/>
          <w:numId w:val="2"/>
        </w:numPr>
      </w:pPr>
      <w:r>
        <w:t>Scatter plot of direct versus MFH estimates.</w:t>
      </w:r>
    </w:p>
    <w:p w14:paraId="2F56DC76" w14:textId="77777777" w:rsidR="004F44B0" w:rsidRDefault="001F4DFD">
      <w:pPr>
        <w:numPr>
          <w:ilvl w:val="0"/>
          <w:numId w:val="2"/>
        </w:numPr>
      </w:pPr>
      <w:r>
        <w:t>Maps of direct estimates.</w:t>
      </w:r>
    </w:p>
    <w:p w14:paraId="32547622" w14:textId="77777777" w:rsidR="004F44B0" w:rsidRDefault="001F4DFD">
      <w:pPr>
        <w:numPr>
          <w:ilvl w:val="0"/>
          <w:numId w:val="2"/>
        </w:numPr>
      </w:pPr>
      <w:r>
        <w:t>Maps of UFH estimates.</w:t>
      </w:r>
    </w:p>
    <w:p w14:paraId="6D44B2F7" w14:textId="77777777" w:rsidR="004F44B0" w:rsidRDefault="001F4DFD">
      <w:pPr>
        <w:numPr>
          <w:ilvl w:val="0"/>
          <w:numId w:val="2"/>
        </w:numPr>
      </w:pPr>
      <w:r>
        <w:t>Maps of MFH estimates.</w:t>
      </w:r>
    </w:p>
    <w:p w14:paraId="7F92ABE8" w14:textId="77777777" w:rsidR="004F44B0" w:rsidRDefault="001F4DFD">
      <w:pPr>
        <w:numPr>
          <w:ilvl w:val="0"/>
          <w:numId w:val="2"/>
        </w:numPr>
      </w:pPr>
      <w:r>
        <w:t>Maps of standard errors or CVs.</w:t>
      </w:r>
    </w:p>
    <w:p w14:paraId="38D9DEFD" w14:textId="77777777" w:rsidR="004F44B0" w:rsidRDefault="001F4DFD">
      <w:pPr>
        <w:numPr>
          <w:ilvl w:val="0"/>
          <w:numId w:val="2"/>
        </w:numPr>
      </w:pPr>
      <w:r>
        <w:t>Maps of estimated changes over time.</w:t>
      </w:r>
    </w:p>
    <w:p w14:paraId="194C658E" w14:textId="77777777" w:rsidR="007E4E93" w:rsidRDefault="00E3560C">
      <w:pPr>
        <w:numPr>
          <w:ilvl w:val="0"/>
          <w:numId w:val="2"/>
        </w:numPr>
      </w:pPr>
      <w:r>
        <w:t>Box plots of the estimated changes and of their RMSEs across domains, by method (Direct, UFH, UFH benchmarked, MFH, MFH benchmarked).</w:t>
      </w:r>
    </w:p>
    <w:p w14:paraId="22E0C3AB" w14:textId="77777777" w:rsidR="004F44B0" w:rsidRDefault="001F4DFD">
      <w:pPr>
        <w:numPr>
          <w:ilvl w:val="0"/>
          <w:numId w:val="2"/>
        </w:numPr>
      </w:pPr>
      <w:r>
        <w:t>Maps of statistically significant increases and decreases.</w:t>
      </w:r>
    </w:p>
    <w:p w14:paraId="23BF2AC0" w14:textId="77777777" w:rsidR="004F44B0" w:rsidRDefault="001F4DFD">
      <w:pPr>
        <w:numPr>
          <w:ilvl w:val="0"/>
          <w:numId w:val="2"/>
        </w:numPr>
      </w:pPr>
      <w:r>
        <w:t>Trend plots for selected areas.</w:t>
      </w:r>
    </w:p>
    <w:p w14:paraId="77D7C0FE"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2B13C7C9"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30E43912" w14:textId="77777777" w:rsidR="004F44B0" w:rsidRDefault="001F4DFD">
      <w:pPr>
        <w:pStyle w:val="FirstParagraph"/>
      </w:pPr>
      <w:r>
        <w:t>The comparison stage should identify areas that require additional review. Suggested flags include:</w:t>
      </w:r>
    </w:p>
    <w:p w14:paraId="3E6E3338" w14:textId="77777777" w:rsidR="004F44B0" w:rsidRDefault="001F4DFD">
      <w:pPr>
        <w:numPr>
          <w:ilvl w:val="0"/>
          <w:numId w:val="2"/>
        </w:numPr>
      </w:pPr>
      <w:r>
        <w:t>Very small sample size.</w:t>
      </w:r>
    </w:p>
    <w:p w14:paraId="24AFB05B" w14:textId="77777777" w:rsidR="004F44B0" w:rsidRDefault="001F4DFD">
      <w:pPr>
        <w:numPr>
          <w:ilvl w:val="0"/>
          <w:numId w:val="2"/>
        </w:numPr>
      </w:pPr>
      <w:r>
        <w:t>Missing direct estimate.</w:t>
      </w:r>
    </w:p>
    <w:p w14:paraId="030D51B4" w14:textId="77777777" w:rsidR="004F44B0" w:rsidRDefault="001F4DFD">
      <w:pPr>
        <w:numPr>
          <w:ilvl w:val="0"/>
          <w:numId w:val="2"/>
        </w:numPr>
      </w:pPr>
      <w:r>
        <w:t>Zero or one direct estimate.</w:t>
      </w:r>
    </w:p>
    <w:p w14:paraId="3104142C" w14:textId="77777777" w:rsidR="004F44B0" w:rsidRDefault="001F4DFD">
      <w:pPr>
        <w:numPr>
          <w:ilvl w:val="0"/>
          <w:numId w:val="2"/>
        </w:numPr>
      </w:pPr>
      <w:r>
        <w:t>High direct-estimate CV.</w:t>
      </w:r>
    </w:p>
    <w:p w14:paraId="0486B528" w14:textId="77777777" w:rsidR="004F44B0" w:rsidRDefault="001F4DFD">
      <w:pPr>
        <w:numPr>
          <w:ilvl w:val="0"/>
          <w:numId w:val="2"/>
        </w:numPr>
      </w:pPr>
      <w:r>
        <w:lastRenderedPageBreak/>
        <w:t>Zero, missing, or smoothed sampling variance.</w:t>
      </w:r>
    </w:p>
    <w:p w14:paraId="3EE0697E" w14:textId="77777777" w:rsidR="004F44B0" w:rsidRDefault="001F4DFD">
      <w:pPr>
        <w:numPr>
          <w:ilvl w:val="0"/>
          <w:numId w:val="2"/>
        </w:numPr>
      </w:pPr>
      <w:r>
        <w:t>Large UFH-minus-direct difference.</w:t>
      </w:r>
    </w:p>
    <w:p w14:paraId="423BD5D3" w14:textId="77777777" w:rsidR="004F44B0" w:rsidRDefault="001F4DFD">
      <w:pPr>
        <w:numPr>
          <w:ilvl w:val="0"/>
          <w:numId w:val="2"/>
        </w:numPr>
      </w:pPr>
      <w:r>
        <w:t>Large MFH-minus-UFH difference.</w:t>
      </w:r>
    </w:p>
    <w:p w14:paraId="0C86CB55" w14:textId="77777777" w:rsidR="004F44B0" w:rsidRDefault="001F4DFD">
      <w:pPr>
        <w:numPr>
          <w:ilvl w:val="0"/>
          <w:numId w:val="2"/>
        </w:numPr>
      </w:pPr>
      <w:r>
        <w:t>Large estimated change over time.</w:t>
      </w:r>
    </w:p>
    <w:p w14:paraId="2A3340E4" w14:textId="77777777" w:rsidR="004F44B0" w:rsidRDefault="001F4DFD">
      <w:pPr>
        <w:numPr>
          <w:ilvl w:val="0"/>
          <w:numId w:val="2"/>
        </w:numPr>
      </w:pPr>
      <w:r>
        <w:t>Statistically significant increase or decrease.</w:t>
      </w:r>
    </w:p>
    <w:p w14:paraId="0B4D2979" w14:textId="77777777" w:rsidR="004F44B0" w:rsidRDefault="001F4DFD">
      <w:pPr>
        <w:numPr>
          <w:ilvl w:val="0"/>
          <w:numId w:val="2"/>
        </w:numPr>
      </w:pPr>
      <w:r>
        <w:t>Large change that is not statistically significant.</w:t>
      </w:r>
    </w:p>
    <w:p w14:paraId="2A3CB4BD" w14:textId="77777777" w:rsidR="004F44B0" w:rsidRDefault="001F4DFD">
      <w:pPr>
        <w:numPr>
          <w:ilvl w:val="0"/>
          <w:numId w:val="2"/>
        </w:numPr>
      </w:pPr>
      <w:r>
        <w:t>Outlier residual.</w:t>
      </w:r>
    </w:p>
    <w:p w14:paraId="75EE8FD2" w14:textId="77777777" w:rsidR="004F44B0" w:rsidRDefault="001F4DFD">
      <w:pPr>
        <w:numPr>
          <w:ilvl w:val="0"/>
          <w:numId w:val="2"/>
        </w:numPr>
      </w:pPr>
      <w:r>
        <w:t>High final CV or wide confidence interval.</w:t>
      </w:r>
    </w:p>
    <w:p w14:paraId="5C107156" w14:textId="77777777" w:rsidR="004F44B0" w:rsidRDefault="001F4DFD">
      <w:pPr>
        <w:numPr>
          <w:ilvl w:val="0"/>
          <w:numId w:val="2"/>
        </w:numPr>
      </w:pPr>
      <w:r>
        <w:t>Area affected by boundary changes.</w:t>
      </w:r>
    </w:p>
    <w:p w14:paraId="7DD8C86E" w14:textId="77777777" w:rsidR="004F44B0" w:rsidRDefault="001F4DFD">
      <w:pPr>
        <w:numPr>
          <w:ilvl w:val="0"/>
          <w:numId w:val="2"/>
        </w:numPr>
      </w:pPr>
      <w:r>
        <w:t>Area affected by known shock, conflict, disaster, or policy change.</w:t>
      </w:r>
    </w:p>
    <w:p w14:paraId="008E1C26" w14:textId="77777777" w:rsidR="004F44B0" w:rsidRDefault="001F4DFD">
      <w:pPr>
        <w:pStyle w:val="FirstParagraph"/>
      </w:pPr>
      <w:r>
        <w:t>These flags should not automatically exclude an estimate. They are intended to guide technical review and interpretation.</w:t>
      </w:r>
    </w:p>
    <w:p w14:paraId="66DA9EC4"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C09B18C"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4AED4630"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0BAA82DF"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76B59EA" w14:textId="77777777" w:rsidR="004F44B0" w:rsidRDefault="001F4DFD">
      <w:pPr>
        <w:pStyle w:val="FirstParagraph"/>
      </w:pPr>
      <w:r>
        <w:t>Before finalizing estimates, users should confirm that:</w:t>
      </w:r>
    </w:p>
    <w:p w14:paraId="5C6522A0" w14:textId="77777777" w:rsidR="004F44B0" w:rsidRDefault="001F4DFD">
      <w:pPr>
        <w:numPr>
          <w:ilvl w:val="0"/>
          <w:numId w:val="2"/>
        </w:numPr>
      </w:pPr>
      <w:r>
        <w:t>Direct, UFH, and MFH estimates have been compared side by side.</w:t>
      </w:r>
    </w:p>
    <w:p w14:paraId="2EEE2BF1" w14:textId="77777777" w:rsidR="004F44B0" w:rsidRDefault="001F4DFD">
      <w:pPr>
        <w:numPr>
          <w:ilvl w:val="0"/>
          <w:numId w:val="2"/>
        </w:numPr>
      </w:pPr>
      <w:r>
        <w:t>Standard errors, CVs, and confidence intervals have been reviewed.</w:t>
      </w:r>
    </w:p>
    <w:p w14:paraId="021891E6" w14:textId="77777777" w:rsidR="004F44B0" w:rsidRDefault="001F4DFD">
      <w:pPr>
        <w:numPr>
          <w:ilvl w:val="0"/>
          <w:numId w:val="2"/>
        </w:numPr>
      </w:pPr>
      <w:r>
        <w:t>Large differences between direct and UFH estimates have been investigated.</w:t>
      </w:r>
    </w:p>
    <w:p w14:paraId="03A1D3C3" w14:textId="77777777" w:rsidR="004F44B0" w:rsidRDefault="001F4DFD">
      <w:pPr>
        <w:numPr>
          <w:ilvl w:val="0"/>
          <w:numId w:val="2"/>
        </w:numPr>
      </w:pPr>
      <w:r>
        <w:t>Large differences between UFH and MFH estimates have been investigated.</w:t>
      </w:r>
    </w:p>
    <w:p w14:paraId="7245A3F3" w14:textId="77777777" w:rsidR="004F44B0" w:rsidRDefault="001F4DFD">
      <w:pPr>
        <w:numPr>
          <w:ilvl w:val="0"/>
          <w:numId w:val="2"/>
        </w:numPr>
      </w:pPr>
      <w:r>
        <w:t>Estimated time trends are plausible.</w:t>
      </w:r>
    </w:p>
    <w:p w14:paraId="74AF9661" w14:textId="77777777" w:rsidR="004F44B0" w:rsidRDefault="001F4DFD">
      <w:pPr>
        <w:numPr>
          <w:ilvl w:val="0"/>
          <w:numId w:val="2"/>
        </w:numPr>
      </w:pPr>
      <w:r>
        <w:t>Change estimates include standard errors and confidence intervals.</w:t>
      </w:r>
    </w:p>
    <w:p w14:paraId="0F28F490" w14:textId="77777777" w:rsidR="004F44B0" w:rsidRDefault="001F4DFD">
      <w:pPr>
        <w:numPr>
          <w:ilvl w:val="0"/>
          <w:numId w:val="2"/>
        </w:numPr>
      </w:pPr>
      <w:r>
        <w:t>Statistically significant and non-significant changes are clearly distinguished.</w:t>
      </w:r>
    </w:p>
    <w:p w14:paraId="313AEC64" w14:textId="77777777" w:rsidR="004F44B0" w:rsidRDefault="001F4DFD">
      <w:pPr>
        <w:numPr>
          <w:ilvl w:val="0"/>
          <w:numId w:val="2"/>
        </w:numPr>
      </w:pPr>
      <w:r>
        <w:t>Maps use consistent class intervals across years.</w:t>
      </w:r>
    </w:p>
    <w:p w14:paraId="3C8B7505" w14:textId="77777777" w:rsidR="004F44B0" w:rsidRDefault="001F4DFD">
      <w:pPr>
        <w:numPr>
          <w:ilvl w:val="0"/>
          <w:numId w:val="2"/>
        </w:numPr>
      </w:pPr>
      <w:r>
        <w:lastRenderedPageBreak/>
        <w:t>Uncertainty maps are reviewed alongside point-estimate maps.</w:t>
      </w:r>
    </w:p>
    <w:p w14:paraId="4D151F9A" w14:textId="77777777" w:rsidR="004F44B0" w:rsidRDefault="001F4DFD">
      <w:pPr>
        <w:numPr>
          <w:ilvl w:val="0"/>
          <w:numId w:val="2"/>
        </w:numPr>
      </w:pPr>
      <w:r>
        <w:t>Diagnostic flags are reviewed.</w:t>
      </w:r>
    </w:p>
    <w:p w14:paraId="3E6A282B" w14:textId="77777777" w:rsidR="004F44B0" w:rsidRDefault="001F4DFD">
      <w:pPr>
        <w:numPr>
          <w:ilvl w:val="0"/>
          <w:numId w:val="2"/>
        </w:numPr>
      </w:pPr>
      <w:r>
        <w:t>Sensitivity checks are documented.</w:t>
      </w:r>
    </w:p>
    <w:p w14:paraId="0993CF91" w14:textId="77777777" w:rsidR="004F44B0" w:rsidRDefault="001F4DFD">
      <w:pPr>
        <w:numPr>
          <w:ilvl w:val="0"/>
          <w:numId w:val="2"/>
        </w:numPr>
      </w:pPr>
      <w:r>
        <w:t>The preferred estimate is justified.</w:t>
      </w:r>
    </w:p>
    <w:p w14:paraId="068EAE45" w14:textId="77777777" w:rsidR="004F44B0" w:rsidRDefault="001F4DFD">
      <w:pPr>
        <w:numPr>
          <w:ilvl w:val="0"/>
          <w:numId w:val="2"/>
        </w:numPr>
      </w:pPr>
      <w:r>
        <w:t>Limitations are clearly stated.</w:t>
      </w:r>
    </w:p>
    <w:p w14:paraId="2AC03036" w14:textId="77777777" w:rsidR="004F44B0" w:rsidRDefault="001F4DFD">
      <w:pPr>
        <w:pStyle w:val="FirstParagraph"/>
      </w:pPr>
      <w:r>
        <w:t>The comparison stage should be completed before producing final maps and before recommending estimates for publication or policy use.</w:t>
      </w:r>
    </w:p>
    <w:p w14:paraId="2A06425D"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br/>
        <w:br/>
      </w:r>
      <w:r>
        <w:t>Preparing Poverty Maps</w:t>
      </w:r>
      <w:bookmarkEnd w:id="310"/>
    </w:p>
    <w:p w14:paraId="4D2CACD8"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45EFCA1D" w14:textId="77777777" w:rsidR="004F44B0" w:rsidRDefault="001F4DFD">
      <w:pPr>
        <w:pStyle w:val="FirstParagraph"/>
      </w:pPr>
      <w:r>
        <w:t>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1B2986BD"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2322D016"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derivada de CartoBase ANE 2006-2024 CC-BY 4.0 ign.es.</w:t>
      </w:r>
    </w:p>
    <w:p w14:paraId="0995A427"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4CC71C92"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0D9FF3EB"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4C5D40E8" w14:textId="77777777" w:rsidR="00D56A60" w:rsidRDefault="0093390C">
      <w:pPr>
        <w:pStyle w:val="ImageCaption"/>
      </w:pPr>
      <w:r>
        <w:t xml:space="preserve">Figure 8b. Earlier-run Direct and benchmarked MFH RMSE maps for 2013. Current uncertainty must be regenerated with the revised estimator. Boundaries: Obra derivada de CartoBase ANE 2006-2024 CC-BY 4.0 ign.es.</w:t>
      </w:r>
    </w:p>
    <w:p w14:paraId="308FE983"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1BFE0947" w14:textId="77777777"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14:paraId="7BB6B597" w14:textId="77777777" w:rsidR="007E4E93" w:rsidRDefault="00E3560C">
      <w:pPr>
        <w:pStyle w:val="BodyText"/>
      </w:pPr>
      <w:r>
        <w:t>For mean welfare, the change maps show the percentage change of the mean (Section 8.12), and map titles and legends name the indicator rather than poverty.</w:t>
      </w:r>
    </w:p>
    <w:p w14:paraId="2B616907"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5306FF18"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derivada de CartoBase ANE 2006-2024 CC-BY 4.0 ign.es.</w:t>
      </w:r>
    </w:p>
    <w:p w14:paraId="4E75157B"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7CC600BF" w14:textId="77777777"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317A342"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4CDF0F31"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24569A14" w14:textId="77777777" w:rsidR="004F44B0" w:rsidRDefault="001F4DFD">
      <w:pPr>
        <w:pStyle w:val="Heading1"/>
      </w:pPr>
      <w:bookmarkStart w:id="326" w:name="_Toc242266086"/>
      <w:r>
        <w:lastRenderedPageBreak/>
        <w:t>Section 11</w:t>
        <w:br/>
        <w:br/>
        <w:t>Using the Wizard Application</w:t>
      </w:r>
      <w:bookmarkEnd w:id="326"/>
    </w:p>
    <w:p w14:paraId="2961AB7D" w14:textId="77777777" w:rsidR="008D263D" w:rsidRDefault="00733D29">
      <w:pPr>
        <w:pStyle w:val="FirstParagraph"/>
      </w:pPr>
      <w:r>
        <w:t xml:space="preserve">The EU SAE wizard guides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the wizard is the recommended interface for routine use. These instructions refer to application 5.2.0-rc.6-wizard.5.14 (w5n). Earlier screenshots use the Spain example (survey years 2012 and 2013); the worked examples use 2022 and 2023.</w:t>
      </w:r>
    </w:p>
    <w:p w14:paraId="22FC930F" w14:textId="77777777" w:rsidR="008D263D" w:rsidRDefault="00733D29">
      <w:pPr>
        <w:pStyle w:val="Heading2"/>
      </w:pPr>
      <w:bookmarkStart w:id="327" w:name="_Toc242266087"/>
      <w:r>
        <w:t>11.1 Installing and launching the wizard</w:t>
      </w:r>
      <w:bookmarkEnd w:id="327"/>
    </w:p>
    <w:p w14:paraId="4EA26636" w14:textId="77777777" w:rsidR="008D263D" w:rsidRDefault="00733D29">
      <w:pPr>
        <w:pStyle w:val="FirstParagraph"/>
      </w:pPr>
      <w:r>
        <w:t xml:space="preserve">Install R 4.2 or later from https://cran.r-project.org/, using a current version approved by your organization. RStudio Desktop is optional. If you already use it and Pandoc is missing or too old, update it to the latest stable version compatible with your computer and restart the wizard: https://posit.co/download/rstudio-desktop/. RStudio supplies Pandoc. HTML and Word reports require Pandoc 2.17 or later. The launcher reuses a compatible installed copy from RStudio, Quarto, Positron, or standalone Pandoc, or downloads a checksum-verified copy on first use. For offline use, install a compatible copy beforehand (https://pandoc.org/installing.html).</w:t>
      </w:r>
    </w:p>
    <w:p w14:paraId="4738158F"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4D9FF706"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0CD4867C" w14:textId="77777777" w:rsidR="008D263D" w:rsidRDefault="00733D29">
      <w:pPr>
        <w:pStyle w:val="BodyText"/>
      </w:pPr>
      <w:r>
        <w:t>After extracting the archive, open the folder shown below. The wizard and classic dashboard share the same validated analysis server and output structure.</w:t>
      </w:r>
    </w:p>
    <w:p w14:paraId="50380CB3" w14:textId="77777777" w:rsidR="008D263D" w:rsidRDefault="00733D29">
      <w:pPr>
        <w:pStyle w:val="SourceCode"/>
        <w:jc w:val="left"/>
      </w:pPr>
      <w:r>
        <w:t>EU_SAE_520_w5n/</w:t>
        <w:br/>
        <w:t>|-- app_wizard.R          # six-step guided interface</w:t>
        <w:br/>
        <w:t>|-- app.R                 # classic dashboard and shared server</w:t>
        <w:br/>
        <w:t>|-- Start_Here/Start_Wizard.bat     # Windows wizard</w:t>
        <w:br/>
        <w:t>|-- Start_Here/Start_Wizard.command # macOS/Linux wizard</w:t>
        <w:br/>
        <w:lastRenderedPageBreak/>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docs/guidance/ and docs/instructions/</w:t>
        <w:br/>
        <w:t>|-- LICENSE, NOTICE and THIRD_PARTY_NOTICES.md</w:t>
        <w:br/>
        <w:t>`-- release_manifest.csv  # file sizes and SHA-256 checksums</w:t>
      </w:r>
    </w:p>
    <w:p w14:paraId="114C1E13" w14:textId="77777777" w:rsidR="008D263D" w:rsidRDefault="00733D29">
      <w:pPr>
        <w:pStyle w:val="BodyText"/>
      </w:pPr>
      <w:r>
        <w:t xml:space="preserve">After extracting the whole ZIP, open Start_Here. On Windows, double-click Start_Wizard.bat. On macOS, double-click Start_Wizard.command; if macOS blocks it, open System Settings → Privacy &amp; Security and choose Open Anyway (macOS 15 or later), or Control-click the file and choose Open (macOS 14 or earlier).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Start an analysis on the front page. See Start_Here/README.md for detailed macOS permission help.</w:t>
      </w:r>
    </w:p>
    <w:p w14:paraId="302A79B9" w14:textId="77777777" w:rsidR="008D263D" w:rsidRDefault="00733D29">
      <w:pPr>
        <w:pStyle w:val="CaptionedFigure"/>
        <w:jc w:val="center"/>
      </w:pPr>
      <w:r>
        <w:rPr>
          <w:noProof/>
        </w:rPr>
        <w:drawing>
          <wp:inline distT="0" distB="0" distL="0" distR="0" wp14:anchorId="41E0074F" wp14:editId="4A8548E0">
            <wp:extent cx="5989320" cy="3368992"/>
            <wp:effectExtent l="0" t="0" r="0" b="0"/>
            <wp:docPr id="9003" name="Picture 9003" descr="EU SAE front page with the Start an analysis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88C783C" w14:textId="77777777" w:rsidR="008D263D" w:rsidRDefault="00733D29">
      <w:pPr>
        <w:pStyle w:val="ImageCaption"/>
      </w:pPr>
      <w:r>
        <w:t>Figure 10. The front page of the wizard and the dashboard. Select Start an analysis to open the guided setup.</w:t>
      </w:r>
    </w:p>
    <w:p w14:paraId="6FED8151" w14:textId="77777777" w:rsidR="008D263D" w:rsidRDefault="00733D29">
      <w:pPr>
        <w:pStyle w:val="Heading2"/>
      </w:pPr>
      <w:bookmarkStart w:id="328" w:name="_Toc242266088"/>
      <w:r>
        <w:t>11.2 Wizard navigation and the six-step workflow</w:t>
      </w:r>
      <w:bookmarkEnd w:id="328"/>
    </w:p>
    <w:p w14:paraId="0586F35F" w14:textId="77777777" w:rsidR="008D263D" w:rsidRDefault="00733D29">
      <w:pPr>
        <w:pStyle w:val="FirstParagraph"/>
      </w:pPr>
      <w:r>
        <w:t xml:space="preserve">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Run Analysis becomes available once the Step 1 inputs are complete (two analysis years, a seed, and the survey, auxiliary and geometry files), but a run starts only after Check Data Readiness has passed without an ERROR. Changing the survey, auxiliary, geometry, benchmark-target or population file, the variable mapping, the poverty line, the indicator, the transformation and back-transformation choices, LASSO, the seed, the bootstrap replicates, the steps to run, the benchmarking choice or the run label resets that check. Some other changes, including the CPI file and price settings, the variance and covariance options and the covariate lists, do not, so run the check again after any change (Section 11.8).</w:t>
      </w:r>
    </w:p>
    <w:p w14:paraId="25332934" w14:textId="77777777" w:rsidR="008D263D" w:rsidRDefault="00733D29">
      <w:pPr>
        <w:pStyle w:val="BodyText"/>
      </w:pPr>
      <w:r>
        <w:lastRenderedPageBreak/>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36C07161"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0FCA66A4" w14:textId="77777777" w:rsidR="008D263D" w:rsidRDefault="00733D29">
      <w:pPr>
        <w:pStyle w:val="Heading2"/>
      </w:pPr>
      <w:bookmarkStart w:id="329" w:name="_Toc242266089"/>
      <w:r>
        <w:t>11.3 Step 1 - Data inputs</w:t>
      </w:r>
      <w:bookmarkEnd w:id="329"/>
    </w:p>
    <w:p w14:paraId="62D0513B" w14:textId="77777777" w:rsidR="008D263D" w:rsidRDefault="00733D29">
      <w:pPr>
        <w:pStyle w:val="FirstParagraph"/>
      </w:pPr>
      <w:r>
        <w:t>Enter exactly two analysis years, the optional country or territory label, the reproducibility seed, and an optional run label. Analysis years are the survey years used in the files and output labels, even when incomes refer to the preceding calendar year. The seed controls LASSO folds and bootstrap draws; use a recorded value such as 123 for reproducibility. The run label helps identify archived runs.</w:t>
      </w:r>
    </w:p>
    <w:p w14:paraId="6CC9325A"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delimited-text, Stata, SPSS, SAS, Parquet/Feather, or Excel formats. Geometry may be supplied as R data, a zipped ESRI shapefile, GeoPackage, GeoJSON, KML, or GML. Examples in Data/Spain/ and Data/simulated/ are for testing only; use approved local inputs for actual estimates.</w:t>
      </w:r>
    </w:p>
    <w:p w14:paraId="7D9D9270" w14:textId="77777777" w:rsidR="007E4E93" w:rsidRDefault="00E3560C">
      <w:pPr>
        <w:pStyle w:val="BodyText"/>
      </w:pPr>
      <w:r>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in real prices. The file structure, year coverage, and format examples are in Section 11.12.3. Poverty runs, including anchored poverty, do not use the CPI input.</w:t>
      </w:r>
    </w:p>
    <w:p w14:paraId="2107DAAF" w14:textId="77777777" w:rsidR="008D263D" w:rsidRDefault="00733D29">
      <w:pPr>
        <w:pStyle w:val="CaptionedFigure"/>
        <w:jc w:val="center"/>
      </w:pPr>
      <w:r>
        <w:rPr>
          <w:noProof/>
        </w:rPr>
        <w:lastRenderedPageBreak/>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455D3920" w14:textId="77777777" w:rsidR="008D263D" w:rsidRDefault="00733D29">
      <w:pPr>
        <w:pStyle w:val="ImageCaption"/>
      </w:pPr>
      <w:r>
        <w:t>Figure 11. Wizard Step 1: analysis settings and input-file selection.</w:t>
      </w:r>
    </w:p>
    <w:p w14:paraId="24655A64" w14:textId="77777777" w:rsidR="008D263D" w:rsidRDefault="00733D29">
      <w:pPr>
        <w:pStyle w:val="Heading2"/>
      </w:pPr>
      <w:bookmarkStart w:id="330" w:name="_Toc242266090"/>
      <w:r>
        <w:t>11.4 Step 2 - Variable mapping</w:t>
      </w:r>
      <w:bookmarkEnd w:id="330"/>
    </w:p>
    <w:p w14:paraId="5F497908" w14:textId="77777777" w:rsidR="008D263D" w:rsidRDefault="00733D29">
      <w:pPr>
        <w:pStyle w:val="FirstParagraph"/>
      </w:pPr>
      <w:r>
        <w:t>Map year, domain, PSU, weight, household size, and welfare in the survey. Map strata when they are part of the design. Then map the auxiliary domain key and the geometry domain field. Confirm that welfare is already per capita or equivalized as required. For household records, the app uses population_weight = weight x household size for direct estimates. For person records with person weights, map a constant-one household-size column to avoid counting household size twice.</w:t>
      </w:r>
    </w:p>
    <w:p w14:paraId="20B5056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5B9DA7B8"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4A38337B" w14:textId="77777777" w:rsidR="008D263D" w:rsidRDefault="00733D29">
      <w:pPr>
        <w:pStyle w:val="ImageCaption"/>
      </w:pPr>
      <w:r>
        <w:t>Figure 12. Wizard Step 2: variable mapping and join keys.</w:t>
      </w:r>
    </w:p>
    <w:p w14:paraId="691BD644" w14:textId="77777777" w:rsidR="008D263D" w:rsidRDefault="00733D29">
      <w:pPr>
        <w:pStyle w:val="Heading2"/>
      </w:pPr>
      <w:bookmarkStart w:id="331" w:name="_Toc242266091"/>
      <w:r>
        <w:t>11.5 Step 3 - Indicator definition</w:t>
      </w:r>
      <w:bookmarkEnd w:id="331"/>
    </w:p>
    <w:p w14:paraId="6BF7CDB6" w14:textId="77777777" w:rsidR="008D263D" w:rsidRDefault="00733D29">
      <w:pPr>
        <w:pStyle w:val="FirstParagraph"/>
      </w:pPr>
      <w:r>
        <w:t>Choose the indicator. Poverty (FGT) uses welfare and a poverty line; select FGT(0) for headcounts, FGT(1) for the poverty gap, or FGT(2) for poverty severity. Mean welfare uses the welfare variable directly and hides the poverty-line and FGT controls. Enter a currency label for mean welfare. The examples below focus on FGT(0) headcounts and real mean welfare.</w:t>
      </w:r>
    </w:p>
    <w:p w14:paraId="1C9BA53F" w14:textId="77777777" w:rsidR="008D263D" w:rsidRDefault="00733D29">
      <w:pPr>
        <w:pStyle w:val="BodyText"/>
      </w:pPr>
      <w:r>
        <w:t xml:space="preserve">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1A1F2B8B"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38D63C2D" w14:textId="77777777" w:rsidR="007E4E93" w:rsidRDefault="00E3560C">
      <w:pPr>
        <w:pStyle w:val="BodyText"/>
      </w:pPr>
      <w:r>
        <w:t>When converting, choose whether CPI values are typed in or read from the Step 1 file, specify the income reference period, select the CPI format, and choose the price base year. Confirm that the displayed values cover all required years before continuing. Section 11.12 gives both real-welfare routes, the CPI formats, and a worked calculation.</w:t>
      </w:r>
    </w:p>
    <w:p w14:paraId="0DCF6B88"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695D0A6F" w14:textId="77777777" w:rsidR="008D263D" w:rsidRDefault="00733D29">
      <w:pPr>
        <w:pStyle w:val="ImageCaption"/>
      </w:pPr>
      <w:r>
        <w:t>Figure 13. Wizard Step 3: indicator, poverty-line source, and FGT measure.</w:t>
      </w:r>
    </w:p>
    <w:p w14:paraId="31662FD9" w14:textId="77777777" w:rsidR="007E4E93" w:rsidRDefault="00E3560C">
      <w:pPr>
        <w:pStyle w:val="CaptionedFigure"/>
        <w:jc w:val="center"/>
      </w:pPr>
      <w:r>
        <w:rPr>
          <w:noProof/>
        </w:rPr>
        <w:drawing>
          <wp:inline distT="0" distB="0" distL="0" distR="0" wp14:anchorId="5C6983B3" wp14:editId="56EE4690">
            <wp:extent cx="5120640" cy="3304864"/>
            <wp:effectExtent l="0" t="0" r="0" b="0"/>
            <wp:docPr id="9010" name="Picture 9010" descr="Wizard Step 3 for mean welfare: prices of welfare, price index source, income reference period, CPI organisation, price base year and 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b_mean_welfare_prices.png"/>
                    <pic:cNvPicPr/>
                  </pic:nvPicPr>
                  <pic:blipFill>
                    <a:blip r:embed="rId24"/>
                    <a:stretch>
                      <a:fillRect/>
                    </a:stretch>
                  </pic:blipFill>
                  <pic:spPr>
                    <a:xfrm>
                      <a:off x="0" y="0"/>
                      <a:ext cx="5120640" cy="3304864"/>
                    </a:xfrm>
                    <a:prstGeom prst="rect">
                      <a:avLst/>
                    </a:prstGeom>
                  </pic:spPr>
                </pic:pic>
              </a:graphicData>
            </a:graphic>
          </wp:inline>
        </w:drawing>
      </w:r>
    </w:p>
    <w:p w14:paraId="38466469" w14:textId="77777777" w:rsidR="007E4E93" w:rsidRDefault="00E3560C">
      <w:pPr>
        <w:pStyle w:val="ImageCaption"/>
      </w:pPr>
      <w:r>
        <w:t>Figure 13b. Wizard Step 3 for mean welfare converted with a price index: prices of welfare, price index source, income reference period, CPI organisation, price base year and index values.</w:t>
      </w:r>
    </w:p>
    <w:p w14:paraId="7F86DC0B" w14:textId="77777777" w:rsidR="008D263D" w:rsidRDefault="00733D29">
      <w:pPr>
        <w:pStyle w:val="Heading2"/>
      </w:pPr>
      <w:bookmarkStart w:id="332" w:name="_Toc242266092"/>
      <w:r>
        <w:lastRenderedPageBreak/>
        <w:t>11.6 Step 4 - Model options</w:t>
      </w:r>
      <w:bookmarkEnd w:id="332"/>
    </w:p>
    <w:p w14:paraId="73B49245" w14:textId="77777777" w:rsidR="008D263D" w:rsidRDefault="00733D29">
      <w:pPr>
        <w:pStyle w:val="FirstParagraph"/>
      </w:pPr>
      <w:r>
        <w:t xml:space="preserve">Leave UFH, MFH, and Comparison selected for a complete run. For UFH, choose the context-dependent transformation (arcsin or no transformation for FGT(0) headcounts, no transformation for FGT(1) and FGT(2);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715C6011" w14:textId="77777777"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mean must be positive and finite. UFH bias correction uses native emdi Slud–Maiti bc_sm with ML fitting and its original-scale analytical MSE. The naive option exponentiates the same fitted log-area mean and uses bootstrap MSE; it does not change the target into a geometric mean. MFH uses its separate conditional-lognormal correction, described in Annex G.4. Check the recorded method after restoring an older setup.</w:t>
      </w:r>
    </w:p>
    <w:p w14:paraId="7FDE67E1"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can use log with conditional-lognormal correction. MFH2 remains default; selecting MFH3 tries it first and retains it only after numerical checks and adjusted variance-test support. Also fit MFH3 adds a comparison fit without changing the selected model.</w:t>
      </w:r>
    </w:p>
    <w:p w14:paraId="12441EBF" w14:textId="77777777" w:rsidR="008D263D" w:rsidRDefault="00733D29">
      <w:pPr>
        <w:pStyle w:val="BodyText"/>
      </w:pPr>
      <w:r>
        <w:t>Benchmarking is off by default. To enable it, choose National, or choose Grouped and map the group field. An external target file is optional; the app otherwise derives survey targets. Mean-welfare targets must have the same input prices as survey welfare; CPI conversion, when selected, converts both (Section 3.8). The PSU-consistency checkbox records your assessment of whether identifiers refer to the same sampling units across years. In this release, that checkbox alone does not change estimates; choose the sampling-covariance option to reflect the actual survey design.</w:t>
      </w:r>
    </w:p>
    <w:p w14:paraId="5A5C508A" w14:textId="77777777" w:rsidR="008D263D" w:rsidRDefault="00733D29">
      <w:pPr>
        <w:pStyle w:val="BodyText"/>
      </w:pPr>
      <w:r>
        <w:t xml:space="preserve">Bootstrap replicates defaults to 500 and applies to UFH bootstrap MSE, MFH MSE/MCPE and both benchmark paths. Explicit older saved counts are retained; check the restored value. More draws reduce Monte Carlo error but do not guarantee coverage. Pointwise significance remains primary; BH and Bonferroni are supplementary sensitivities.</w:t>
      </w:r>
    </w:p>
    <w:p w14:paraId="228A9F18" w14:textId="77777777" w:rsidR="008D263D" w:rsidRDefault="00733D29">
      <w:pPr>
        <w:pStyle w:val="CaptionedFigure"/>
        <w:jc w:val="center"/>
      </w:pPr>
      <w:r>
        <w:rPr>
          <w:noProof/>
        </w:rPr>
        <w:lastRenderedPageBreak/>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5"/>
                    <a:stretch>
                      <a:fillRect/>
                    </a:stretch>
                  </pic:blipFill>
                  <pic:spPr>
                    <a:xfrm>
                      <a:off x="0" y="0"/>
                      <a:ext cx="5989320" cy="3371064"/>
                    </a:xfrm>
                    <a:prstGeom prst="rect">
                      <a:avLst/>
                    </a:prstGeom>
                  </pic:spPr>
                </pic:pic>
              </a:graphicData>
            </a:graphic>
          </wp:inline>
        </w:drawing>
      </w:r>
    </w:p>
    <w:p w14:paraId="3B0610D8" w14:textId="77777777" w:rsidR="008D263D" w:rsidRDefault="00733D29">
      <w:pPr>
        <w:pStyle w:val="ImageCaption"/>
      </w:pPr>
      <w:r>
        <w:t xml:space="preserve">Figure 14. Earlier interface illustration of Step 4. The current control is Bootstrap replicates, default 500, and the log corrections are model-specific as described in the text.</w:t>
      </w:r>
    </w:p>
    <w:p w14:paraId="72C0FFFD" w14:textId="77777777" w:rsidR="008D263D" w:rsidRDefault="00733D29">
      <w:pPr>
        <w:pStyle w:val="Heading2"/>
      </w:pPr>
      <w:bookmarkStart w:id="333" w:name="_Toc242266093"/>
      <w:r>
        <w:t>11.7 Step 5 - AI Assistant (optional)</w:t>
      </w:r>
      <w:bookmarkEnd w:id="333"/>
    </w:p>
    <w:p w14:paraId="71297EB9"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5FEF7C1C" w14:textId="77777777" w:rsidR="008D263D" w:rsidRDefault="00733D29">
      <w:pPr>
        <w:pStyle w:val="BodyText"/>
      </w:pPr>
      <w:r>
        <w:t>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01793696"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6"/>
                    <a:stretch>
                      <a:fillRect/>
                    </a:stretch>
                  </pic:blipFill>
                  <pic:spPr>
                    <a:xfrm>
                      <a:off x="0" y="0"/>
                      <a:ext cx="5989320" cy="3371064"/>
                    </a:xfrm>
                    <a:prstGeom prst="rect">
                      <a:avLst/>
                    </a:prstGeom>
                  </pic:spPr>
                </pic:pic>
              </a:graphicData>
            </a:graphic>
          </wp:inline>
        </w:drawing>
      </w:r>
    </w:p>
    <w:p w14:paraId="222FC800" w14:textId="77777777" w:rsidR="008D263D" w:rsidRDefault="00733D29">
      <w:pPr>
        <w:pStyle w:val="ImageCaption"/>
      </w:pPr>
      <w:r>
        <w:t>Figure 15. Wizard Step 5: the optional AI Assistant in its recommended default off state.</w:t>
      </w:r>
    </w:p>
    <w:p w14:paraId="1E1861A0" w14:textId="77777777" w:rsidR="008D263D" w:rsidRDefault="00733D29">
      <w:pPr>
        <w:pStyle w:val="Heading2"/>
      </w:pPr>
      <w:bookmarkStart w:id="334" w:name="_Toc242266094"/>
      <w:r>
        <w:t>11.8 Step 6 - Review &amp; Run</w:t>
      </w:r>
      <w:bookmarkEnd w:id="334"/>
    </w:p>
    <w:p w14:paraId="2865E9E4" w14:textId="77777777" w:rsidR="008D263D" w:rsidRDefault="00733D29">
      <w:pPr>
        <w:pStyle w:val="FirstParagraph"/>
      </w:pPr>
      <w:r>
        <w:t>Review the consolidated settings summary before running. It repeats the active files, mapping, indicator, the price basis of mean welfare (with the CPI file, when used),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68CA98D8" w14:textId="77777777" w:rsidR="008D263D" w:rsidRDefault="00733D29">
      <w:pPr>
        <w:pStyle w:val="BodyText"/>
      </w:pPr>
      <w:r>
        <w:t xml:space="preserve">Run 1. Check Data Readiness, which must pass without an ERROR,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3F5683D4" w14:textId="77777777" w:rsidR="008D263D" w:rsidRDefault="00733D29">
      <w:pPr>
        <w:pStyle w:val="BodyText"/>
      </w:pPr>
      <w:r>
        <w:t>Run Analysis executes UFH, MFH, and Comparison in a separate R process. The live log reports the current stage, model fallback conditions, and output locations. Only one analysis runs at a time. Stop ends the run; already-written files remain in outputs and the stopped run is not archived. Completed runs are archived under app_runs/&lt;timestamp&gt;_&lt;run_label&gt;/outputs/. The current outputs folder is reused by later runs, so keep the archive or a separate copy.</w:t>
      </w:r>
    </w:p>
    <w:p w14:paraId="750C26A4"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7"/>
                    <a:stretch>
                      <a:fillRect/>
                    </a:stretch>
                  </pic:blipFill>
                  <pic:spPr>
                    <a:xfrm>
                      <a:off x="0" y="0"/>
                      <a:ext cx="5989320" cy="3371064"/>
                    </a:xfrm>
                    <a:prstGeom prst="rect">
                      <a:avLst/>
                    </a:prstGeom>
                  </pic:spPr>
                </pic:pic>
              </a:graphicData>
            </a:graphic>
          </wp:inline>
        </w:drawing>
      </w:r>
    </w:p>
    <w:p w14:paraId="6E335E7B" w14:textId="77777777" w:rsidR="008D263D" w:rsidRDefault="00733D29">
      <w:pPr>
        <w:pStyle w:val="ImageCaption"/>
      </w:pPr>
      <w:r>
        <w:t>Figure 16. Wizard Step 6: consolidated settings review before the readiness check and run.</w:t>
      </w:r>
    </w:p>
    <w:p w14:paraId="43BC8D18" w14:textId="77777777" w:rsidR="008D263D" w:rsidRDefault="00733D29">
      <w:pPr>
        <w:pStyle w:val="Heading2"/>
      </w:pPr>
      <w:bookmarkStart w:id="335" w:name="_Toc242266095"/>
      <w:r>
        <w:t>11.9 Reviewing and retaining outputs</w:t>
      </w:r>
      <w:bookmarkEnd w:id="335"/>
    </w:p>
    <w:p w14:paraId="337DA7AA" w14:textId="77777777" w:rsidR="008D263D" w:rsidRDefault="00733D29">
      <w:pPr>
        <w:pStyle w:val="FirstParagraph"/>
      </w:pPr>
      <w:r>
        <w:t>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7695E558" w14:textId="77777777" w:rsidR="008D263D" w:rsidRDefault="00733D29">
      <w:pPr>
        <w:pStyle w:val="BodyText"/>
      </w:pPr>
      <w:r>
        <w:t>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F8C50D6"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pPr>
        <w:pStyle w:val="BodyText"/>
      </w:pPr>
      <w:r>
        <w:t xml:space="preserve">Section 11.13 explains how to read the change outputs: their units (percentage points for headcounts, percent for mean welfare, raw log ratios in the box plots), the uncertainty behind each method, and the output fields that hold them.</w:t>
      </w:r>
    </w:p>
    <w:p w14:paraId="42B4E9AD"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56685" w14:textId="77777777" w:rsidR="007E4E93" w:rsidRDefault="00E3560C">
      <w:pPr>
        <w:pStyle w:val="Heading2"/>
        <w:pageBreakBefore/>
      </w:pPr>
      <w:bookmarkStart w:id="336" w:name="_Toc242266096"/>
      <w:r>
        <w:t xml:space="preserve">11.10 Poverty headcounts with year-specific poverty lines</w:t>
      </w:r>
      <w:bookmarkEnd w:id="336"/>
    </w:p>
    <w:p w14:paraId="7FEAB987" w14:textId="77777777" w:rsidR="007E4E93" w:rsidRDefault="00E3560C">
      <w:pPr>
        <w:pStyle w:val="BodyText"/>
      </w:pPr>
      <w:r>
        <w:t>Use year-specific lines when each survey is assessed against its own national line or contemporaneous relative threshold. Match each line to the welfare concept, units, and prices of the income measured. Apply the same six-step workflow, with the indicator and line choices below.</w:t>
      </w:r>
    </w:p>
    <w:p w14:paraId="6ADC7F9A" w14:textId="77777777" w:rsidR="007E4E93" w:rsidRDefault="00E3560C">
      <w:pPr>
        <w:pStyle w:val="Heading3"/>
      </w:pPr>
      <w:bookmarkStart w:id="337" w:name="_Toc242266097"/>
      <w:r>
        <w:t>11.10.1 Prepare the survey and lines</w:t>
      </w:r>
      <w:bookmarkEnd w:id="337"/>
    </w:p>
    <w:p w14:paraId="2818380C"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442AFD00"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3F1C8FCB" w14:textId="77777777">
        <w:trPr>
          <w:cantSplit/>
          <w:tblHeader/>
          <w:jc w:val="center"/>
        </w:trPr>
        <w:tc>
          <w:tcPr>
            <w:tcW w:w="1440" w:type="dxa"/>
            <w:shd w:val="clear" w:color="auto" w:fill="E7EEF4"/>
            <w:vAlign w:val="center"/>
          </w:tcPr>
          <w:p w14:paraId="4038BE45" w14:textId="77777777" w:rsidR="007E4E93" w:rsidRDefault="00E3560C">
            <w:pPr>
              <w:keepNext/>
              <w:spacing w:after="60" w:line="252" w:lineRule="auto"/>
            </w:pPr>
            <w:r>
              <w:rPr>
                <w:b/>
                <w:sz w:val="20"/>
              </w:rPr>
              <w:t>Survey year</w:t>
            </w:r>
          </w:p>
        </w:tc>
        <w:tc>
          <w:tcPr>
            <w:tcW w:w="1440" w:type="dxa"/>
            <w:shd w:val="clear" w:color="auto" w:fill="E7EEF4"/>
            <w:vAlign w:val="center"/>
          </w:tcPr>
          <w:p w14:paraId="5BE82BAA" w14:textId="77777777" w:rsidR="007E4E93" w:rsidRDefault="00E3560C">
            <w:pPr>
              <w:keepNext/>
              <w:spacing w:after="60" w:line="252" w:lineRule="auto"/>
            </w:pPr>
            <w:r>
              <w:rPr>
                <w:b/>
                <w:sz w:val="20"/>
              </w:rPr>
              <w:t>Income year</w:t>
            </w:r>
          </w:p>
        </w:tc>
        <w:tc>
          <w:tcPr>
            <w:tcW w:w="3312" w:type="dxa"/>
            <w:shd w:val="clear" w:color="auto" w:fill="E7EEF4"/>
            <w:vAlign w:val="center"/>
          </w:tcPr>
          <w:p w14:paraId="74E00759"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5186E56E" w14:textId="77777777" w:rsidR="007E4E93" w:rsidRDefault="00E3560C">
            <w:pPr>
              <w:keepNext/>
              <w:spacing w:after="60" w:line="252" w:lineRule="auto"/>
            </w:pPr>
            <w:r>
              <w:rPr>
                <w:b/>
                <w:sz w:val="20"/>
              </w:rPr>
              <w:t>Illustrative headcount</w:t>
            </w:r>
          </w:p>
        </w:tc>
      </w:tr>
      <w:tr w:rsidR="007E4E93" w14:paraId="5A08A990" w14:textId="77777777">
        <w:trPr>
          <w:cantSplit/>
          <w:jc w:val="center"/>
        </w:trPr>
        <w:tc>
          <w:tcPr>
            <w:tcW w:w="1440" w:type="dxa"/>
            <w:vAlign w:val="center"/>
          </w:tcPr>
          <w:p w14:paraId="45C528A0" w14:textId="77777777" w:rsidR="007E4E93" w:rsidRDefault="00E3560C">
            <w:pPr>
              <w:spacing w:after="60" w:line="252" w:lineRule="auto"/>
            </w:pPr>
            <w:r>
              <w:rPr>
                <w:sz w:val="20"/>
              </w:rPr>
              <w:t>2022</w:t>
            </w:r>
          </w:p>
        </w:tc>
        <w:tc>
          <w:tcPr>
            <w:tcW w:w="1440" w:type="dxa"/>
            <w:vAlign w:val="center"/>
          </w:tcPr>
          <w:p w14:paraId="37B45FB6" w14:textId="77777777" w:rsidR="007E4E93" w:rsidRDefault="00E3560C">
            <w:pPr>
              <w:spacing w:after="60" w:line="252" w:lineRule="auto"/>
            </w:pPr>
            <w:r>
              <w:rPr>
                <w:sz w:val="20"/>
              </w:rPr>
              <w:t>2021</w:t>
            </w:r>
          </w:p>
        </w:tc>
        <w:tc>
          <w:tcPr>
            <w:tcW w:w="3312" w:type="dxa"/>
            <w:vAlign w:val="center"/>
          </w:tcPr>
          <w:p w14:paraId="1DC89DF0" w14:textId="77777777" w:rsidR="007E4E93" w:rsidRDefault="00E3560C">
            <w:pPr>
              <w:spacing w:after="60" w:line="252" w:lineRule="auto"/>
            </w:pPr>
            <w:r>
              <w:rPr>
                <w:sz w:val="20"/>
              </w:rPr>
              <w:t>7,860.87 EUR</w:t>
            </w:r>
          </w:p>
        </w:tc>
        <w:tc>
          <w:tcPr>
            <w:tcW w:w="3168" w:type="dxa"/>
            <w:vAlign w:val="center"/>
          </w:tcPr>
          <w:p w14:paraId="345FCB57" w14:textId="77777777" w:rsidR="007E4E93" w:rsidRDefault="00E3560C">
            <w:pPr>
              <w:spacing w:after="60" w:line="252" w:lineRule="auto"/>
            </w:pPr>
            <w:r>
              <w:rPr>
                <w:sz w:val="20"/>
              </w:rPr>
              <w:t>20%</w:t>
            </w:r>
          </w:p>
        </w:tc>
      </w:tr>
      <w:tr w:rsidR="007E4E93" w14:paraId="4814E4A8" w14:textId="77777777">
        <w:trPr>
          <w:cantSplit/>
          <w:jc w:val="center"/>
        </w:trPr>
        <w:tc>
          <w:tcPr>
            <w:tcW w:w="1440" w:type="dxa"/>
            <w:vAlign w:val="center"/>
          </w:tcPr>
          <w:p w14:paraId="195DD4CD" w14:textId="77777777" w:rsidR="007E4E93" w:rsidRDefault="00E3560C">
            <w:pPr>
              <w:spacing w:after="60" w:line="252" w:lineRule="auto"/>
            </w:pPr>
            <w:r>
              <w:rPr>
                <w:sz w:val="20"/>
              </w:rPr>
              <w:t>2023</w:t>
            </w:r>
          </w:p>
        </w:tc>
        <w:tc>
          <w:tcPr>
            <w:tcW w:w="1440" w:type="dxa"/>
            <w:vAlign w:val="center"/>
          </w:tcPr>
          <w:p w14:paraId="3FB98DFF" w14:textId="77777777" w:rsidR="007E4E93" w:rsidRDefault="00E3560C">
            <w:pPr>
              <w:spacing w:after="60" w:line="252" w:lineRule="auto"/>
            </w:pPr>
            <w:r>
              <w:rPr>
                <w:sz w:val="20"/>
              </w:rPr>
              <w:t>2022</w:t>
            </w:r>
          </w:p>
        </w:tc>
        <w:tc>
          <w:tcPr>
            <w:tcW w:w="3312" w:type="dxa"/>
            <w:vAlign w:val="center"/>
          </w:tcPr>
          <w:p w14:paraId="4C893B17" w14:textId="77777777" w:rsidR="007E4E93" w:rsidRDefault="00E3560C">
            <w:pPr>
              <w:spacing w:after="60" w:line="252" w:lineRule="auto"/>
            </w:pPr>
            <w:r>
              <w:rPr>
                <w:sz w:val="20"/>
              </w:rPr>
              <w:t>8,007.27 EUR</w:t>
            </w:r>
          </w:p>
        </w:tc>
        <w:tc>
          <w:tcPr>
            <w:tcW w:w="3168" w:type="dxa"/>
            <w:vAlign w:val="center"/>
          </w:tcPr>
          <w:p w14:paraId="47ACB7D3" w14:textId="77777777" w:rsidR="007E4E93" w:rsidRDefault="00E3560C">
            <w:pPr>
              <w:spacing w:after="60" w:line="252" w:lineRule="auto"/>
            </w:pPr>
            <w:r>
              <w:rPr>
                <w:sz w:val="20"/>
              </w:rPr>
              <w:t>18%</w:t>
            </w:r>
          </w:p>
        </w:tc>
      </w:tr>
    </w:tbl>
    <w:p w14:paraId="6494D40D" w14:textId="77777777" w:rsidR="007E4E93" w:rsidRDefault="007E4E93">
      <w:pPr>
        <w:pStyle w:val="BodyText"/>
      </w:pPr>
    </w:p>
    <w:p w14:paraId="3C97DA74" w14:textId="77777777" w:rsidR="007E4E93" w:rsidRDefault="00E3560C">
      <w:pPr>
        <w:pStyle w:val="Heading3"/>
      </w:pPr>
      <w:bookmarkStart w:id="338" w:name="_Toc242266098"/>
      <w:r>
        <w:t>11.10.2 Select the wizard settings</w:t>
      </w:r>
      <w:bookmarkEnd w:id="338"/>
    </w:p>
    <w:p w14:paraId="28A464EA" w14:textId="77777777" w:rsidR="007E4E93" w:rsidRDefault="00E3560C">
      <w:pPr>
        <w:pStyle w:val="BodyText"/>
      </w:pPr>
      <w:r>
        <w:rPr>
          <w:b/>
        </w:rPr>
        <w:t>Step 1 Data.</w:t>
      </w:r>
      <w:r>
        <w:t xml:space="preserve"> Select survey years 2022 and 2023 and load survey, auxiliary, and geometry. Population data are optional; CPI is not used for poverty.</w:t>
      </w:r>
    </w:p>
    <w:p w14:paraId="45C03781" w14:textId="77777777" w:rsidR="007E4E93" w:rsidRDefault="00E3560C">
      <w:pPr>
        <w:pStyle w:val="BodyText"/>
      </w:pPr>
      <w:r>
        <w:rPr>
          <w:b/>
        </w:rPr>
        <w:t>Step 2 Mapping.</w:t>
      </w:r>
      <w:r>
        <w:t xml:space="preserve"> Map the survey and domain fields. Confirm that welfare and the line share a welfare definition, time unit, and price basis.</w:t>
      </w:r>
    </w:p>
    <w:p w14:paraId="7A1E292D" w14:textId="77777777" w:rsidR="007E4E93" w:rsidRDefault="00E3560C">
      <w:pPr>
        <w:pStyle w:val="BodyText"/>
      </w:pPr>
      <w:r>
        <w:rPr>
          <w:b/>
        </w:rPr>
        <w:t>Step 3 Indicator.</w:t>
      </w:r>
      <w:r>
        <w:t xml:space="preserve"> Select Poverty (FGT), then FGT(0)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721E90F7" w14:textId="77777777" w:rsidR="007E4E93" w:rsidRDefault="00E3560C">
      <w:pPr>
        <w:pStyle w:val="BodyText"/>
      </w:pPr>
      <w:r>
        <w:rPr>
          <w:b/>
        </w:rPr>
        <w:t>Steps 4 to 6.</w:t>
      </w:r>
      <w:r>
        <w:t xml:space="preserve"> Keep UFH, MFH, and Comparison selected, review the model settings, leave AI off unless required. In Step 6, check the poverty lines in the summary, run Check Data Readiness, then Run Analysis.</w:t>
      </w:r>
    </w:p>
    <w:p w14:paraId="19AC4A0B" w14:textId="77777777" w:rsidR="007E4E93" w:rsidRDefault="00E3560C">
      <w:pPr>
        <w:pStyle w:val="Heading3"/>
      </w:pPr>
      <w:bookmarkStart w:id="339" w:name="_Toc242266099"/>
      <w:r>
        <w:t>11.10.3 Interpret the headcount change</w:t>
      </w:r>
      <w:bookmarkEnd w:id="339"/>
    </w:p>
    <w:p w14:paraId="01A15AA5"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significance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261F2CD5" w14:textId="77777777" w:rsidR="007E4E93" w:rsidRDefault="00E3560C">
      <w:pPr>
        <w:pStyle w:val="Heading2"/>
        <w:pageBreakBefore/>
      </w:pPr>
      <w:bookmarkStart w:id="340" w:name="_Toc242266100"/>
      <w:r>
        <w:lastRenderedPageBreak/>
        <w:t>11.11 Poverty headcounts with an anchored poverty line</w:t>
      </w:r>
      <w:bookmarkEnd w:id="340"/>
    </w:p>
    <w:p w14:paraId="1507A666"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1E9AC123" w14:textId="77777777" w:rsidR="007E4E93" w:rsidRDefault="00E3560C">
      <w:pPr>
        <w:pStyle w:val="Heading3"/>
      </w:pPr>
      <w:bookmarkStart w:id="341" w:name="_Toc242266101"/>
      <w:r>
        <w:t xml:space="preserve">11.11.1 </w:t>
      </w:r>
      <w:r>
        <w:t xml:space="preserve">Supply anchored poverty lines</w:t>
      </w:r>
      <w:bookmarkEnd w:id="341"/>
    </w:p>
    <w:p w14:paraId="31F0175C" w14:textId="77777777" w:rsidR="007E4E93" w:rsidRDefault="00E3560C">
      <w:pPr>
        <w:pStyle w:val="BodyText"/>
      </w:pPr>
      <w:r>
        <w:t xml:space="preserve">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62BCEE60" w14:textId="77777777" w:rsidR="007E4E93" w:rsidRDefault="00E3560C">
      <w:pPr>
        <w:pStyle w:val="BodyText"/>
        <w:keepLines/>
        <w:jc w:val="center"/>
      </w:pPr>
      <m:oMathPara>
        <m:oMath>
          <m:r>
            <w:rPr>
              <w:rFonts w:ascii="Cambria Math" w:hAnsi="Cambria Math"/>
            </w:rPr>
            <m:t>Anc</m:t>
          </m:r>
          <m:r>
            <w:rPr>
              <w:rFonts w:ascii="Cambria Math" w:hAnsi="Cambria Math"/>
            </w:rPr>
            <m:t>h</m:t>
          </m:r>
          <m:r>
            <w:rPr>
              <w:rFonts w:ascii="Cambria Math" w:hAnsi="Cambria Math"/>
            </w:rPr>
            <m:t>ored</m:t>
          </m:r>
          <m:r>
            <w:rPr>
              <w:rFonts w:ascii="Cambria Math" w:hAnsi="Cambria Math"/>
            </w:rPr>
            <m:t xml:space="preserve"> </m:t>
          </m:r>
          <m:r>
            <w:rPr>
              <w:rFonts w:ascii="Cambria Math" w:hAnsi="Cambria Math"/>
            </w:rPr>
            <m:t>line</m:t>
          </m:r>
          <m:r>
            <w:rPr>
              <w:rFonts w:ascii="Cambria Math" w:hAnsi="Cambria Math"/>
            </w:rPr>
            <m:t xml:space="preserve"> </m:t>
          </m:r>
          <m:r>
            <w:rPr>
              <w:rFonts w:ascii="Cambria Math" w:hAnsi="Cambria Math"/>
            </w:rPr>
            <m:t>in</m:t>
          </m:r>
          <m:r>
            <w:rPr>
              <w:rFonts w:ascii="Cambria Math" w:hAnsi="Cambria Math"/>
            </w:rPr>
            <m:t xml:space="preserve"> </m:t>
          </m:r>
          <m:r>
            <w:rPr>
              <w:rFonts w:ascii="Cambria Math" w:hAnsi="Cambria Math"/>
            </w:rPr>
            <m:t>income</m:t>
          </m:r>
          <m:r>
            <w:rPr>
              <w:rFonts w:ascii="Cambria Math" w:hAnsi="Cambria Math"/>
            </w:rPr>
            <m:t xml:space="preserve"> </m:t>
          </m:r>
          <m:r>
            <w:rPr>
              <w:rFonts w:ascii="Cambria Math" w:hAnsi="Cambria Math"/>
            </w:rPr>
            <m:t>year</m:t>
          </m:r>
          <m:r>
            <w:rPr>
              <w:rFonts w:ascii="Cambria Math" w:hAnsi="Cambria Math"/>
            </w:rPr>
            <m:t xml:space="preserve"> </m:t>
          </m:r>
          <m:r>
            <w:rPr>
              <w:rFonts w:ascii="Cambria Math" w:hAnsi="Cambria Math"/>
            </w:rPr>
            <m:t>prices</m:t>
          </m:r>
          <m:r>
            <w:rPr>
              <w:rFonts w:ascii="Cambria Math" w:hAnsi="Cambria Math"/>
            </w:rPr>
            <m:t xml:space="preserve"> = </m:t>
          </m:r>
          <m:f>
            <m:fPr>
              <m:ctrlPr>
                <w:rPr>
                  <w:rFonts w:ascii="Cambria Math" w:hAnsi="Cambria Math"/>
                </w:rPr>
              </m:ctrlPr>
            </m:fPr>
            <m:num>
              <m:r>
                <w:rPr>
                  <w:rFonts w:ascii="Cambria Math" w:hAnsi="Cambria Math"/>
                </w:rPr>
                <m:t>Anc</m:t>
              </m:r>
              <m:r>
                <w:rPr>
                  <w:rFonts w:ascii="Cambria Math" w:hAnsi="Cambria Math"/>
                </w:rPr>
                <m:t>h</m:t>
              </m:r>
              <m:r>
                <w:rPr>
                  <w:rFonts w:ascii="Cambria Math" w:hAnsi="Cambria Math"/>
                </w:rPr>
                <m:t>or</m:t>
              </m:r>
              <m:r>
                <w:rPr>
                  <w:rFonts w:ascii="Cambria Math" w:hAnsi="Cambria Math"/>
                </w:rPr>
                <m:t xml:space="preserve"> </m:t>
              </m:r>
              <m:r>
                <w:rPr>
                  <w:rFonts w:ascii="Cambria Math" w:hAnsi="Cambria Math"/>
                </w:rPr>
                <m:t>year</m:t>
              </m:r>
              <m:r>
                <w:rPr>
                  <w:rFonts w:ascii="Cambria Math" w:hAnsi="Cambria Math"/>
                </w:rPr>
                <m:t xml:space="preserve"> </m:t>
              </m:r>
              <m:r>
                <w:rPr>
                  <w:rFonts w:ascii="Cambria Math" w:hAnsi="Cambria Math"/>
                </w:rPr>
                <m:t>line</m:t>
              </m:r>
              <m:r>
                <w:rPr>
                  <w:rFonts w:ascii="Cambria Math" w:hAnsi="Cambria Math"/>
                </w:rPr>
                <m:t xml:space="preserve"> × </m:t>
              </m:r>
              <m:r>
                <w:rPr>
                  <w:rFonts w:ascii="Cambria Math" w:hAnsi="Cambria Math"/>
                </w:rPr>
                <m:t>CPI</m:t>
              </m:r>
              <m:r>
                <w:rPr>
                  <w:rFonts w:ascii="Cambria Math" w:hAnsi="Cambria Math"/>
                </w:rPr>
                <m:t>(</m:t>
              </m:r>
              <m:r>
                <w:rPr>
                  <w:rFonts w:ascii="Cambria Math" w:hAnsi="Cambria Math"/>
                </w:rPr>
                <m:t>income</m:t>
              </m:r>
              <m:r>
                <w:rPr>
                  <w:rFonts w:ascii="Cambria Math" w:hAnsi="Cambria Math"/>
                </w:rPr>
                <m:t xml:space="preserve"> </m:t>
              </m:r>
              <m:r>
                <w:rPr>
                  <w:rFonts w:ascii="Cambria Math" w:hAnsi="Cambria Math"/>
                </w:rPr>
                <m:t>year</m:t>
              </m:r>
              <m:r>
                <w:rPr>
                  <w:rFonts w:ascii="Cambria Math" w:hAnsi="Cambria Math"/>
                </w:rPr>
                <m:t>)</m:t>
              </m:r>
            </m:num>
            <m:den>
              <m:r>
                <w:rPr>
                  <w:rFonts w:ascii="Cambria Math" w:hAnsi="Cambria Math"/>
                </w:rPr>
                <m:t>CPI</m:t>
              </m:r>
              <m:r>
                <w:rPr>
                  <w:rFonts w:ascii="Cambria Math" w:hAnsi="Cambria Math"/>
                </w:rPr>
                <m:t>(</m:t>
              </m:r>
              <m:r>
                <w:rPr>
                  <w:rFonts w:ascii="Cambria Math" w:hAnsi="Cambria Math"/>
                </w:rPr>
                <m:t>anc</m:t>
              </m:r>
              <m:r>
                <w:rPr>
                  <w:rFonts w:ascii="Cambria Math" w:hAnsi="Cambria Math"/>
                </w:rPr>
                <m:t>h</m:t>
              </m:r>
              <m:r>
                <w:rPr>
                  <w:rFonts w:ascii="Cambria Math" w:hAnsi="Cambria Math"/>
                </w:rPr>
                <m:t>or</m:t>
              </m:r>
              <m:r>
                <w:rPr>
                  <w:rFonts w:ascii="Cambria Math" w:hAnsi="Cambria Math"/>
                </w:rPr>
                <m:t xml:space="preserve"> </m:t>
              </m:r>
              <m:r>
                <w:rPr>
                  <w:rFonts w:ascii="Cambria Math" w:hAnsi="Cambria Math"/>
                </w:rPr>
                <m:t>year</m:t>
              </m:r>
              <m:r>
                <w:rPr>
                  <w:rFonts w:ascii="Cambria Math" w:hAnsi="Cambria Math"/>
                </w:rPr>
                <m:t>)</m:t>
              </m:r>
            </m:den>
          </m:f>
        </m:oMath>
      </m:oMathPara>
    </w:p>
    <w:p w14:paraId="0511BD6F"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149CF5A9" w14:textId="77777777" w:rsidR="007E4E93" w:rsidRDefault="00E3560C">
      <w:pPr>
        <w:pStyle w:val="BodyText"/>
      </w:pPr>
      <w:r>
        <w:t>Illustration. Choose anchor income year 2021 and an annual threshold of 10,000 EUR. With CPI 2021 = 100 and CPI 2022 = 104, the anchored line is 10,000 EUR for 2021 incomes and 10,400 EUR for 2022 incomes. CPI 2023 = 106.08 would give 10,608 EUR for 2023 incomes;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79724204" w14:textId="77777777">
        <w:trPr>
          <w:cantSplit/>
          <w:tblHeader/>
          <w:jc w:val="center"/>
        </w:trPr>
        <w:tc>
          <w:tcPr>
            <w:tcW w:w="1656" w:type="dxa"/>
            <w:shd w:val="clear" w:color="auto" w:fill="E7EEF4"/>
            <w:vAlign w:val="center"/>
          </w:tcPr>
          <w:p w14:paraId="64891FEC" w14:textId="77777777" w:rsidR="007E4E93" w:rsidRDefault="00E3560C">
            <w:pPr>
              <w:keepNext/>
              <w:spacing w:after="60" w:line="252" w:lineRule="auto"/>
            </w:pPr>
            <w:r>
              <w:rPr>
                <w:b/>
                <w:sz w:val="20"/>
              </w:rPr>
              <w:t>Survey year</w:t>
            </w:r>
          </w:p>
        </w:tc>
        <w:tc>
          <w:tcPr>
            <w:tcW w:w="1656" w:type="dxa"/>
            <w:shd w:val="clear" w:color="auto" w:fill="E7EEF4"/>
            <w:vAlign w:val="center"/>
          </w:tcPr>
          <w:p w14:paraId="7B9A7E2B" w14:textId="77777777" w:rsidR="007E4E93" w:rsidRDefault="00E3560C">
            <w:pPr>
              <w:keepNext/>
              <w:spacing w:after="60" w:line="252" w:lineRule="auto"/>
            </w:pPr>
            <w:r>
              <w:rPr>
                <w:b/>
                <w:sz w:val="20"/>
              </w:rPr>
              <w:t>Income year</w:t>
            </w:r>
          </w:p>
        </w:tc>
        <w:tc>
          <w:tcPr>
            <w:tcW w:w="2016" w:type="dxa"/>
            <w:shd w:val="clear" w:color="auto" w:fill="E7EEF4"/>
            <w:vAlign w:val="center"/>
          </w:tcPr>
          <w:p w14:paraId="70E724DD" w14:textId="77777777" w:rsidR="007E4E93" w:rsidRDefault="00E3560C">
            <w:pPr>
              <w:keepNext/>
              <w:spacing w:after="60" w:line="252" w:lineRule="auto"/>
            </w:pPr>
            <w:r>
              <w:rPr>
                <w:b/>
                <w:sz w:val="20"/>
              </w:rPr>
              <w:t>CPI level</w:t>
            </w:r>
          </w:p>
        </w:tc>
        <w:tc>
          <w:tcPr>
            <w:tcW w:w="4032" w:type="dxa"/>
            <w:shd w:val="clear" w:color="auto" w:fill="E7EEF4"/>
            <w:vAlign w:val="center"/>
          </w:tcPr>
          <w:p w14:paraId="6E7E2C31" w14:textId="77777777" w:rsidR="007E4E93" w:rsidRDefault="00E3560C">
            <w:pPr>
              <w:keepNext/>
              <w:spacing w:after="60" w:line="252" w:lineRule="auto"/>
            </w:pPr>
            <w:r>
              <w:rPr>
                <w:b/>
                <w:sz w:val="20"/>
              </w:rPr>
              <w:t xml:space="preserve">Anchored line</w:t>
            </w:r>
          </w:p>
        </w:tc>
      </w:tr>
      <w:tr w:rsidR="007E4E93" w14:paraId="45A0E3F5" w14:textId="77777777">
        <w:trPr>
          <w:cantSplit/>
          <w:jc w:val="center"/>
        </w:trPr>
        <w:tc>
          <w:tcPr>
            <w:tcW w:w="1656" w:type="dxa"/>
            <w:vAlign w:val="center"/>
          </w:tcPr>
          <w:p w14:paraId="2F5B9B26" w14:textId="77777777" w:rsidR="007E4E93" w:rsidRDefault="00E3560C">
            <w:pPr>
              <w:spacing w:after="60" w:line="252" w:lineRule="auto"/>
            </w:pPr>
            <w:r>
              <w:rPr>
                <w:sz w:val="20"/>
              </w:rPr>
              <w:t>2022</w:t>
            </w:r>
          </w:p>
        </w:tc>
        <w:tc>
          <w:tcPr>
            <w:tcW w:w="1656" w:type="dxa"/>
            <w:vAlign w:val="center"/>
          </w:tcPr>
          <w:p w14:paraId="685BD8D8" w14:textId="77777777" w:rsidR="007E4E93" w:rsidRDefault="00E3560C">
            <w:pPr>
              <w:spacing w:after="60" w:line="252" w:lineRule="auto"/>
            </w:pPr>
            <w:r>
              <w:rPr>
                <w:sz w:val="20"/>
              </w:rPr>
              <w:t>2021</w:t>
            </w:r>
          </w:p>
        </w:tc>
        <w:tc>
          <w:tcPr>
            <w:tcW w:w="2016" w:type="dxa"/>
            <w:vAlign w:val="center"/>
          </w:tcPr>
          <w:p w14:paraId="269AC0B8" w14:textId="77777777" w:rsidR="007E4E93" w:rsidRDefault="00E3560C">
            <w:pPr>
              <w:spacing w:after="60" w:line="252" w:lineRule="auto"/>
            </w:pPr>
            <w:r>
              <w:rPr>
                <w:sz w:val="20"/>
              </w:rPr>
              <w:t>100.00</w:t>
            </w:r>
          </w:p>
        </w:tc>
        <w:tc>
          <w:tcPr>
            <w:tcW w:w="4032" w:type="dxa"/>
            <w:vAlign w:val="center"/>
          </w:tcPr>
          <w:p w14:paraId="19E01C0D" w14:textId="77777777" w:rsidR="007E4E93" w:rsidRDefault="00E3560C">
            <w:pPr>
              <w:spacing w:after="60" w:line="252" w:lineRule="auto"/>
            </w:pPr>
            <w:r>
              <w:rPr>
                <w:sz w:val="20"/>
              </w:rPr>
              <w:t>10,000 EUR</w:t>
            </w:r>
          </w:p>
        </w:tc>
      </w:tr>
      <w:tr w:rsidR="007E4E93" w14:paraId="45F1F30C" w14:textId="77777777">
        <w:trPr>
          <w:cantSplit/>
          <w:jc w:val="center"/>
        </w:trPr>
        <w:tc>
          <w:tcPr>
            <w:tcW w:w="1656" w:type="dxa"/>
            <w:vAlign w:val="center"/>
          </w:tcPr>
          <w:p w14:paraId="4856018C" w14:textId="77777777" w:rsidR="007E4E93" w:rsidRDefault="00E3560C">
            <w:pPr>
              <w:spacing w:after="60" w:line="252" w:lineRule="auto"/>
            </w:pPr>
            <w:r>
              <w:rPr>
                <w:sz w:val="20"/>
              </w:rPr>
              <w:t>2023</w:t>
            </w:r>
          </w:p>
        </w:tc>
        <w:tc>
          <w:tcPr>
            <w:tcW w:w="1656" w:type="dxa"/>
            <w:vAlign w:val="center"/>
          </w:tcPr>
          <w:p w14:paraId="26864601" w14:textId="77777777" w:rsidR="007E4E93" w:rsidRDefault="00E3560C">
            <w:pPr>
              <w:spacing w:after="60" w:line="252" w:lineRule="auto"/>
            </w:pPr>
            <w:r>
              <w:rPr>
                <w:sz w:val="20"/>
              </w:rPr>
              <w:t>2022</w:t>
            </w:r>
          </w:p>
        </w:tc>
        <w:tc>
          <w:tcPr>
            <w:tcW w:w="2016" w:type="dxa"/>
            <w:vAlign w:val="center"/>
          </w:tcPr>
          <w:p w14:paraId="08386EA8" w14:textId="77777777" w:rsidR="007E4E93" w:rsidRDefault="00E3560C">
            <w:pPr>
              <w:spacing w:after="60" w:line="252" w:lineRule="auto"/>
            </w:pPr>
            <w:r>
              <w:rPr>
                <w:sz w:val="20"/>
              </w:rPr>
              <w:t>104.00</w:t>
            </w:r>
          </w:p>
        </w:tc>
        <w:tc>
          <w:tcPr>
            <w:tcW w:w="4032" w:type="dxa"/>
            <w:vAlign w:val="center"/>
          </w:tcPr>
          <w:p w14:paraId="77F9D1C9" w14:textId="77777777" w:rsidR="007E4E93" w:rsidRDefault="00E3560C">
            <w:pPr>
              <w:spacing w:after="60" w:line="252" w:lineRule="auto"/>
            </w:pPr>
            <w:r>
              <w:rPr>
                <w:sz w:val="20"/>
              </w:rPr>
              <w:t>10,400 EUR</w:t>
            </w:r>
          </w:p>
        </w:tc>
      </w:tr>
    </w:tbl>
    <w:p w14:paraId="6E05E3E8" w14:textId="77777777" w:rsidR="007E4E93" w:rsidRDefault="007E4E93">
      <w:pPr>
        <w:pStyle w:val="BodyText"/>
      </w:pPr>
    </w:p>
    <w:p w14:paraId="73051F3C" w14:textId="77777777" w:rsidR="007E4E93" w:rsidRDefault="00E3560C">
      <w:pPr>
        <w:pStyle w:val="BodyText"/>
      </w:pPr>
      <w:r>
        <w:rPr>
          <w:bCs/>
          <w:b/>
        </w:rPr>
        <w:t xml:space="preserve">Enter the lines in Step 3.</w:t>
      </w:r>
      <w:r>
        <w:t xml:space="preserve"> Under Poverty line source, choose one of two inputs. </w:t>
      </w:r>
      <w:r>
        <w:rPr>
          <w:bCs/>
          <w:b/>
        </w:rPr>
        <w:t xml:space="preserve">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setup. No survey column is needed. </w:t>
      </w:r>
      <w:r>
        <w:rPr>
          <w:bCs/>
          <w:b/>
        </w:rPr>
        <w:t xml:space="preserve">Column in data:</w:t>
      </w:r>
      <w:r>
        <w:t xml:space="preserve"> when the line varies across records within a year, for example by region or household type, add a column such as anchored_povline to survey.rds or another supported survey format, give every included observation its applicable line, and map that column. Merely naming a column anchored_povline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268C26A0" w14:textId="77777777" w:rsidR="007E4E93" w:rsidRDefault="00E3560C">
      <w:pPr>
        <w:pStyle w:val="BodyText"/>
      </w:pPr>
      <w:r>
        <w:rPr>
          <w:b/>
        </w:rPr>
        <w:t>Wizard settings.</w:t>
      </w:r>
      <w:r>
        <w:t xml:space="preserve"> In Step 1 choose the two survey years and required files. In Step 2 map welfare and the survey-design and join fields. </w:t>
      </w:r>
      <w:r>
        <w:t xml:space="preserve">In Step 3 select Poverty (FGT) and FGT(0) Headcount ratio, then either Numeric value with the two lines or Column in data with anchored_povline.</w:t>
      </w:r>
      <w:r>
        <w:t xml:space="preserve"> Finish Steps 4 to 6 as in the general workflow. </w:t>
      </w:r>
      <w:r>
        <w:t xml:space="preserve">With Numeric value, the Poverty line source row of the Step 6 summary should read “numeric: 2022 = 10000; 2023 = 10400” in this example; with a column, check its values by survey year before loading the file. Run Check Data Readiness again after changing the lines.</w:t>
      </w:r>
    </w:p>
    <w:p w14:paraId="69B29C44" w14:textId="77777777" w:rsidR="007E4E93" w:rsidRDefault="00E3560C">
      <w:pPr>
        <w:pStyle w:val="BodyText"/>
      </w:pPr>
      <w:r>
        <w:t xml:space="preserve">The current poverty pipeline does not read the CPI controls or deflate welfare. The analyst is responsible for preparing and verifying the anchored line. </w:t>
      </w:r>
      <w:r>
        <w:t xml:space="preserve">Neither input checks the threshold’s source or price basis. Numeric lines are recorded in the run log and in saved setups; with a column, keep the prepared survey file with the run.</w:t>
      </w:r>
    </w:p>
    <w:p w14:paraId="34F4FA4F" w14:textId="77777777" w:rsidR="007E4E93" w:rsidRDefault="00E3560C">
      <w:pPr>
        <w:pStyle w:val="Heading3"/>
      </w:pPr>
      <w:bookmarkStart w:id="343" w:name="_Toc242266103"/>
      <w:r>
        <w:t xml:space="preserve">11.11.2 Interpret and report anchored poverty</w:t>
      </w:r>
      <w:bookmarkEnd w:id="343"/>
    </w:p>
    <w:p w14:paraId="35336DC9" w14:textId="77777777" w:rsidR="007E4E93" w:rsidRDefault="00E3560C">
      <w:pPr>
        <w:pStyle w:val="BodyText"/>
      </w:pPr>
      <w:r>
        <w:t xml:space="preserve">Report the source of the thresholds, the anchor income year and threshold, the income reference years, and the lines actually applied;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11077DA2" w14:textId="77777777" w:rsidR="007E4E93" w:rsidRDefault="00E3560C">
      <w:pPr>
        <w:pStyle w:val="Heading2"/>
        <w:pageBreakBefore/>
      </w:pPr>
      <w:bookmarkStart w:id="344" w:name="_Toc242266104"/>
      <w:r>
        <w:lastRenderedPageBreak/>
        <w:t>11.12 Real mean welfare</w:t>
      </w:r>
      <w:bookmarkEnd w:id="344"/>
    </w:p>
    <w:p w14:paraId="676B5982" w14:textId="77777777" w:rsidR="007E4E93" w:rsidRDefault="00E3560C">
      <w:pPr>
        <w:pStyle w:val="BodyText"/>
      </w:pPr>
      <w:r>
        <w:t>Select Mean welfare. Within each domain and year, the Direct mean is sum(population weight × welfare) / sum(population weight), where population weight = survey weight × household size. A poverty line is not needed. Real mean welfare removes inflation: either supply welfare in a common constant-price basis or let the app use CPI to convert each observation before direct, UFH, and MFH estimation.</w:t>
      </w:r>
    </w:p>
    <w:p w14:paraId="1C55D022" w14:textId="77777777" w:rsidR="007E4E93" w:rsidRDefault="00E3560C">
      <w:pPr>
        <w:pStyle w:val="Heading3"/>
      </w:pPr>
      <w:bookmarkStart w:id="345" w:name="_Toc242266105"/>
      <w:r>
        <w:t xml:space="preserve">11.12.1 Route A: Supply welfare already in real prices</w:t>
      </w:r>
      <w:bookmarkEnd w:id="345"/>
    </w:p>
    <w:p w14:paraId="231E5E27" w14:textId="77777777" w:rsidR="007E4E93" w:rsidRDefault="00E3560C">
      <w:pPr>
        <w:pStyle w:val="BodyText"/>
      </w:pPr>
      <w:r>
        <w:t>Prepare the welfare variable in constant prices of the same year for both surveys. Document any spatial price adjustments and use a consistent welfare concept and unit. This route is also appropriate when the reference period is a fiscal year, a rolling period, or varies by household and you have performed the required deflation outside the app.</w:t>
      </w:r>
    </w:p>
    <w:p w14:paraId="5F0EC1AD" w14:textId="77777777" w:rsidR="007E4E93" w:rsidRDefault="00E3560C">
      <w:pPr>
        <w:pStyle w:val="BodyText"/>
      </w:pPr>
      <w:r>
        <w:t>In Step 1 select the two survey years and the three required files; no CPI file is needed. In Step 2 map the real-welfare column and the survey-design and domain fields. In Step 3 select Mean welfare, enter the currency label, and select constant (real) prices already: no price index needed. Optionally enter Year of those prices for the report label. That label does not convert the values or verify that their bases agree.</w:t>
      </w:r>
    </w:p>
    <w:p w14:paraId="5428FCF0" w14:textId="77777777" w:rsidR="007E4E93" w:rsidRDefault="00E3560C">
      <w:pPr>
        <w:pStyle w:val="BodyText"/>
      </w:pPr>
      <w:r>
        <w:t>Finish Steps 4 to 6 using the model and review choices below. Do not apply CPI conversion again to welfare that is already real. If the two surveys use different price bases, harmonize them before loading rather than labeling them as a common base.</w:t>
      </w:r>
    </w:p>
    <w:p w14:paraId="437C5D07" w14:textId="77777777" w:rsidR="007E4E93" w:rsidRDefault="00E3560C">
      <w:pPr>
        <w:pStyle w:val="Heading3"/>
      </w:pPr>
      <w:bookmarkStart w:id="346" w:name="_Toc242266106"/>
      <w:r>
        <w:t xml:space="preserve">11.12.2 Route B: Convert current welfare with CPI</w:t>
      </w:r>
      <w:bookmarkEnd w:id="346"/>
    </w:p>
    <w:p w14:paraId="1509A738" w14:textId="77777777" w:rsidR="007E4E93" w:rsidRDefault="00E3560C">
      <w:pPr>
        <w:pStyle w:val="BodyText"/>
      </w:pPr>
      <w:r>
        <w:t>Start with welfare in current prices. In Step 1 select the two survey years and required files; upload a CPI file if using a database. In Step 2 map the current-welfare column. In Step 3 choose Mean welfare, the currency label, and current prices: convert with a price index.</w:t>
      </w:r>
    </w:p>
    <w:p w14:paraId="2E60C25F" w14:textId="77777777" w:rsidR="007E4E93" w:rsidRDefault="00E3560C">
      <w:pPr>
        <w:pStyle w:val="BodyText"/>
      </w:pPr>
      <w:r>
        <w:rPr>
          <w:b/>
        </w:rPr>
        <w:t>Choose Price index values.</w:t>
      </w:r>
      <w:r>
        <w:t xml:space="preserve"> Select Read them from the CPI file (Data step) and map Year column and CPI column, or select Type them in by year and enter the required values. Both use the same conversion rules.</w:t>
      </w:r>
    </w:p>
    <w:p w14:paraId="510D84BC"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0EAA126A" w14:textId="77777777" w:rsidR="007E4E93" w:rsidRDefault="00E3560C">
      <w:pPr>
        <w:pStyle w:val="BodyText"/>
      </w:pPr>
      <w:r>
        <w:rPr>
          <w:b/>
        </w:rPr>
        <w:t>Choose How the CPI is organised.</w:t>
      </w:r>
      <w:r>
        <w:t xml:space="preserve"> Match the actual series format: Index, fixed reference year; Index, previous year = 100; or Annual change in %. Do not enter 4 as a previous-year index or 104 as a percentage change.</w:t>
      </w:r>
    </w:p>
    <w:p w14:paraId="2D91387D"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3730CDEE"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and CPI 2022 = 104. The output remains labeled by surveys 2022 and 2023 but reports welfare in constant 2021 prices.</w:t>
      </w:r>
    </w:p>
    <w:p w14:paraId="6658F7FA" w14:textId="77777777" w:rsidR="007E4E93" w:rsidRDefault="00E3560C">
      <w:pPr>
        <w:pStyle w:val="Heading3"/>
      </w:pPr>
      <w:bookmarkStart w:id="347" w:name="_Toc242266107"/>
      <w:r>
        <w:lastRenderedPageBreak/>
        <w:t>11.12.3 CPI file structure and the three formats</w:t>
      </w:r>
      <w:bookmarkEnd w:id="347"/>
    </w:p>
    <w:p w14:paraId="7E2E2DD3"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column, but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2E6F1A1B" w14:textId="77777777">
        <w:trPr>
          <w:cantSplit/>
          <w:tblHeader/>
          <w:jc w:val="center"/>
        </w:trPr>
        <w:tc>
          <w:tcPr>
            <w:tcW w:w="2880" w:type="dxa"/>
            <w:shd w:val="clear" w:color="auto" w:fill="E7EEF4"/>
            <w:vAlign w:val="center"/>
          </w:tcPr>
          <w:p w14:paraId="4CA0E918" w14:textId="77777777" w:rsidR="007E4E93" w:rsidRDefault="00E3560C">
            <w:pPr>
              <w:keepNext/>
              <w:spacing w:after="60" w:line="252" w:lineRule="auto"/>
            </w:pPr>
            <w:r>
              <w:rPr>
                <w:b/>
                <w:sz w:val="20"/>
              </w:rPr>
              <w:t>year</w:t>
            </w:r>
          </w:p>
        </w:tc>
        <w:tc>
          <w:tcPr>
            <w:tcW w:w="6480" w:type="dxa"/>
            <w:shd w:val="clear" w:color="auto" w:fill="E7EEF4"/>
            <w:vAlign w:val="center"/>
          </w:tcPr>
          <w:p w14:paraId="541B17DB" w14:textId="77777777" w:rsidR="007E4E93" w:rsidRDefault="00E3560C">
            <w:pPr>
              <w:keepNext/>
              <w:spacing w:after="60" w:line="252" w:lineRule="auto"/>
            </w:pPr>
            <w:r>
              <w:rPr>
                <w:b/>
                <w:sz w:val="20"/>
              </w:rPr>
              <w:t>cpi</w:t>
            </w:r>
          </w:p>
        </w:tc>
      </w:tr>
      <w:tr w:rsidR="007E4E93" w14:paraId="6CD070EB" w14:textId="77777777">
        <w:trPr>
          <w:cantSplit/>
          <w:jc w:val="center"/>
        </w:trPr>
        <w:tc>
          <w:tcPr>
            <w:tcW w:w="2880" w:type="dxa"/>
            <w:vAlign w:val="center"/>
          </w:tcPr>
          <w:p w14:paraId="774946B6" w14:textId="77777777" w:rsidR="007E4E93" w:rsidRDefault="00E3560C">
            <w:pPr>
              <w:spacing w:after="60" w:line="252" w:lineRule="auto"/>
            </w:pPr>
            <w:r>
              <w:rPr>
                <w:sz w:val="20"/>
              </w:rPr>
              <w:t>2021</w:t>
            </w:r>
          </w:p>
        </w:tc>
        <w:tc>
          <w:tcPr>
            <w:tcW w:w="6480" w:type="dxa"/>
            <w:vAlign w:val="center"/>
          </w:tcPr>
          <w:p w14:paraId="512AAA34" w14:textId="77777777" w:rsidR="007E4E93" w:rsidRDefault="00E3560C">
            <w:pPr>
              <w:spacing w:after="60" w:line="252" w:lineRule="auto"/>
            </w:pPr>
            <w:r>
              <w:rPr>
                <w:sz w:val="20"/>
              </w:rPr>
              <w:t>100.00</w:t>
            </w:r>
          </w:p>
        </w:tc>
      </w:tr>
      <w:tr w:rsidR="007E4E93" w14:paraId="7732B091" w14:textId="77777777">
        <w:trPr>
          <w:cantSplit/>
          <w:jc w:val="center"/>
        </w:trPr>
        <w:tc>
          <w:tcPr>
            <w:tcW w:w="2880" w:type="dxa"/>
            <w:vAlign w:val="center"/>
          </w:tcPr>
          <w:p w14:paraId="1388D405" w14:textId="77777777" w:rsidR="007E4E93" w:rsidRDefault="00E3560C">
            <w:pPr>
              <w:spacing w:after="60" w:line="252" w:lineRule="auto"/>
            </w:pPr>
            <w:r>
              <w:rPr>
                <w:sz w:val="20"/>
              </w:rPr>
              <w:t>2022</w:t>
            </w:r>
          </w:p>
        </w:tc>
        <w:tc>
          <w:tcPr>
            <w:tcW w:w="6480" w:type="dxa"/>
            <w:vAlign w:val="center"/>
          </w:tcPr>
          <w:p w14:paraId="033A85FB" w14:textId="77777777" w:rsidR="007E4E93" w:rsidRDefault="00E3560C">
            <w:pPr>
              <w:spacing w:after="60" w:line="252" w:lineRule="auto"/>
            </w:pPr>
            <w:r>
              <w:rPr>
                <w:sz w:val="20"/>
              </w:rPr>
              <w:t>104.00</w:t>
            </w:r>
          </w:p>
        </w:tc>
      </w:tr>
    </w:tbl>
    <w:p w14:paraId="6EACA855" w14:textId="77777777" w:rsidR="007E4E93" w:rsidRDefault="007E4E93">
      <w:pPr>
        <w:pStyle w:val="BodyText"/>
      </w:pPr>
    </w:p>
    <w:p w14:paraId="70C2A6CF"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A7FD0B5" w14:textId="77777777">
        <w:trPr>
          <w:cantSplit/>
          <w:tblHeader/>
          <w:jc w:val="center"/>
        </w:trPr>
        <w:tc>
          <w:tcPr>
            <w:tcW w:w="1512" w:type="dxa"/>
            <w:shd w:val="clear" w:color="auto" w:fill="E7EEF4"/>
            <w:vAlign w:val="center"/>
          </w:tcPr>
          <w:p w14:paraId="76863C9F" w14:textId="77777777" w:rsidR="007E4E93" w:rsidRDefault="00E3560C">
            <w:pPr>
              <w:keepNext/>
              <w:spacing w:after="60" w:line="252" w:lineRule="auto"/>
            </w:pPr>
            <w:r>
              <w:rPr>
                <w:b/>
                <w:sz w:val="20"/>
              </w:rPr>
              <w:t>Calendar year</w:t>
            </w:r>
          </w:p>
        </w:tc>
        <w:tc>
          <w:tcPr>
            <w:tcW w:w="2592" w:type="dxa"/>
            <w:shd w:val="clear" w:color="auto" w:fill="E7EEF4"/>
            <w:vAlign w:val="center"/>
          </w:tcPr>
          <w:p w14:paraId="16D08F7C"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5A1D34ED"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2D8460BC" w14:textId="77777777" w:rsidR="007E4E93" w:rsidRDefault="00E3560C">
            <w:pPr>
              <w:keepNext/>
              <w:spacing w:after="60" w:line="252" w:lineRule="auto"/>
            </w:pPr>
            <w:r>
              <w:rPr>
                <w:b/>
                <w:sz w:val="20"/>
              </w:rPr>
              <w:t>Annual change in %</w:t>
            </w:r>
          </w:p>
        </w:tc>
      </w:tr>
      <w:tr w:rsidR="007E4E93" w14:paraId="2F56B7E8" w14:textId="77777777">
        <w:trPr>
          <w:cantSplit/>
          <w:jc w:val="center"/>
        </w:trPr>
        <w:tc>
          <w:tcPr>
            <w:tcW w:w="1512" w:type="dxa"/>
            <w:vAlign w:val="center"/>
          </w:tcPr>
          <w:p w14:paraId="24768360" w14:textId="77777777" w:rsidR="007E4E93" w:rsidRDefault="00E3560C">
            <w:pPr>
              <w:spacing w:after="60" w:line="252" w:lineRule="auto"/>
            </w:pPr>
            <w:r>
              <w:rPr>
                <w:sz w:val="20"/>
              </w:rPr>
              <w:t>2021</w:t>
            </w:r>
          </w:p>
        </w:tc>
        <w:tc>
          <w:tcPr>
            <w:tcW w:w="2592" w:type="dxa"/>
            <w:vAlign w:val="center"/>
          </w:tcPr>
          <w:p w14:paraId="719AC89F" w14:textId="77777777" w:rsidR="007E4E93" w:rsidRDefault="00E3560C">
            <w:pPr>
              <w:spacing w:after="60" w:line="252" w:lineRule="auto"/>
            </w:pPr>
            <w:r>
              <w:rPr>
                <w:sz w:val="20"/>
              </w:rPr>
              <w:t>100.00</w:t>
            </w:r>
          </w:p>
        </w:tc>
        <w:tc>
          <w:tcPr>
            <w:tcW w:w="2592" w:type="dxa"/>
            <w:vAlign w:val="center"/>
          </w:tcPr>
          <w:p w14:paraId="5A0F784B" w14:textId="77777777" w:rsidR="007E4E93" w:rsidRDefault="00E3560C">
            <w:pPr>
              <w:spacing w:after="60" w:line="252" w:lineRule="auto"/>
            </w:pPr>
            <w:r>
              <w:rPr>
                <w:sz w:val="20"/>
              </w:rPr>
              <w:t>Not required here</w:t>
            </w:r>
          </w:p>
        </w:tc>
        <w:tc>
          <w:tcPr>
            <w:tcW w:w="2664" w:type="dxa"/>
            <w:vAlign w:val="center"/>
          </w:tcPr>
          <w:p w14:paraId="1E86AAE4" w14:textId="77777777" w:rsidR="007E4E93" w:rsidRDefault="00E3560C">
            <w:pPr>
              <w:spacing w:after="60" w:line="252" w:lineRule="auto"/>
            </w:pPr>
            <w:r>
              <w:rPr>
                <w:sz w:val="20"/>
              </w:rPr>
              <w:t>Not required here</w:t>
            </w:r>
          </w:p>
        </w:tc>
      </w:tr>
      <w:tr w:rsidR="007E4E93" w14:paraId="271FF8BF" w14:textId="77777777">
        <w:trPr>
          <w:cantSplit/>
          <w:jc w:val="center"/>
        </w:trPr>
        <w:tc>
          <w:tcPr>
            <w:tcW w:w="1512" w:type="dxa"/>
            <w:vAlign w:val="center"/>
          </w:tcPr>
          <w:p w14:paraId="2CDA1946" w14:textId="77777777" w:rsidR="007E4E93" w:rsidRDefault="00E3560C">
            <w:pPr>
              <w:spacing w:after="60" w:line="252" w:lineRule="auto"/>
            </w:pPr>
            <w:r>
              <w:rPr>
                <w:sz w:val="20"/>
              </w:rPr>
              <w:t>2022</w:t>
            </w:r>
          </w:p>
        </w:tc>
        <w:tc>
          <w:tcPr>
            <w:tcW w:w="2592" w:type="dxa"/>
            <w:vAlign w:val="center"/>
          </w:tcPr>
          <w:p w14:paraId="46084BAD" w14:textId="77777777" w:rsidR="007E4E93" w:rsidRDefault="00E3560C">
            <w:pPr>
              <w:spacing w:after="60" w:line="252" w:lineRule="auto"/>
            </w:pPr>
            <w:r>
              <w:rPr>
                <w:sz w:val="20"/>
              </w:rPr>
              <w:t>104.00</w:t>
            </w:r>
          </w:p>
        </w:tc>
        <w:tc>
          <w:tcPr>
            <w:tcW w:w="2592" w:type="dxa"/>
            <w:vAlign w:val="center"/>
          </w:tcPr>
          <w:p w14:paraId="474BFCFF" w14:textId="77777777" w:rsidR="007E4E93" w:rsidRDefault="00E3560C">
            <w:pPr>
              <w:spacing w:after="60" w:line="252" w:lineRule="auto"/>
            </w:pPr>
            <w:r>
              <w:rPr>
                <w:sz w:val="20"/>
              </w:rPr>
              <w:t>104.00</w:t>
            </w:r>
          </w:p>
        </w:tc>
        <w:tc>
          <w:tcPr>
            <w:tcW w:w="2664" w:type="dxa"/>
            <w:vAlign w:val="center"/>
          </w:tcPr>
          <w:p w14:paraId="4935919C" w14:textId="77777777" w:rsidR="007E4E93" w:rsidRDefault="00E3560C">
            <w:pPr>
              <w:spacing w:after="60" w:line="252" w:lineRule="auto"/>
            </w:pPr>
            <w:r>
              <w:rPr>
                <w:sz w:val="20"/>
              </w:rPr>
              <w:t>4.00</w:t>
            </w:r>
          </w:p>
        </w:tc>
      </w:tr>
      <w:tr w:rsidR="007E4E93" w14:paraId="2DD95995" w14:textId="77777777">
        <w:trPr>
          <w:cantSplit/>
          <w:jc w:val="center"/>
        </w:trPr>
        <w:tc>
          <w:tcPr>
            <w:tcW w:w="1512" w:type="dxa"/>
            <w:vAlign w:val="center"/>
          </w:tcPr>
          <w:p w14:paraId="10968085" w14:textId="77777777" w:rsidR="007E4E93" w:rsidRDefault="00E3560C">
            <w:pPr>
              <w:spacing w:after="60" w:line="252" w:lineRule="auto"/>
            </w:pPr>
            <w:r>
              <w:rPr>
                <w:sz w:val="20"/>
              </w:rPr>
              <w:t>2023</w:t>
            </w:r>
          </w:p>
        </w:tc>
        <w:tc>
          <w:tcPr>
            <w:tcW w:w="2592" w:type="dxa"/>
            <w:vAlign w:val="center"/>
          </w:tcPr>
          <w:p w14:paraId="78CD2C94" w14:textId="77777777" w:rsidR="007E4E93" w:rsidRDefault="00E3560C">
            <w:pPr>
              <w:spacing w:after="60" w:line="252" w:lineRule="auto"/>
            </w:pPr>
            <w:r>
              <w:rPr>
                <w:sz w:val="20"/>
              </w:rPr>
              <w:t>106.08</w:t>
            </w:r>
          </w:p>
        </w:tc>
        <w:tc>
          <w:tcPr>
            <w:tcW w:w="2592" w:type="dxa"/>
            <w:vAlign w:val="center"/>
          </w:tcPr>
          <w:p w14:paraId="723427CB" w14:textId="77777777" w:rsidR="007E4E93" w:rsidRDefault="00E3560C">
            <w:pPr>
              <w:spacing w:after="60" w:line="252" w:lineRule="auto"/>
            </w:pPr>
            <w:r>
              <w:rPr>
                <w:sz w:val="20"/>
              </w:rPr>
              <w:t>102.00</w:t>
            </w:r>
          </w:p>
        </w:tc>
        <w:tc>
          <w:tcPr>
            <w:tcW w:w="2664" w:type="dxa"/>
            <w:vAlign w:val="center"/>
          </w:tcPr>
          <w:p w14:paraId="55E784AA" w14:textId="77777777" w:rsidR="007E4E93" w:rsidRDefault="00E3560C">
            <w:pPr>
              <w:spacing w:after="60" w:line="252" w:lineRule="auto"/>
            </w:pPr>
            <w:r>
              <w:rPr>
                <w:sz w:val="20"/>
              </w:rPr>
              <w:t>2.00</w:t>
            </w:r>
          </w:p>
        </w:tc>
      </w:tr>
    </w:tbl>
    <w:p w14:paraId="064E6B38" w14:textId="77777777" w:rsidR="007E4E93" w:rsidRDefault="007E4E93">
      <w:pPr>
        <w:pStyle w:val="BodyText"/>
      </w:pPr>
    </w:p>
    <w:p w14:paraId="0973FEC4"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42015A41" w14:textId="77777777" w:rsidR="007E4E93" w:rsidRDefault="00E3560C">
      <w:pPr>
        <w:pStyle w:val="BodyText"/>
      </w:pPr>
      <w:r>
        <w:rPr>
          <w:b/>
        </w:rPr>
        <w:t>Previous-year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48F03A2B" w14:textId="77777777" w:rsidR="007E4E93" w:rsidRDefault="00E3560C">
      <w:pPr>
        <w:pStyle w:val="BodyText"/>
      </w:pPr>
      <w:r>
        <w:t>Chaining illustration. From 2021 = 100, 100 x 1.04 = 104 in 2022, and 104 x 1.02 = 106.08 in 2023. Do not add 4 and 2 to obtain a price level of 106; annual rates compound.</w:t>
      </w:r>
    </w:p>
    <w:p w14:paraId="42F45332" w14:textId="77777777" w:rsidR="007E4E93" w:rsidRDefault="00E3560C">
      <w:pPr>
        <w:pStyle w:val="Heading3"/>
      </w:pPr>
      <w:bookmarkStart w:id="348" w:name="_Toc242266108"/>
      <w:r>
        <w:lastRenderedPageBreak/>
        <w:t>11.12.4 Check the conversion and model target</w:t>
      </w:r>
      <w:bookmarkEnd w:id="348"/>
    </w:p>
    <w:p w14:paraId="32287B42" w14:textId="77777777" w:rsidR="007E4E93" w:rsidRDefault="00E3560C">
      <w:pPr>
        <w:pStyle w:val="BodyText"/>
        <w:keepNext/>
      </w:pPr>
      <w:r>
        <w:t>For current-price input, the app converts household observations before computing direct means and variances or fitting models:</w:t>
      </w:r>
    </w:p>
    <w:p w14:paraId="560D6180" w14:textId="77777777" w:rsidR="007E4E93" w:rsidRDefault="00E3560C">
      <w:pPr>
        <w:pStyle w:val="BodyText"/>
        <w:keepLines/>
        <w:jc w:val="center"/>
      </w:pPr>
      <m:oMathPara>
        <m:oMath>
          <m:r>
            <w:rPr>
              <w:rFonts w:ascii="Cambria Math" w:hAnsi="Cambria Math"/>
            </w:rPr>
            <m:t>Real</m:t>
          </m:r>
          <m:r>
            <w:rPr>
              <w:rFonts w:ascii="Cambria Math" w:hAnsi="Cambria Math"/>
            </w:rPr>
            <m:t xml:space="preserve"> </m:t>
          </m:r>
          <m:r>
            <w:rPr>
              <w:rFonts w:ascii="Cambria Math" w:hAnsi="Cambria Math"/>
            </w:rPr>
            <m:t>welfare</m:t>
          </m:r>
          <m:r>
            <w:rPr>
              <w:rFonts w:ascii="Cambria Math" w:hAnsi="Cambria Math"/>
            </w:rPr>
            <m:t xml:space="preserve"> = </m:t>
          </m:r>
          <m:f>
            <m:fPr>
              <m:ctrlPr>
                <w:rPr>
                  <w:rFonts w:ascii="Cambria Math" w:hAnsi="Cambria Math"/>
                </w:rPr>
              </m:ctrlPr>
            </m:fPr>
            <m:num>
              <m:r>
                <w:rPr>
                  <w:rFonts w:ascii="Cambria Math" w:hAnsi="Cambria Math"/>
                </w:rPr>
                <m:t>Current</m:t>
              </m:r>
              <m:r>
                <w:rPr>
                  <w:rFonts w:ascii="Cambria Math" w:hAnsi="Cambria Math"/>
                </w:rPr>
                <m:t xml:space="preserve"> </m:t>
              </m:r>
              <m:r>
                <w:rPr>
                  <w:rFonts w:ascii="Cambria Math" w:hAnsi="Cambria Math"/>
                </w:rPr>
                <m:t>welfare</m:t>
              </m:r>
              <m:r>
                <w:rPr>
                  <w:rFonts w:ascii="Cambria Math" w:hAnsi="Cambria Math"/>
                </w:rPr>
                <m:t xml:space="preserve"> × </m:t>
              </m:r>
              <m:r>
                <w:rPr>
                  <w:rFonts w:ascii="Cambria Math" w:hAnsi="Cambria Math"/>
                </w:rPr>
                <m:t>CPI</m:t>
              </m:r>
              <m:r>
                <w:rPr>
                  <w:rFonts w:ascii="Cambria Math" w:hAnsi="Cambria Math"/>
                </w:rPr>
                <m:t>(</m:t>
              </m:r>
              <m:r>
                <w:rPr>
                  <w:rFonts w:ascii="Cambria Math" w:hAnsi="Cambria Math"/>
                </w:rPr>
                <m:t>price</m:t>
              </m:r>
              <m:r>
                <w:rPr>
                  <w:rFonts w:ascii="Cambria Math" w:hAnsi="Cambria Math"/>
                </w:rPr>
                <m:t xml:space="preserve"> </m:t>
              </m:r>
              <m:r>
                <w:rPr>
                  <w:rFonts w:ascii="Cambria Math" w:hAnsi="Cambria Math"/>
                </w:rPr>
                <m:t>base</m:t>
              </m:r>
              <m:r>
                <w:rPr>
                  <w:rFonts w:ascii="Cambria Math" w:hAnsi="Cambria Math"/>
                </w:rPr>
                <m:t xml:space="preserve"> </m:t>
              </m:r>
              <m:r>
                <w:rPr>
                  <w:rFonts w:ascii="Cambria Math" w:hAnsi="Cambria Math"/>
                </w:rPr>
                <m:t>year</m:t>
              </m:r>
              <m:r>
                <w:rPr>
                  <w:rFonts w:ascii="Cambria Math" w:hAnsi="Cambria Math"/>
                </w:rPr>
                <m:t>)</m:t>
              </m:r>
            </m:num>
            <m:den>
              <m:r>
                <w:rPr>
                  <w:rFonts w:ascii="Cambria Math" w:hAnsi="Cambria Math"/>
                </w:rPr>
                <m:t>CPI</m:t>
              </m:r>
              <m:r>
                <w:rPr>
                  <w:rFonts w:ascii="Cambria Math" w:hAnsi="Cambria Math"/>
                </w:rPr>
                <m:t>(</m:t>
              </m:r>
              <m:r>
                <w:rPr>
                  <w:rFonts w:ascii="Cambria Math" w:hAnsi="Cambria Math"/>
                </w:rPr>
                <m:t>income</m:t>
              </m:r>
              <m:r>
                <w:rPr>
                  <w:rFonts w:ascii="Cambria Math" w:hAnsi="Cambria Math"/>
                </w:rPr>
                <m:t xml:space="preserve"> </m:t>
              </m:r>
              <m:r>
                <w:rPr>
                  <w:rFonts w:ascii="Cambria Math" w:hAnsi="Cambria Math"/>
                </w:rPr>
                <m:t>reference</m:t>
              </m:r>
              <m:r>
                <w:rPr>
                  <w:rFonts w:ascii="Cambria Math" w:hAnsi="Cambria Math"/>
                </w:rPr>
                <m:t xml:space="preserve"> </m:t>
              </m:r>
              <m:r>
                <w:rPr>
                  <w:rFonts w:ascii="Cambria Math" w:hAnsi="Cambria Math"/>
                </w:rPr>
                <m:t>year</m:t>
              </m:r>
              <m:r>
                <w:rPr>
                  <w:rFonts w:ascii="Cambria Math" w:hAnsi="Cambria Math"/>
                </w:rPr>
                <m:t>)</m:t>
              </m:r>
            </m:den>
          </m:f>
        </m:oMath>
      </m:oMathPara>
    </w:p>
    <w:p w14:paraId="5A625320" w14:textId="77777777" w:rsidR="007E4E93" w:rsidRDefault="00E3560C">
      <w:pPr>
        <w:pStyle w:val="BodyText"/>
      </w:pPr>
      <w:r>
        <w:t>Illustration. Suppose the population-weighted current-price means are 10,400 EUR for survey 2022 and 10,920 EUR for survey 2023. With the previous-year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28E27A09" w14:textId="77777777">
        <w:trPr>
          <w:cantSplit/>
          <w:tblHeader/>
          <w:jc w:val="center"/>
        </w:trPr>
        <w:tc>
          <w:tcPr>
            <w:tcW w:w="1224" w:type="dxa"/>
            <w:shd w:val="clear" w:color="auto" w:fill="E7EEF4"/>
            <w:vAlign w:val="center"/>
          </w:tcPr>
          <w:p w14:paraId="091BD47C" w14:textId="77777777" w:rsidR="007E4E93" w:rsidRDefault="00E3560C">
            <w:pPr>
              <w:keepNext/>
              <w:spacing w:after="60" w:line="252" w:lineRule="auto"/>
            </w:pPr>
            <w:r>
              <w:rPr>
                <w:b/>
                <w:sz w:val="20"/>
              </w:rPr>
              <w:t>Survey year</w:t>
            </w:r>
          </w:p>
        </w:tc>
        <w:tc>
          <w:tcPr>
            <w:tcW w:w="1224" w:type="dxa"/>
            <w:shd w:val="clear" w:color="auto" w:fill="E7EEF4"/>
            <w:vAlign w:val="center"/>
          </w:tcPr>
          <w:p w14:paraId="0BB35511" w14:textId="77777777" w:rsidR="007E4E93" w:rsidRDefault="00E3560C">
            <w:pPr>
              <w:keepNext/>
              <w:spacing w:after="60" w:line="252" w:lineRule="auto"/>
            </w:pPr>
            <w:r>
              <w:rPr>
                <w:b/>
                <w:sz w:val="20"/>
              </w:rPr>
              <w:t>Income year</w:t>
            </w:r>
          </w:p>
        </w:tc>
        <w:tc>
          <w:tcPr>
            <w:tcW w:w="2088" w:type="dxa"/>
            <w:shd w:val="clear" w:color="auto" w:fill="E7EEF4"/>
            <w:vAlign w:val="center"/>
          </w:tcPr>
          <w:p w14:paraId="79D3339B"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366FB79F" w14:textId="77777777" w:rsidR="007E4E93" w:rsidRDefault="00E3560C">
            <w:pPr>
              <w:keepNext/>
              <w:spacing w:after="60" w:line="252" w:lineRule="auto"/>
            </w:pPr>
            <w:r>
              <w:rPr>
                <w:b/>
                <w:sz w:val="20"/>
              </w:rPr>
              <w:t>CPI level</w:t>
            </w:r>
          </w:p>
        </w:tc>
        <w:tc>
          <w:tcPr>
            <w:tcW w:w="3600" w:type="dxa"/>
            <w:shd w:val="clear" w:color="auto" w:fill="E7EEF4"/>
            <w:vAlign w:val="center"/>
          </w:tcPr>
          <w:p w14:paraId="76E42168" w14:textId="77777777" w:rsidR="007E4E93" w:rsidRDefault="00E3560C">
            <w:pPr>
              <w:keepNext/>
              <w:spacing w:after="60" w:line="252" w:lineRule="auto"/>
            </w:pPr>
            <w:r>
              <w:rPr>
                <w:b/>
                <w:sz w:val="20"/>
              </w:rPr>
              <w:t>Real mean in 2021 EUR</w:t>
            </w:r>
          </w:p>
        </w:tc>
      </w:tr>
      <w:tr w:rsidR="007E4E93" w14:paraId="651AB53B" w14:textId="77777777">
        <w:trPr>
          <w:cantSplit/>
          <w:jc w:val="center"/>
        </w:trPr>
        <w:tc>
          <w:tcPr>
            <w:tcW w:w="1224" w:type="dxa"/>
            <w:vAlign w:val="center"/>
          </w:tcPr>
          <w:p w14:paraId="13706A70" w14:textId="77777777" w:rsidR="007E4E93" w:rsidRDefault="00E3560C">
            <w:pPr>
              <w:spacing w:after="60" w:line="252" w:lineRule="auto"/>
            </w:pPr>
            <w:r>
              <w:rPr>
                <w:sz w:val="20"/>
              </w:rPr>
              <w:t>2022</w:t>
            </w:r>
          </w:p>
        </w:tc>
        <w:tc>
          <w:tcPr>
            <w:tcW w:w="1224" w:type="dxa"/>
            <w:vAlign w:val="center"/>
          </w:tcPr>
          <w:p w14:paraId="5AB002E2" w14:textId="77777777" w:rsidR="007E4E93" w:rsidRDefault="00E3560C">
            <w:pPr>
              <w:spacing w:after="60" w:line="252" w:lineRule="auto"/>
            </w:pPr>
            <w:r>
              <w:rPr>
                <w:sz w:val="20"/>
              </w:rPr>
              <w:t>2021</w:t>
            </w:r>
          </w:p>
        </w:tc>
        <w:tc>
          <w:tcPr>
            <w:tcW w:w="2088" w:type="dxa"/>
            <w:vAlign w:val="center"/>
          </w:tcPr>
          <w:p w14:paraId="2D6B7AC9" w14:textId="77777777" w:rsidR="007E4E93" w:rsidRDefault="00E3560C">
            <w:pPr>
              <w:spacing w:after="60" w:line="252" w:lineRule="auto"/>
            </w:pPr>
            <w:r>
              <w:rPr>
                <w:sz w:val="20"/>
              </w:rPr>
              <w:t>10,400</w:t>
            </w:r>
          </w:p>
        </w:tc>
        <w:tc>
          <w:tcPr>
            <w:tcW w:w="1224" w:type="dxa"/>
            <w:vAlign w:val="center"/>
          </w:tcPr>
          <w:p w14:paraId="0F522CF7" w14:textId="77777777" w:rsidR="007E4E93" w:rsidRDefault="00E3560C">
            <w:pPr>
              <w:spacing w:after="60" w:line="252" w:lineRule="auto"/>
            </w:pPr>
            <w:r>
              <w:rPr>
                <w:sz w:val="20"/>
              </w:rPr>
              <w:t>100</w:t>
            </w:r>
          </w:p>
        </w:tc>
        <w:tc>
          <w:tcPr>
            <w:tcW w:w="3600" w:type="dxa"/>
            <w:vAlign w:val="center"/>
          </w:tcPr>
          <w:p w14:paraId="5E93BF31" w14:textId="77777777" w:rsidR="007E4E93" w:rsidRDefault="00E3560C">
            <w:pPr>
              <w:spacing w:after="60" w:line="252" w:lineRule="auto"/>
            </w:pPr>
            <w:r>
              <w:rPr>
                <w:sz w:val="20"/>
              </w:rPr>
              <w:t>10,400</w:t>
            </w:r>
          </w:p>
        </w:tc>
      </w:tr>
      <w:tr w:rsidR="007E4E93" w14:paraId="31A74F74" w14:textId="77777777">
        <w:trPr>
          <w:cantSplit/>
          <w:jc w:val="center"/>
        </w:trPr>
        <w:tc>
          <w:tcPr>
            <w:tcW w:w="1224" w:type="dxa"/>
            <w:vAlign w:val="center"/>
          </w:tcPr>
          <w:p w14:paraId="4CA790FE" w14:textId="77777777" w:rsidR="007E4E93" w:rsidRDefault="00E3560C">
            <w:pPr>
              <w:spacing w:after="60" w:line="252" w:lineRule="auto"/>
            </w:pPr>
            <w:r>
              <w:rPr>
                <w:sz w:val="20"/>
              </w:rPr>
              <w:t>2023</w:t>
            </w:r>
          </w:p>
        </w:tc>
        <w:tc>
          <w:tcPr>
            <w:tcW w:w="1224" w:type="dxa"/>
            <w:vAlign w:val="center"/>
          </w:tcPr>
          <w:p w14:paraId="53724414" w14:textId="77777777" w:rsidR="007E4E93" w:rsidRDefault="00E3560C">
            <w:pPr>
              <w:spacing w:after="60" w:line="252" w:lineRule="auto"/>
            </w:pPr>
            <w:r>
              <w:rPr>
                <w:sz w:val="20"/>
              </w:rPr>
              <w:t>2022</w:t>
            </w:r>
          </w:p>
        </w:tc>
        <w:tc>
          <w:tcPr>
            <w:tcW w:w="2088" w:type="dxa"/>
            <w:vAlign w:val="center"/>
          </w:tcPr>
          <w:p w14:paraId="61AA8B01" w14:textId="77777777" w:rsidR="007E4E93" w:rsidRDefault="00E3560C">
            <w:pPr>
              <w:spacing w:after="60" w:line="252" w:lineRule="auto"/>
            </w:pPr>
            <w:r>
              <w:rPr>
                <w:sz w:val="20"/>
              </w:rPr>
              <w:t>10,920</w:t>
            </w:r>
          </w:p>
        </w:tc>
        <w:tc>
          <w:tcPr>
            <w:tcW w:w="1224" w:type="dxa"/>
            <w:vAlign w:val="center"/>
          </w:tcPr>
          <w:p w14:paraId="66A39A19" w14:textId="77777777" w:rsidR="007E4E93" w:rsidRDefault="00E3560C">
            <w:pPr>
              <w:spacing w:after="60" w:line="252" w:lineRule="auto"/>
            </w:pPr>
            <w:r>
              <w:rPr>
                <w:sz w:val="20"/>
              </w:rPr>
              <w:t>104</w:t>
            </w:r>
          </w:p>
        </w:tc>
        <w:tc>
          <w:tcPr>
            <w:tcW w:w="3600" w:type="dxa"/>
            <w:vAlign w:val="center"/>
          </w:tcPr>
          <w:p w14:paraId="2D5BB123" w14:textId="77777777" w:rsidR="007E4E93" w:rsidRDefault="00E3560C">
            <w:pPr>
              <w:spacing w:after="60" w:line="252" w:lineRule="auto"/>
            </w:pPr>
            <w:r>
              <w:rPr>
                <w:sz w:val="20"/>
              </w:rPr>
              <w:t>10,500</w:t>
            </w:r>
          </w:p>
        </w:tc>
      </w:tr>
    </w:tbl>
    <w:p w14:paraId="7A9FD068" w14:textId="77777777" w:rsidR="007E4E93" w:rsidRDefault="007E4E93">
      <w:pPr>
        <w:pStyle w:val="BodyText"/>
      </w:pPr>
    </w:p>
    <w:p w14:paraId="600B199E" w14:textId="77777777" w:rsidR="007E4E93" w:rsidRDefault="00E3560C">
      <w:pPr>
        <w:pStyle w:val="BodyText"/>
      </w:pPr>
      <w:r>
        <w:t>The nominal mean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24E2BBB6" w14:textId="77777777" w:rsidR="007E4E93" w:rsidRDefault="00E3560C">
      <w:pPr>
        <w:pStyle w:val="BodyText"/>
      </w:pPr>
      <w:r>
        <w:t xml:space="preserve">Step 4 Models. Keep UFH, MFH, and Comparison selected. If a log model is appropriate, retain individual zero and negative welfare in the arithmetic Direct means and verify positive finite area means. UFH correction is native emdi Slud–Maiti with ML fitting; MFH correction is conditional lognormal. The naive option keeps the same area-mean target but omits the correction. Compare with no transformation when model assumptions are doubtful.</w:t>
      </w:r>
    </w:p>
    <w:p w14:paraId="2947EB84" w14:textId="77777777" w:rsidR="007E4E93" w:rsidRDefault="00E3560C">
      <w:pPr>
        <w:pStyle w:val="BodyText"/>
      </w:pPr>
      <w:r>
        <w:t xml:space="preserve">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722FBD9" w14:textId="77777777" w:rsidR="007E4E93" w:rsidRDefault="00E3560C">
      <w:pPr>
        <w:pStyle w:val="BodyText"/>
      </w:pPr>
      <w:r>
        <w:t xml:space="preserve">Steps 5 and 6. Leave AI off unless wanted and authorized. Confirm survey and income years, price basis, CPI values, base year, currency, log-model and correction choices, and benchmark targets. Run Check Data Readiness, resolve errors, then Run Analysis. Confirm the report states the intended price basis and actual estimator.</w:t>
      </w:r>
    </w:p>
    <w:p w14:paraId="242485F5" w14:textId="77777777" w:rsidR="007E4E93" w:rsidRDefault="00E3560C">
      <w:pPr>
        <w:pStyle w:val="Heading3"/>
      </w:pPr>
      <w:bookmarkStart w:id="349" w:name="_Toc242266109"/>
      <w:r>
        <w:lastRenderedPageBreak/>
        <w:t>11.12.5 Read real welfare outputs correctly</w:t>
      </w:r>
      <w:bookmarkEnd w:id="349"/>
    </w:p>
    <w:p w14:paraId="2833BE7B" w14:textId="77777777" w:rsidR="007E4E93" w:rsidRDefault="00E3560C">
      <w:pPr>
        <w:pStyle w:val="BodyText"/>
        <w:keepNext/>
      </w:pPr>
      <w:r>
        <w:t xml:space="preserve">Levels and level RMSEs use currency units of the constant-price year. UFH corrected log MSE uses emdi’s Slud–Maiti calculation; UFH naive and selected MFH log uncertainty use original-scale bootstrap errors. Main change outputs report 100 × (later mean / earlier mean − 1), with log-ratio intervals. A common positive rescaling leaves a given pair’s percentage change unchanged; refitting MFH3 can be scale-sensitive because its initial variance is fixed.</w:t>
      </w:r>
    </w:p>
    <w:p w14:paraId="641F2A2E" w14:textId="77777777" w:rsidR="007E4E93" w:rsidRDefault="00E3560C">
      <w:pPr>
        <w:pStyle w:val="BodyText"/>
      </w:pPr>
      <w:r>
        <w:t xml:space="preserve">Box plots use raw ln(later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pPr>
        <w:pStyle w:val="Heading2"/>
      </w:pPr>
      <w:bookmarkStart w:id="471" w:name="_Toc900001"/>
      <w:r>
        <w:t xml:space="preserve">11.13 Reading the change outputs</w:t>
      </w:r>
      <w:bookmarkEnd w:id="471"/>
    </w:p>
    <w:p>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ln(later mean / earlier mean), with RMSE on that log scale; neither is multiplied by 100. For small changes, 100 times the log ratio approximates a percentage change; the exact percentage is 100 × (exp(log ratio) − 1). Main mean-welfare change maps and tables report the exact percentage change.</w:t>
      </w:r>
    </w:p>
    <w:p>
      <w:pPr>
        <w:pStyle w:val="BodyText"/>
      </w:pPr>
      <w:r>
        <w:t xml:space="preserve">For Direct and UFH, the MSE of a change is the sum of the two level MSEs, MSE</w:t>
      </w:r>
      <w:r>
        <w:rPr>
          <w:vertAlign w:val="subscript"/>
        </w:rPr>
        <w:t xml:space="preserve">1</w:t>
      </w:r>
      <w:r>
        <w:t xml:space="preserve"> + MSE</w:t>
      </w:r>
      <w:r>
        <w:rPr>
          <w:vertAlign w:val="subscript"/>
        </w:rPr>
        <w:t xml:space="preserve">2</w:t>
      </w:r>
      <w:r>
        <w:t xml:space="preserve">: the years are treated as independent, and no cross-year covariance is used. For headcounts, the level MSEs are in squared proportions, so the box-plot RMSE in percentage points is 100 × √(MSE</w:t>
      </w:r>
      <w:r>
        <w:rPr>
          <w:vertAlign w:val="subscript"/>
        </w:rPr>
        <w:t xml:space="preserve">1</w:t>
      </w:r>
      <w:r>
        <w:t xml:space="preserve"> + MSE</w:t>
      </w:r>
      <w:r>
        <w:rPr>
          <w:vertAlign w:val="subscript"/>
        </w:rPr>
        <w:t xml:space="preserve">2</w:t>
      </w:r>
      <w:r>
        <w:t xml:space="preserve">). For mean-welfare log ratios, the delta-method variance is MSE</w:t>
      </w:r>
      <w:r>
        <w:rPr>
          <w:vertAlign w:val="subscript"/>
        </w:rPr>
        <w:t xml:space="preserve">1</w:t>
      </w:r>
      <w:r>
        <w:t xml:space="preserve">/m</w:t>
      </w:r>
      <w:r>
        <w:rPr>
          <w:vertAlign w:val="subscript"/>
        </w:rPr>
        <w:t xml:space="preserve">1</w:t>
      </w:r>
      <w:r>
        <w:t xml:space="preserve">² + MSE</w:t>
      </w:r>
      <w:r>
        <w:rPr>
          <w:vertAlign w:val="subscript"/>
        </w:rPr>
        <w:t xml:space="preserve">2</w:t>
      </w:r>
      <w:r>
        <w:t xml:space="preserve">/m</w:t>
      </w:r>
      <w:r>
        <w:rPr>
          <w:vertAlign w:val="subscript"/>
        </w:rPr>
        <w:t xml:space="preserve">2</w:t>
      </w:r>
      <w:r>
        <w:t xml:space="preserve">², where m</w:t>
      </w:r>
      <w:r>
        <w:rPr>
          <w:vertAlign w:val="subscript"/>
        </w:rPr>
        <w:t xml:space="preserve">1</w:t>
      </w:r>
      <w:r>
        <w:t xml:space="preserve"> and m</w:t>
      </w:r>
      <w:r>
        <w:rPr>
          <w:vertAlign w:val="subscript"/>
        </w:rPr>
        <w:t xml:space="preserve">2</w:t>
      </w:r>
      <w:r>
        <w:t xml:space="preserve"> are the two level means, and the box-plot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pPr>
        <w:pStyle w:val="BodyText"/>
      </w:pPr>
      <w:r>
        <w:t xml:space="preserve">The box-plot figure is saved as outputs/figures/change_comparisons/change_rmse_boxplots.png,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diff_eur, lb_eur, and ub_eur; mse_eur has squared-currency units and p_value_eur is unitless. The _eur suffix is used for these fields even when another currency label is selected.</w:t>
      </w:r>
    </w:p>
    <w:p>
      <w:pPr>
        <w:pStyle w:val="BodyText"/>
      </w:pPr>
      <w:r>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1AA21B14"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br/>
        <w:br/>
      </w:r>
      <w:r>
        <w:t>Quality Assurance and Validation</w:t>
      </w:r>
      <w:bookmarkEnd w:id="352"/>
    </w:p>
    <w:p w14:paraId="57F5851D"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010081E1"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0B834E23"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47594D70"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7FC93EC"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FC398CE"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4DC9E908"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55FDBBB6"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02170CDD"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4955224C" w14:textId="77777777" w:rsidR="004F44B0" w:rsidRDefault="001F4DFD">
      <w:pPr>
        <w:pStyle w:val="FirstParagraph"/>
      </w:pPr>
      <w:r>
        <w:t>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6211974D"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57E63FB6" w14:textId="77777777" w:rsidR="004F44B0" w:rsidRDefault="001F4DFD">
      <w:pPr>
        <w:pStyle w:val="FirstParagraph"/>
      </w:pPr>
      <w:r>
        <w:t xml:space="preserve">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72701AF"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E7864DF"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1BC2B819"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br/>
        <w:br/>
      </w:r>
      <w:r>
        <w:t>Reporting Results</w:t>
      </w:r>
      <w:bookmarkEnd w:id="373"/>
    </w:p>
    <w:p w14:paraId="181D5EF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39CFFE72"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7B612C69"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59F19F8B"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25828AD0"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1C1415F2"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499AAA39"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D812738"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6ECA795D" w14:textId="77777777" w:rsidR="007E4E93" w:rsidRDefault="00E3560C">
      <w:pPr>
        <w:pStyle w:val="BodyText"/>
      </w:pPr>
      <w:r>
        <w:t>For mean welfare, the report should state the price basis: current prices; constant prices of a stated base year, with the price index, its source and the income reference period; or constant prices as provided in the survey data. The Dashboard writes this description to the run log, the report, and outputs/tables/indicator_info.csv.</w:t>
      </w:r>
    </w:p>
    <w:p w14:paraId="689EE5CF"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32E32E4F"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0746D0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1D88A28E" w14:textId="77777777"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1DD0EDB7"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33C4DEF"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6B86BC76"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2AF8F7C6"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2C4638F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1D04A4B1"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562ED3EB"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5D84D25C" w14:textId="77777777" w:rsidR="004F44B0" w:rsidRDefault="004F44B0">
      <w:pPr>
        <w:pStyle w:val="FirstParagraph"/>
      </w:pPr>
    </w:p>
    <w:p w14:paraId="4B86F427"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br/>
        <w:br/>
      </w:r>
      <w:r>
        <w:t>Practical Recommendations</w:t>
      </w:r>
      <w:bookmarkEnd w:id="388"/>
    </w:p>
    <w:p w14:paraId="1351691E"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353A5B6C" w14:textId="77777777"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AD20891"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069F5D59"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Log mean-welfare models target arithmetic area means. UFH uses emdi Slud–Maiti correction and MFH uses conditional-lognormal correction. For MFH, sm_out with rho_sm_out is a starting choice when sampling dependence is plausible and Direct covariance estimates are unstable. The 0.001 variance threshold is an application rule, on the modeled response scale. Use zero covariance only for independent rounds or a documented sensitivity. The shared Bootstrap replicates default is 500; inspect Monte Carlo error, convergence and boundary sensitivity.</w:t>
      </w:r>
    </w:p>
    <w:p w14:paraId="2ACCDB6D" w14:textId="77777777" w:rsidR="004F44B0" w:rsidRDefault="001F4DFD">
      <w:pPr>
        <w:pStyle w:val="BodyText"/>
      </w:pPr>
      <w:r>
        <w:t>These are defaults, not prescriptions: each should be revisited if the diagnostics or the sensitivity analysis indicate a problem.</w:t>
      </w:r>
    </w:p>
    <w:p w14:paraId="100AB200"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055B75D5"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20C418F7"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w:t>
        <w:lastRenderedPageBreak/>
        <w:t>benchmark target is unreliable or conceptually misaligned; the coefficients of variation are very high or the change intervals very wide; or the welfare definition or geography is not consistent over time.</w:t>
      </w:r>
    </w:p>
    <w:p w14:paraId="1DFE7221" w14:textId="77777777" w:rsidR="004F44B0" w:rsidRDefault="001F4DFD">
      <w:pPr>
        <w:pStyle w:val="BodyText"/>
      </w:pPr>
      <w:r>
        <w:t>Publishing a flagged estimate without its caveats is worse than publishing none, because it carries unwarranted authority.</w:t>
      </w:r>
    </w:p>
    <w:p w14:paraId="456D30E2"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8F9203A"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5856078B"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br/>
        <w:br/>
      </w:r>
      <w:r>
        <w:t>Limitations and Future Extensions</w:t>
      </w:r>
      <w:bookmarkEnd w:id="403"/>
    </w:p>
    <w:p w14:paraId="776C3B5B"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0E2E066D" w14:textId="77777777" w:rsidR="004F44B0" w:rsidRDefault="001F4DFD">
      <w:pPr>
        <w:pStyle w:val="FirstParagraph"/>
      </w:pPr>
      <w:r>
        <w:t>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16B93A86"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5B06DFA0"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
    <w:p w14:paraId="31BDD8C3" w14:textId="77777777"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pPr>
        <w:pStyle w:val="BodyText"/>
      </w:pPr>
      <w:r>
        <w:rPr>
          <w:b/>
        </w:rPr>
        <w:t xml:space="preserve">Policy 1: finalize the first year of each two-year MFH run.</w:t>
      </w:r>
      <w:r>
        <w:t xml:space="preserve"> Under this policy, the second-year estimate is published as preliminary and replaced by the first-year estimate from the following run. For example, the 2025 poverty rate from the 2024-2025 run is preliminary. The 2025 rate from the 2025-2026 run becomes final, while the 2026 rate is preliminary. Once finalized, an estimate is retained unless an exceptional data correction or methodological change requires revision.</w:t>
      </w:r>
    </w:p>
    <w:p>
      <w:pPr>
        <w:pStyle w:val="BodyText"/>
      </w:pPr>
      <w:r>
        <w:t xml:space="preserve">Longer windows make this policy harder to manage. If the oldest year is finalized and newer years are published provisionally, a three-year window leaves two preliminary years in each release. The 2024 rate first appears in the 2022-2024 run, is revised in the 2023-2025 run, and becomes final in the 2024-2026 run. Finalization therefore waits for two subsequent years of data, and each annual release updates two previously published preliminary rates. A four-year window increases the delay to three years and updates three preliminary rates. Already-final estimates need not be revised. This increases the revision history that users must understand and the statistical office must maintain.</w:t>
      </w:r>
    </w:p>
    <w:p>
      <w:pPr>
        <w:pStyle w:val="BodyText"/>
      </w:pPr>
      <w:r>
        <w:rPr>
          <w:b/>
        </w:rPr>
        <w:t xml:space="preserve">Policy 2: finalize only the second year of each two-year MFH run.</w:t>
      </w:r>
      <w:r>
        <w:t xml:space="preserve"> Under the approach described by the Polish team, the second-year estimate is published as final immediately. The first-year estimate from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pPr>
        <w:pStyle w:val="BodyText"/>
      </w:pPr>
      <w:r>
        <w:t xml:space="preserve">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pPr>
        <w:pStyle w:val="BodyText"/>
      </w:pPr>
      <w:r>
        <w:rPr>
          <w:b/>
        </w:rPr>
        <w:t xml:space="preserve">Implications for comparisons over time.</w:t>
      </w:r>
      <w:r>
        <w:t xml:space="preserve"> Under either policy, consecutive final poverty rates may come from different MFH runs. Their difference can be reported descriptively, but the current run's confidence interval and significance test concern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pPr>
        <w:pStyle w:val="BodyText"/>
      </w:pPr>
      <w:r>
        <w:t xml:space="preserve">The current Package supports two-year MFH runs. The publication policy should be agreed before releasing results. Record the estimation window and retain the uncertainty measures associated with each published estimate. Policy 1 allows subsequent-year information to revise the latest estimate before finalization; Policy 2 provides a final latest-year estimate without routine revision. Longer windows could offer additional borrowing, but under Policy 1 they add delays and provisional revisions, while under Policy 2 more estimates from each run remain outside the published series. Neither policy removes the need for model validation or a coherent uncertainty calculation.</w:t>
      </w:r>
    </w:p>
    <w:p>
      <w:pPr>
        <w:pStyle w:val="BodyText"/>
        <w:keepNext/>
      </w:pPr>
      <w:r>
        <w:rPr>
          <w:b/>
        </w:rPr>
        <w:t xml:space="preserve">Panel A. First-year estimates are final; second-year estimates are preliminary</w:t>
      </w:r>
      <w:r>
        <w:t xml:space="preserve"/>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020D668A" w14:textId="77777777">
        <w:trPr>
          <w:cantSplit/>
          <w:tblHeader/>
          <w:jc w:val="center"/>
        </w:trPr>
        <w:tc>
          <w:tcPr>
            <w:tcW w:w="2736" w:type="dxa"/>
            <w:shd w:val="clear" w:color="auto" w:fill="D9E2F3"/>
            <w:vAlign w:val="center"/>
          </w:tcPr>
          <w:p>
            <w:pPr>
              <w:jc w:val="left"/>
              <w:spacing w:before="50" w:after="50" w:line="240" w:lineRule="auto"/>
            </w:pPr>
            <w:r>
              <w:rPr>
                <w:rFonts w:ascii="Times New Roman" w:hAnsi="Times New Roman"/>
                <w:sz w:val="18"/>
                <w:color w:val="000000"/>
                <w:b/>
              </w:rPr>
              <w:t>Two-year MFH window</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2024</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2025</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2026</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2027</w:t>
            </w:r>
          </w:p>
        </w:tc>
      </w:tr>
      <w:tr w:rsidR="007F26F4" w14:paraId="349F5BAC"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2024-2025</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shd w:val="clear" w:color="auto" w:fill="FFF2CC"/>
            <w:vAlign w:val="center"/>
          </w:tcPr>
          <w:p>
            <w:pPr>
              <w:jc w:val="center"/>
              <w:spacing w:before="50" w:after="50" w:line="240" w:lineRule="auto"/>
            </w:pPr>
            <w:r>
              <w:rPr>
                <w:rFonts w:ascii="Times New Roman" w:hAnsi="Times New Roman"/>
                <w:sz w:val="18"/>
                <w:color w:val="000000"/>
              </w:rPr>
              <w:t>Preliminary</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r>
      <w:tr w:rsidR="007F26F4" w14:paraId="75EED0E9" w14:textId="77777777">
        <w:trPr>
          <w:cantSplit/>
          <w:jc w:val="center"/>
        </w:trPr>
        <w:tc>
          <w:tcPr>
            <w:tcW w:w="2736" w:type="dxa"/>
            <w:vAlign w:val="center"/>
            <w:shd w:fill="FFFFFF"/>
          </w:tcPr>
          <w:p>
            <w:pPr>
              <w:jc w:val="left"/>
              <w:spacing w:before="50" w:after="50" w:line="240" w:lineRule="auto"/>
            </w:pPr>
            <w:r>
              <w:rPr>
                <w:rFonts w:ascii="Times New Roman" w:hAnsi="Times New Roman"/>
                <w:sz w:val="18"/>
                <w:color w:val="000000"/>
                <w:b/>
              </w:rPr>
              <w:t>2025-2026</w:t>
            </w:r>
          </w:p>
        </w:tc>
        <w:tc>
          <w:tcPr>
            <w:tcW w:w="1656" w:type="dxa"/>
            <w:vAlign w:val="center"/>
            <w:shd w:fill="FFFFFF"/>
          </w:tcPr>
          <w:p>
            <w:pPr>
              <w:jc w:val="center"/>
              <w:spacing w:before="50" w:after="50" w:line="240" w:lineRule="auto"/>
            </w:pPr>
            <w:r>
              <w:rPr>
                <w:rFonts w:ascii="Times New Roman" w:hAnsi="Times New Roman"/>
                <w:sz w:val="18"/>
                <w:color w:val="000000"/>
              </w:rPr>
              <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shd w:val="clear" w:color="auto" w:fill="FFF2CC"/>
            <w:vAlign w:val="center"/>
          </w:tcPr>
          <w:p>
            <w:pPr>
              <w:jc w:val="center"/>
              <w:spacing w:before="50" w:after="50" w:line="240" w:lineRule="auto"/>
            </w:pPr>
            <w:r>
              <w:rPr>
                <w:rFonts w:ascii="Times New Roman" w:hAnsi="Times New Roman"/>
                <w:sz w:val="18"/>
                <w:color w:val="000000"/>
              </w:rPr>
              <w:t>Preliminary</w:t>
            </w:r>
          </w:p>
        </w:tc>
        <w:tc>
          <w:tcPr>
            <w:tcW w:w="1656" w:type="dxa"/>
            <w:vAlign w:val="center"/>
            <w:shd w:fill="FFFFFF"/>
          </w:tcPr>
          <w:p>
            <w:pPr>
              <w:jc w:val="center"/>
              <w:spacing w:before="50" w:after="50" w:line="240" w:lineRule="auto"/>
            </w:pPr>
            <w:r>
              <w:rPr>
                <w:rFonts w:ascii="Times New Roman" w:hAnsi="Times New Roman"/>
                <w:sz w:val="18"/>
                <w:color w:val="000000"/>
              </w:rPr>
              <w:t/>
            </w:r>
          </w:p>
        </w:tc>
      </w:tr>
      <w:tr w:rsidR="007F26F4" w14:paraId="468EAF89"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2026-2027</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shd w:val="clear" w:color="auto" w:fill="FFF2CC"/>
            <w:vAlign w:val="center"/>
          </w:tcPr>
          <w:p>
            <w:pPr>
              <w:jc w:val="center"/>
              <w:spacing w:before="50" w:after="50" w:line="240" w:lineRule="auto"/>
            </w:pPr>
            <w:r>
              <w:rPr>
                <w:rFonts w:ascii="Times New Roman" w:hAnsi="Times New Roman"/>
                <w:sz w:val="18"/>
                <w:color w:val="000000"/>
              </w:rPr>
              <w:t>Preliminary</w:t>
            </w:r>
          </w:p>
        </w:tc>
      </w:tr>
    </w:tbl>
    <w:p>
      <w:pPr>
        <w:pStyle w:val="ImageCaption"/>
      </w:pPr>
      <w:r>
        <w:t xml:space="preserve">Each preliminary estimate is replaced once, when that year becomes the first year of the next run. Earlier final estimates are retained.</w:t>
      </w:r>
    </w:p>
    <w:p>
      <w:pPr>
        <w:pStyle w:val="BodyText"/>
        <w:keepNext/>
      </w:pPr>
      <w:r>
        <w:rPr>
          <w:b/>
        </w:rPr>
        <w:t xml:space="preserve">Panel B. Only second-year estimates are published as final</w:t>
      </w:r>
      <w:r>
        <w:t xml:space="preserve"/>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020D668A" w14:textId="77777777">
        <w:trPr>
          <w:cantSplit/>
          <w:tblHeader/>
          <w:jc w:val="center"/>
        </w:trPr>
        <w:tc>
          <w:tcPr>
            <w:tcW w:w="2736" w:type="dxa"/>
            <w:shd w:val="clear" w:color="auto" w:fill="D9E2F3"/>
            <w:vAlign w:val="center"/>
          </w:tcPr>
          <w:p>
            <w:pPr>
              <w:jc w:val="left"/>
              <w:spacing w:before="50" w:after="50" w:line="240" w:lineRule="auto"/>
            </w:pPr>
            <w:r>
              <w:rPr>
                <w:rFonts w:ascii="Times New Roman" w:hAnsi="Times New Roman"/>
                <w:sz w:val="18"/>
                <w:color w:val="000000"/>
                <w:b/>
              </w:rPr>
              <w:t>Two-year MFH window</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2024</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2025</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2026</w:t>
            </w:r>
          </w:p>
        </w:tc>
        <w:tc>
          <w:tcPr>
            <w:tcW w:w="1656" w:type="dxa"/>
            <w:shd w:val="clear" w:color="auto" w:fill="D9E2F3"/>
            <w:vAlign w:val="center"/>
          </w:tcPr>
          <w:p>
            <w:pPr>
              <w:jc w:val="center"/>
              <w:spacing w:before="50" w:after="50" w:line="240" w:lineRule="auto"/>
            </w:pPr>
            <w:r>
              <w:rPr>
                <w:rFonts w:ascii="Times New Roman" w:hAnsi="Times New Roman"/>
                <w:sz w:val="18"/>
                <w:color w:val="000000"/>
                <w:b/>
              </w:rPr>
              <w:t>2027</w:t>
            </w:r>
          </w:p>
        </w:tc>
      </w:tr>
      <w:tr w:rsidR="007F26F4" w14:paraId="349F5BAC"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2024-2025</w:t>
            </w:r>
          </w:p>
        </w:tc>
        <w:tc>
          <w:tcPr>
            <w:tcW w:w="1656" w:type="dxa"/>
            <w:shd w:val="clear" w:color="auto" w:fill="F2F2F2"/>
            <w:vAlign w:val="center"/>
          </w:tcPr>
          <w:p>
            <w:pPr>
              <w:jc w:val="center"/>
              <w:spacing w:before="50" w:after="50" w:line="240" w:lineRule="auto"/>
            </w:pPr>
            <w:r>
              <w:rPr>
                <w:rFonts w:ascii="Times New Roman" w:hAnsi="Times New Roman"/>
                <w:sz w:val="18"/>
                <w:color w:val="000000"/>
              </w:rPr>
              <w:t>Retain prior</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r>
      <w:tr w:rsidR="007F26F4" w14:paraId="75EED0E9" w14:textId="77777777">
        <w:trPr>
          <w:cantSplit/>
          <w:jc w:val="center"/>
        </w:trPr>
        <w:tc>
          <w:tcPr>
            <w:tcW w:w="2736" w:type="dxa"/>
            <w:vAlign w:val="center"/>
            <w:shd w:fill="FFFFFF"/>
          </w:tcPr>
          <w:p>
            <w:pPr>
              <w:jc w:val="left"/>
              <w:spacing w:before="50" w:after="50" w:line="240" w:lineRule="auto"/>
            </w:pPr>
            <w:r>
              <w:rPr>
                <w:rFonts w:ascii="Times New Roman" w:hAnsi="Times New Roman"/>
                <w:sz w:val="18"/>
                <w:color w:val="000000"/>
                <w:b/>
              </w:rPr>
              <w:t>2025-2026</w:t>
            </w:r>
          </w:p>
        </w:tc>
        <w:tc>
          <w:tcPr>
            <w:tcW w:w="1656" w:type="dxa"/>
            <w:vAlign w:val="center"/>
            <w:shd w:fill="FFFFFF"/>
          </w:tcPr>
          <w:p>
            <w:pPr>
              <w:jc w:val="center"/>
              <w:spacing w:before="50" w:after="50" w:line="240" w:lineRule="auto"/>
            </w:pPr>
            <w:r>
              <w:rPr>
                <w:rFonts w:ascii="Times New Roman" w:hAnsi="Times New Roman"/>
                <w:sz w:val="18"/>
                <w:color w:val="000000"/>
              </w:rPr>
              <w:t/>
            </w:r>
          </w:p>
        </w:tc>
        <w:tc>
          <w:tcPr>
            <w:tcW w:w="1656" w:type="dxa"/>
            <w:shd w:val="clear" w:color="auto" w:fill="FFFFFF"/>
            <w:vAlign w:val="center"/>
          </w:tcPr>
          <w:p>
            <w:pPr>
              <w:jc w:val="center"/>
              <w:spacing w:before="50" w:after="50" w:line="240" w:lineRule="auto"/>
            </w:pPr>
            <w:r>
              <w:rPr>
                <w:rFonts w:ascii="Times New Roman" w:hAnsi="Times New Roman"/>
                <w:sz w:val="18"/>
                <w:color w:val="000000"/>
              </w:rPr>
              <w:t>Retain prior</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c>
          <w:tcPr>
            <w:tcW w:w="1656" w:type="dxa"/>
            <w:vAlign w:val="center"/>
            <w:shd w:fill="FFFFFF"/>
          </w:tcPr>
          <w:p>
            <w:pPr>
              <w:jc w:val="center"/>
              <w:spacing w:before="50" w:after="50" w:line="240" w:lineRule="auto"/>
            </w:pPr>
            <w:r>
              <w:rPr>
                <w:rFonts w:ascii="Times New Roman" w:hAnsi="Times New Roman"/>
                <w:sz w:val="18"/>
                <w:color w:val="000000"/>
              </w:rPr>
              <w:t/>
            </w:r>
          </w:p>
        </w:tc>
      </w:tr>
      <w:tr w:rsidR="007F26F4" w14:paraId="468EAF89" w14:textId="77777777">
        <w:trPr>
          <w:cantSplit/>
          <w:jc w:val="center"/>
        </w:trPr>
        <w:tc>
          <w:tcPr>
            <w:tcW w:w="2736" w:type="dxa"/>
            <w:vAlign w:val="center"/>
            <w:shd w:fill="F2F2F2"/>
          </w:tcPr>
          <w:p>
            <w:pPr>
              <w:jc w:val="left"/>
              <w:spacing w:before="50" w:after="50" w:line="240" w:lineRule="auto"/>
            </w:pPr>
            <w:r>
              <w:rPr>
                <w:rFonts w:ascii="Times New Roman" w:hAnsi="Times New Roman"/>
                <w:sz w:val="18"/>
                <w:color w:val="000000"/>
                <w:b/>
              </w:rPr>
              <w:t>2026-2027</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vAlign w:val="center"/>
            <w:shd w:fill="F2F2F2"/>
          </w:tcPr>
          <w:p>
            <w:pPr>
              <w:jc w:val="center"/>
              <w:spacing w:before="50" w:after="50" w:line="240" w:lineRule="auto"/>
            </w:pPr>
            <w:r>
              <w:rPr>
                <w:rFonts w:ascii="Times New Roman" w:hAnsi="Times New Roman"/>
                <w:sz w:val="18"/>
                <w:color w:val="000000"/>
              </w:rPr>
              <w:t/>
            </w:r>
          </w:p>
        </w:tc>
        <w:tc>
          <w:tcPr>
            <w:tcW w:w="1656" w:type="dxa"/>
            <w:shd w:val="clear" w:color="auto" w:fill="F2F2F2"/>
            <w:vAlign w:val="center"/>
          </w:tcPr>
          <w:p>
            <w:pPr>
              <w:jc w:val="center"/>
              <w:spacing w:before="50" w:after="50" w:line="240" w:lineRule="auto"/>
            </w:pPr>
            <w:r>
              <w:rPr>
                <w:rFonts w:ascii="Times New Roman" w:hAnsi="Times New Roman"/>
                <w:sz w:val="18"/>
                <w:color w:val="000000"/>
              </w:rPr>
              <w:t>Retain prior</w:t>
            </w:r>
          </w:p>
        </w:tc>
        <w:tc>
          <w:tcPr>
            <w:tcW w:w="1656" w:type="dxa"/>
            <w:shd w:val="clear" w:color="auto" w:fill="E2F0D9"/>
            <w:vAlign w:val="center"/>
          </w:tcPr>
          <w:p>
            <w:pPr>
              <w:jc w:val="center"/>
              <w:spacing w:before="50" w:after="50" w:line="240" w:lineRule="auto"/>
            </w:pPr>
            <w:r>
              <w:rPr>
                <w:rFonts w:ascii="Times New Roman" w:hAnsi="Times New Roman"/>
                <w:sz w:val="18"/>
                <w:color w:val="000000"/>
              </w:rPr>
              <w:t>Final</w:t>
            </w:r>
          </w:p>
        </w:tc>
      </w:tr>
    </w:tbl>
    <w:p>
      <w:pPr>
        <w:pStyle w:val="ImageCaption"/>
      </w:pPr>
      <w:r>
        <w:t xml:space="preserve">Retain prior means retain the final rate from the preceding run, when that year was the second year. The current run's first-year estimate is not published as a replacement.</w:t>
      </w:r>
    </w:p>
    <w:p w14:paraId="299758D4" w14:textId="77777777" w:rsidR="00F77958" w:rsidRDefault="00A66DCC">
      <w:pPr>
        <w:pStyle w:val="ImageCaption"/>
      </w:pPr>
      <w:r>
        <w:t>Figure 17. Two publication policies for rolling two-year MFH estimates.</w:t>
      </w:r>
    </w:p>
    <w:p>
      <w:pPr>
        <w:pStyle w:val="ImageCaption"/>
      </w:pPr>
      <w:r>
        <w:t xml:space="preserve">Note: Final denotes publication status; it does not mean that refitting the model with a different data window could never produce another estimate. Both policies retain the full run outputs for audit and analysis.</w:t>
      </w:r>
    </w:p>
    <w:p w14:paraId="0EACF16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1BB5DC7B" w14:textId="77777777" w:rsidR="004F44B0" w:rsidRDefault="001F4DFD">
      <w:pPr>
        <w:pStyle w:val="FirstParagraph"/>
      </w:pPr>
      <w:r>
        <w:t>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2AD808EA" w14:textId="77777777" w:rsidR="007E4E93" w:rsidRDefault="00E3560C">
      <w:pPr>
        <w:pStyle w:val="BodyText"/>
      </w:pPr>
      <w:r>
        <w:t xml:space="preserve">For mean welfare, real changes depend on the price index. The Dashboard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CDAD59F"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3241FBB8" w14:textId="77777777" w:rsidR="00A72419" w:rsidRPr="00A72419" w:rsidRDefault="00A72419" w:rsidP="00A72419">
      <w:pPr>
        <w:pStyle w:val="BodyText"/>
      </w:pPr>
      <w:r>
        <w:t>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28629C36"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A0F7957"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6EAEE18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460E2F70"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293EB53B" w14:textId="77777777" w:rsidR="00A72419" w:rsidRPr="00A72419" w:rsidRDefault="00A72419" w:rsidP="00A72419">
      <w:pPr>
        <w:pStyle w:val="BodyText"/>
      </w:pPr>
      <w:r>
        <w:t>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65BB4E3B"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5DB5174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074BFE6E" w14:textId="77777777" w:rsidR="004F44B0" w:rsidRDefault="001F4DFD">
      <w:pPr>
        <w:pStyle w:val="Heading2"/>
      </w:pPr>
      <w:bookmarkStart w:id="416" w:name="_Toc242266132"/>
      <w:r>
        <w:t>15.5 Areas and area-years without direct estimates</w:t>
      </w:r>
      <w:bookmarkEnd w:id="416"/>
    </w:p>
    <w:p w14:paraId="096C7571" w14:textId="77777777" w:rsidR="004F44B0" w:rsidRDefault="001F4DFD">
      <w:pPr>
        <w:pStyle w:val="FirstParagraph"/>
      </w:pPr>
      <w:r>
        <w:t>The current Dashboard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20E21B5D" w14:textId="77777777"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1D4071D0"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4C5B06CA"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m:t>
              </m:r>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5B203F22" w14:textId="77777777"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F22EDB0"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m:oMathPara>
    </w:p>
    <w:p w14:paraId="7A05802E" w14:textId="77777777" w:rsidR="004F44B0" w:rsidRDefault="001F4DFD">
      <w:pPr>
        <w:pStyle w:val="BodyText"/>
      </w:pPr>
      <w:r>
        <w:t>Prediction, therefore, does not require a sampling variance for the missing area-year itself. However, it does require a working covariance matrix for the observed direct estimates used in the prediction.</w:t>
      </w:r>
    </w:p>
    <w:p w14:paraId="40135FAB"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249FFCF" w14:textId="77777777" w:rsidR="004F44B0" w:rsidRDefault="00E3560C">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2BE77620"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9AB7FDE"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355441B" w14:textId="77777777" w:rsidR="004F44B0" w:rsidRDefault="001F4DFD">
      <w:pPr>
        <w:pStyle w:val="BodyText"/>
      </w:pPr>
      <w:r>
        <w:t>Recommended flags include: direct_available, missing_direct_estimate, zero_sample_area, missing_sampling_variance, small_sample_area, temporal_borrowing_only, spatial_borrowing_used, and synthetic_only.</w:t>
      </w:r>
    </w:p>
    <w:p w14:paraId="2922C58F" w14:textId="77777777" w:rsidR="0077619A" w:rsidRPr="00A72419" w:rsidRDefault="0077619A" w:rsidP="00A72419">
      <w:pPr>
        <w:pStyle w:val="BodyText"/>
      </w:pPr>
    </w:p>
    <w:p w14:paraId="3601BB44" w14:textId="77777777" w:rsidR="008F0727" w:rsidRPr="008F0727" w:rsidRDefault="008F0727" w:rsidP="008F0727">
      <w:pPr>
        <w:pStyle w:val="BodyText"/>
      </w:pPr>
    </w:p>
    <w:p w14:paraId="7B7A0201" w14:textId="77777777" w:rsidR="00D56A60" w:rsidRDefault="00D56A60">
      <w:pPr>
        <w:pStyle w:val="BodyText"/>
      </w:pPr>
    </w:p>
    <w:p w14:paraId="12ABEC8F"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689ED7BA" w14:textId="77777777" w:rsidR="004F44B0" w:rsidRDefault="001F4DFD">
      <w:pPr>
        <w:pStyle w:val="Heading1"/>
        <w:spacing w:before="0"/>
      </w:pPr>
      <w:bookmarkStart w:id="419" w:name="_Toc242266133"/>
      <w:bookmarkEnd w:id="417"/>
      <w:bookmarkEnd w:id="418"/>
      <w:r>
        <w:lastRenderedPageBreak/>
        <w:t>Annexes</w:t>
      </w:r>
      <w:bookmarkEnd w:id="419"/>
    </w:p>
    <w:p w14:paraId="30C6FA19"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br/>
        <w:br/>
      </w:r>
      <w:r>
        <w:t>Glossary</w:t>
      </w:r>
      <w:bookmarkEnd w:id="422"/>
    </w:p>
    <w:p w14:paraId="5C7570C4"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2073E75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197DFFA5"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11C52207"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2B72C27"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mean squared error (RMSE), is in the units of the estimate and is the model-based counterpart of a standard error.</w:t>
      </w:r>
    </w:p>
    <w:p w14:paraId="5825A431"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718C55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C5776C4"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52742713"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4D0BF6FE"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5F0F481C"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684E5234" w14:textId="77777777"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1FB494A5"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6DB74C2A" w14:textId="77777777" w:rsidR="004F44B0" w:rsidRDefault="001F4DFD">
      <w:pPr>
        <w:pStyle w:val="BodyText"/>
      </w:pPr>
      <w:r>
        <w:t xml:space="preserve">REML (Restricted Maximum Likelihood). The variance-fitting criterion used for ordinary UFH and MFH. Corrected and naive UFH log models use ML to match emdi’s Slud–Maiti implementation.</w:t>
      </w:r>
    </w:p>
    <w:p w14:paraId="2BF1D960"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782D03ED"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71FC82F2"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7F3874D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3E6A6A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2954DEF" w14:textId="77777777" w:rsidR="004F44B0" w:rsidRDefault="001F4DFD">
      <w:pPr>
        <w:pStyle w:val="BodyText"/>
      </w:pPr>
      <w:r>
        <w:t xml:space="preserve">Numerical safeguard. Independent REML endpoint checks and constrained MFH2 refitting when needed. Valid positive or zero variance fits may be retained; a package convergence flag alone is insufficient.</w:t>
      </w:r>
    </w:p>
    <w:p w14:paraId="24DB92CE" w14:textId="77777777" w:rsidR="004F44B0" w:rsidRDefault="001F4DFD">
      <w:pPr>
        <w:pStyle w:val="BodyText"/>
      </w:pPr>
      <w:r>
        <w:rPr>
          <w:b/>
        </w:rPr>
        <w:t xml:space="preserve">Ratio benchmarking. </w:t>
      </w:r>
      <w:r>
        <w:t xml:space="preserve">The multiplicative benchmarking adjustment the Dashboard uses for poverty rates and mean welfare, applying a common factor within each benchmark area; with a positive factor, it preserves non-negativity and the ordering of areas within the group. The main alternative is additive (difference) benchmarking; raking is an iterative ratio method.</w:t>
      </w:r>
    </w:p>
    <w:p w14:paraId="169BBF88" w14:textId="77777777" w:rsidR="004F44B0" w:rsidRDefault="001F4DFD">
      <w:pPr>
        <w:pStyle w:val="BodyText"/>
      </w:pPr>
      <w:r>
        <w:t xml:space="preserve">Log transformation. The log of an arithmetic Direct area mean, with delta sampling variance. It requires a positive area mean, while retaining individual zero and negative welfare. UFH uses emdi Slud–Maiti correction; MFH uses conditional-lognormal correction. Neither model fits household log welfare.</w:t>
      </w:r>
    </w:p>
    <w:p w14:paraId="700F7DF3"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1D5FC04D"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D610889"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0E916350"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9BAB2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41012499"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63E5D520"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032E1AC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1AC5D1DC"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321093AE"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40FE51E1"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br/>
        <w:br/>
      </w:r>
      <w:r>
        <w:t>Data Templates</w:t>
      </w:r>
      <w:bookmarkEnd w:id="425"/>
    </w:p>
    <w:p w14:paraId="7797EC24"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A4B2541" w14:textId="77777777" w:rsidR="004F44B0" w:rsidRDefault="001F4DFD">
      <w:pPr>
        <w:pStyle w:val="BodyText"/>
      </w:pPr>
      <w:r>
        <w:rPr>
          <w:b/>
        </w:rPr>
        <w:t>Survey microdata (one row per household or individual).</w:t>
      </w:r>
    </w:p>
    <w:p w14:paraId="4FE0F1F9" w14:textId="77777777" w:rsidR="004F44B0" w:rsidRDefault="001F4DFD">
      <w:pPr>
        <w:keepNext/>
        <w:spacing w:before="200" w:after="40" w:line="240" w:lineRule="auto"/>
        <w:jc w:val="center"/>
      </w:pPr>
      <w:r>
        <w:rPr>
          <w:rFonts w:cs="Times New Roman"/>
          <w:b/>
          <w:sz w:val="20"/>
        </w:rPr>
        <w:t>TABLE XII</w:t>
      </w:r>
    </w:p>
    <w:p w14:paraId="03AFC29D"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79DED3C" w14:textId="77777777">
        <w:trPr>
          <w:cantSplit/>
          <w:tblHeader/>
        </w:trPr>
        <w:tc>
          <w:tcPr>
            <w:tcW w:w="2880" w:type="dxa"/>
            <w:tcBorders>
              <w:top w:val="single" w:sz="12" w:space="0" w:color="000000"/>
              <w:bottom w:val="single" w:sz="4" w:space="0" w:color="000000"/>
            </w:tcBorders>
            <w:vAlign w:val="bottom"/>
          </w:tcPr>
          <w:p w14:paraId="08C9BCC2"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E5B0909"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45767EB4"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6DE79076" w14:textId="77777777" w:rsidR="004F44B0" w:rsidRDefault="001F4DFD">
            <w:pPr>
              <w:pStyle w:val="Compact"/>
            </w:pPr>
            <w:r>
              <w:rPr>
                <w:rFonts w:cs="Times New Roman"/>
                <w:smallCaps/>
              </w:rPr>
              <w:t>Notes</w:t>
            </w:r>
          </w:p>
        </w:tc>
      </w:tr>
      <w:tr w:rsidR="004F44B0" w14:paraId="79BFD42C" w14:textId="77777777">
        <w:trPr>
          <w:cantSplit/>
        </w:trPr>
        <w:tc>
          <w:tcPr>
            <w:tcW w:w="2880" w:type="dxa"/>
          </w:tcPr>
          <w:p w14:paraId="30A30611" w14:textId="77777777" w:rsidR="004F44B0" w:rsidRDefault="001F4DFD">
            <w:pPr>
              <w:pStyle w:val="Compact"/>
            </w:pPr>
            <w:r>
              <w:rPr>
                <w:rStyle w:val="VerbatimChar"/>
              </w:rPr>
              <w:t>domain</w:t>
            </w:r>
          </w:p>
        </w:tc>
        <w:tc>
          <w:tcPr>
            <w:tcW w:w="2160" w:type="dxa"/>
          </w:tcPr>
          <w:p w14:paraId="792C89E5" w14:textId="77777777" w:rsidR="004F44B0" w:rsidRDefault="001F4DFD">
            <w:pPr>
              <w:pStyle w:val="Compact"/>
            </w:pPr>
            <w:r>
              <w:t>Area identifier</w:t>
            </w:r>
          </w:p>
        </w:tc>
        <w:tc>
          <w:tcPr>
            <w:tcW w:w="2158" w:type="dxa"/>
          </w:tcPr>
          <w:p w14:paraId="3CB32096" w14:textId="77777777" w:rsidR="004F44B0" w:rsidRDefault="001F4DFD">
            <w:pPr>
              <w:pStyle w:val="Compact"/>
            </w:pPr>
            <w:r>
              <w:rPr>
                <w:rStyle w:val="VerbatimChar"/>
              </w:rPr>
              <w:t>28</w:t>
            </w:r>
          </w:p>
        </w:tc>
        <w:tc>
          <w:tcPr>
            <w:tcW w:w="2162" w:type="dxa"/>
          </w:tcPr>
          <w:p w14:paraId="3EF5E0DA" w14:textId="77777777" w:rsidR="004F44B0" w:rsidRDefault="001F4DFD">
            <w:pPr>
              <w:pStyle w:val="Compact"/>
            </w:pPr>
            <w:r>
              <w:t>Must match auxiliary, population, geometry</w:t>
            </w:r>
          </w:p>
        </w:tc>
      </w:tr>
      <w:tr w:rsidR="004F44B0" w14:paraId="56BF1CAA" w14:textId="77777777">
        <w:trPr>
          <w:cantSplit/>
        </w:trPr>
        <w:tc>
          <w:tcPr>
            <w:tcW w:w="2880" w:type="dxa"/>
          </w:tcPr>
          <w:p w14:paraId="4F3B990A" w14:textId="77777777" w:rsidR="004F44B0" w:rsidRDefault="001F4DFD">
            <w:pPr>
              <w:pStyle w:val="Compact"/>
            </w:pPr>
            <w:r>
              <w:rPr>
                <w:rStyle w:val="VerbatimChar"/>
              </w:rPr>
              <w:t>year</w:t>
            </w:r>
          </w:p>
        </w:tc>
        <w:tc>
          <w:tcPr>
            <w:tcW w:w="2160" w:type="dxa"/>
          </w:tcPr>
          <w:p w14:paraId="3C6AF49E" w14:textId="77777777" w:rsidR="004F44B0" w:rsidRDefault="001F4DFD">
            <w:pPr>
              <w:pStyle w:val="Compact"/>
            </w:pPr>
            <w:r>
              <w:t>Time period</w:t>
            </w:r>
          </w:p>
        </w:tc>
        <w:tc>
          <w:tcPr>
            <w:tcW w:w="2158" w:type="dxa"/>
          </w:tcPr>
          <w:p w14:paraId="6E371F06" w14:textId="77777777" w:rsidR="004F44B0" w:rsidRDefault="001F4DFD">
            <w:pPr>
              <w:pStyle w:val="Compact"/>
            </w:pPr>
            <w:r>
              <w:rPr>
                <w:rStyle w:val="VerbatimChar"/>
              </w:rPr>
              <w:t>2012</w:t>
            </w:r>
          </w:p>
        </w:tc>
        <w:tc>
          <w:tcPr>
            <w:tcW w:w="2162" w:type="dxa"/>
          </w:tcPr>
          <w:p w14:paraId="53AE09E9" w14:textId="77777777" w:rsidR="004F44B0" w:rsidRDefault="001F4DFD">
            <w:pPr>
              <w:pStyle w:val="Compact"/>
            </w:pPr>
            <w:r>
              <w:t>One value per survey round</w:t>
            </w:r>
          </w:p>
        </w:tc>
      </w:tr>
      <w:tr w:rsidR="004F44B0" w14:paraId="3A001EBE" w14:textId="77777777">
        <w:trPr>
          <w:cantSplit/>
        </w:trPr>
        <w:tc>
          <w:tcPr>
            <w:tcW w:w="2880" w:type="dxa"/>
          </w:tcPr>
          <w:p w14:paraId="7CBB8A9C" w14:textId="77777777" w:rsidR="004F44B0" w:rsidRDefault="001F4DFD">
            <w:pPr>
              <w:pStyle w:val="Compact"/>
            </w:pPr>
            <w:r>
              <w:rPr>
                <w:rStyle w:val="VerbatimChar"/>
              </w:rPr>
              <w:t>weight</w:t>
            </w:r>
          </w:p>
        </w:tc>
        <w:tc>
          <w:tcPr>
            <w:tcW w:w="2160" w:type="dxa"/>
          </w:tcPr>
          <w:p w14:paraId="41C16F3E" w14:textId="77777777" w:rsidR="004F44B0" w:rsidRDefault="001F4DFD">
            <w:pPr>
              <w:pStyle w:val="Compact"/>
            </w:pPr>
            <w:r>
              <w:t>Survey weight</w:t>
            </w:r>
          </w:p>
        </w:tc>
        <w:tc>
          <w:tcPr>
            <w:tcW w:w="2158" w:type="dxa"/>
          </w:tcPr>
          <w:p w14:paraId="34D57F02" w14:textId="77777777" w:rsidR="004F44B0" w:rsidRDefault="001F4DFD">
            <w:pPr>
              <w:pStyle w:val="Compact"/>
            </w:pPr>
            <w:r>
              <w:rPr>
                <w:rStyle w:val="VerbatimChar"/>
              </w:rPr>
              <w:t>347.7</w:t>
            </w:r>
          </w:p>
        </w:tc>
        <w:tc>
          <w:tcPr>
            <w:tcW w:w="2162" w:type="dxa"/>
          </w:tcPr>
          <w:p w14:paraId="7D762F43" w14:textId="77777777" w:rsidR="004F44B0" w:rsidRDefault="001F4DFD">
            <w:pPr>
              <w:pStyle w:val="Compact"/>
            </w:pPr>
            <w:r>
              <w:t>Positive; non-response adjusted</w:t>
            </w:r>
          </w:p>
        </w:tc>
      </w:tr>
      <w:tr w:rsidR="004F44B0" w14:paraId="11A86890" w14:textId="77777777">
        <w:trPr>
          <w:cantSplit/>
        </w:trPr>
        <w:tc>
          <w:tcPr>
            <w:tcW w:w="2880" w:type="dxa"/>
          </w:tcPr>
          <w:p w14:paraId="31A82D2D" w14:textId="77777777" w:rsidR="004F44B0" w:rsidRDefault="001F4DFD">
            <w:pPr>
              <w:pStyle w:val="Compact"/>
            </w:pPr>
            <w:r>
              <w:rPr>
                <w:rStyle w:val="VerbatimChar"/>
              </w:rPr>
              <w:t>welfare</w:t>
            </w:r>
          </w:p>
        </w:tc>
        <w:tc>
          <w:tcPr>
            <w:tcW w:w="2160" w:type="dxa"/>
          </w:tcPr>
          <w:p w14:paraId="1BD9DC22" w14:textId="77777777" w:rsidR="004F44B0" w:rsidRDefault="001F4DFD">
            <w:pPr>
              <w:pStyle w:val="Compact"/>
            </w:pPr>
            <w:r>
              <w:t>Income/consumption</w:t>
            </w:r>
          </w:p>
        </w:tc>
        <w:tc>
          <w:tcPr>
            <w:tcW w:w="2158" w:type="dxa"/>
          </w:tcPr>
          <w:p w14:paraId="0FDED474" w14:textId="77777777" w:rsidR="004F44B0" w:rsidRDefault="001F4DFD">
            <w:pPr>
              <w:pStyle w:val="Compact"/>
            </w:pPr>
            <w:r>
              <w:rPr>
                <w:rStyle w:val="VerbatimChar"/>
              </w:rPr>
              <w:t>9778.7</w:t>
            </w:r>
          </w:p>
        </w:tc>
        <w:tc>
          <w:tcPr>
            <w:tcW w:w="2162" w:type="dxa"/>
          </w:tcPr>
          <w:p w14:paraId="72892048" w14:textId="77777777" w:rsidR="004F44B0" w:rsidRDefault="001F4DFD">
            <w:pPr>
              <w:pStyle w:val="Compact"/>
            </w:pPr>
            <w:r>
              <w:t>Per capita or adult-equivalent</w:t>
            </w:r>
          </w:p>
        </w:tc>
      </w:tr>
      <w:tr w:rsidR="004F44B0" w14:paraId="47F48DCA" w14:textId="77777777">
        <w:trPr>
          <w:cantSplit/>
        </w:trPr>
        <w:tc>
          <w:tcPr>
            <w:tcW w:w="2880" w:type="dxa"/>
          </w:tcPr>
          <w:p w14:paraId="04C02047" w14:textId="77777777" w:rsidR="004F44B0" w:rsidRDefault="001F4DFD">
            <w:pPr>
              <w:pStyle w:val="Compact"/>
            </w:pPr>
            <w:r>
              <w:rPr>
                <w:rStyle w:val="VerbatimChar"/>
              </w:rPr>
              <w:t>povline</w:t>
            </w:r>
          </w:p>
        </w:tc>
        <w:tc>
          <w:tcPr>
            <w:tcW w:w="2160" w:type="dxa"/>
          </w:tcPr>
          <w:p w14:paraId="59A2ED9A" w14:textId="77777777" w:rsidR="004F44B0" w:rsidRDefault="001F4DFD">
            <w:pPr>
              <w:pStyle w:val="Compact"/>
            </w:pPr>
            <w:r>
              <w:t>Poverty line</w:t>
            </w:r>
          </w:p>
        </w:tc>
        <w:tc>
          <w:tcPr>
            <w:tcW w:w="2158" w:type="dxa"/>
          </w:tcPr>
          <w:p w14:paraId="5A82146C" w14:textId="77777777" w:rsidR="004F44B0" w:rsidRDefault="001F4DFD">
            <w:pPr>
              <w:pStyle w:val="Compact"/>
            </w:pPr>
            <w:r>
              <w:rPr>
                <w:rStyle w:val="VerbatimChar"/>
              </w:rPr>
              <w:t>6477.5</w:t>
            </w:r>
          </w:p>
        </w:tc>
        <w:tc>
          <w:tcPr>
            <w:tcW w:w="2162" w:type="dxa"/>
          </w:tcPr>
          <w:p w14:paraId="4B564727" w14:textId="77777777" w:rsidR="007E4E93" w:rsidRDefault="00E3560C">
            <w:r>
              <w:t>Poverty only: map this column, or enter one numeric line per survey year.</w:t>
            </w:r>
          </w:p>
        </w:tc>
      </w:tr>
      <w:tr w:rsidR="004F44B0" w14:paraId="5957B2E6" w14:textId="77777777">
        <w:trPr>
          <w:cantSplit/>
        </w:trPr>
        <w:tc>
          <w:tcPr>
            <w:tcW w:w="2880" w:type="dxa"/>
            <w:tcBorders>
              <w:bottom w:val="single" w:sz="12" w:space="0" w:color="000000"/>
            </w:tcBorders>
          </w:tcPr>
          <w:p w14:paraId="0BF06A6F" w14:textId="77777777" w:rsidR="004F44B0" w:rsidRDefault="001F4DFD">
            <w:pPr>
              <w:pStyle w:val="Compact"/>
            </w:pPr>
            <w:r>
              <w:rPr>
                <w:rStyle w:val="VerbatimChar"/>
              </w:rPr>
              <w:t>psu</w:t>
            </w:r>
          </w:p>
        </w:tc>
        <w:tc>
          <w:tcPr>
            <w:tcW w:w="2160" w:type="dxa"/>
            <w:tcBorders>
              <w:bottom w:val="single" w:sz="12" w:space="0" w:color="000000"/>
            </w:tcBorders>
          </w:tcPr>
          <w:p w14:paraId="212FD4F4" w14:textId="77777777" w:rsidR="004F44B0" w:rsidRDefault="001F4DFD">
            <w:pPr>
              <w:pStyle w:val="Compact"/>
            </w:pPr>
            <w:r>
              <w:t>Primary sampling unit</w:t>
            </w:r>
          </w:p>
        </w:tc>
        <w:tc>
          <w:tcPr>
            <w:tcW w:w="2158" w:type="dxa"/>
            <w:tcBorders>
              <w:bottom w:val="single" w:sz="12" w:space="0" w:color="000000"/>
            </w:tcBorders>
          </w:tcPr>
          <w:p w14:paraId="43096A0F" w14:textId="77777777" w:rsidR="004F44B0" w:rsidRDefault="001F4DFD">
            <w:pPr>
              <w:pStyle w:val="Compact"/>
            </w:pPr>
            <w:r>
              <w:rPr>
                <w:rStyle w:val="VerbatimChar"/>
              </w:rPr>
              <w:t>805</w:t>
            </w:r>
          </w:p>
        </w:tc>
        <w:tc>
          <w:tcPr>
            <w:tcW w:w="2162" w:type="dxa"/>
            <w:tcBorders>
              <w:bottom w:val="single" w:sz="12" w:space="0" w:color="000000"/>
            </w:tcBorders>
          </w:tcPr>
          <w:p w14:paraId="5B369DFC" w14:textId="77777777" w:rsidR="004F44B0" w:rsidRDefault="001F4DFD">
            <w:pPr>
              <w:pStyle w:val="Compact"/>
            </w:pPr>
            <w:r>
              <w:t>For design-based variances</w:t>
            </w:r>
          </w:p>
        </w:tc>
      </w:tr>
      <w:tr w:rsidR="004F44B0" w14:paraId="66B1582E" w14:textId="77777777">
        <w:trPr>
          <w:cantSplit/>
        </w:trPr>
        <w:tc>
          <w:tcPr>
            <w:tcW w:w="2880" w:type="dxa"/>
            <w:tcBorders>
              <w:bottom w:val="single" w:sz="12" w:space="0" w:color="000000"/>
            </w:tcBorders>
          </w:tcPr>
          <w:p w14:paraId="1477000B" w14:textId="77777777" w:rsidR="00DA5FFF" w:rsidRDefault="00622288">
            <w:pPr>
              <w:pStyle w:val="Compact"/>
            </w:pPr>
            <w:r>
              <w:rPr>
                <w:rStyle w:val="VerbatimChar"/>
              </w:rPr>
              <w:t xml:space="preserve">hhsize</w:t>
            </w:r>
          </w:p>
        </w:tc>
        <w:tc>
          <w:tcPr>
            <w:tcW w:w="2160" w:type="dxa"/>
            <w:tcBorders>
              <w:bottom w:val="single" w:sz="12" w:space="0" w:color="000000"/>
            </w:tcBorders>
          </w:tcPr>
          <w:p w14:paraId="34495B59" w14:textId="77777777" w:rsidR="00DA5FFF" w:rsidRDefault="00C32C6E">
            <w:pPr>
              <w:pStyle w:val="Compact"/>
            </w:pPr>
            <w:r>
              <w:t>Household size</w:t>
            </w:r>
          </w:p>
        </w:tc>
        <w:tc>
          <w:tcPr>
            <w:tcW w:w="2158" w:type="dxa"/>
            <w:tcBorders>
              <w:bottom w:val="single" w:sz="12" w:space="0" w:color="000000"/>
            </w:tcBorders>
          </w:tcPr>
          <w:p w14:paraId="7D422564" w14:textId="77777777" w:rsidR="00DA5FFF" w:rsidRDefault="00C32C6E">
            <w:pPr>
              <w:pStyle w:val="Compact"/>
            </w:pPr>
            <w:r>
              <w:rPr>
                <w:rStyle w:val="VerbatimChar"/>
              </w:rPr>
              <w:t>4</w:t>
            </w:r>
          </w:p>
        </w:tc>
        <w:tc>
          <w:tcPr>
            <w:tcW w:w="2162" w:type="dxa"/>
            <w:tcBorders>
              <w:bottom w:val="single" w:sz="12" w:space="0" w:color="000000"/>
            </w:tcBorders>
          </w:tcPr>
          <w:p w14:paraId="6DA17924" w14:textId="77777777" w:rsidR="007E4E93" w:rsidRDefault="00E3560C">
            <w:r>
              <w:t>Map hhsize for household records; use 1 for person records with person weights.</w:t>
            </w:r>
          </w:p>
        </w:tc>
      </w:tr>
    </w:tbl>
    <w:p w14:paraId="3C90D186" w14:textId="77777777" w:rsidR="004F44B0" w:rsidRDefault="001F4DFD">
      <w:pPr>
        <w:pStyle w:val="BodyText"/>
      </w:pPr>
      <w:r>
        <w:rPr>
          <w:b/>
        </w:rPr>
        <w:t>Auxiliary data (one row per area–year).</w:t>
      </w:r>
    </w:p>
    <w:p w14:paraId="1AC2E257" w14:textId="77777777" w:rsidR="004F44B0" w:rsidRDefault="001F4DFD">
      <w:pPr>
        <w:keepNext/>
        <w:spacing w:before="200" w:after="40" w:line="240" w:lineRule="auto"/>
        <w:jc w:val="center"/>
      </w:pPr>
      <w:r>
        <w:rPr>
          <w:rFonts w:cs="Times New Roman"/>
          <w:b/>
          <w:sz w:val="20"/>
        </w:rPr>
        <w:t>TABLE XIII</w:t>
      </w:r>
    </w:p>
    <w:p w14:paraId="4171E338"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3B59607" w14:textId="77777777">
        <w:trPr>
          <w:cantSplit/>
          <w:tblHeader/>
        </w:trPr>
        <w:tc>
          <w:tcPr>
            <w:tcW w:w="2880" w:type="dxa"/>
            <w:tcBorders>
              <w:top w:val="single" w:sz="12" w:space="0" w:color="000000"/>
              <w:bottom w:val="single" w:sz="4" w:space="0" w:color="000000"/>
            </w:tcBorders>
            <w:vAlign w:val="bottom"/>
          </w:tcPr>
          <w:p w14:paraId="4926BD5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E3AEFA6"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60897DB"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2B6A3C4" w14:textId="77777777" w:rsidR="004F44B0" w:rsidRDefault="001F4DFD">
            <w:pPr>
              <w:pStyle w:val="Compact"/>
            </w:pPr>
            <w:r>
              <w:rPr>
                <w:rFonts w:cs="Times New Roman"/>
                <w:smallCaps/>
              </w:rPr>
              <w:t>Notes</w:t>
            </w:r>
          </w:p>
        </w:tc>
      </w:tr>
      <w:tr w:rsidR="004F44B0" w14:paraId="4CDEF37E" w14:textId="77777777">
        <w:trPr>
          <w:cantSplit/>
        </w:trPr>
        <w:tc>
          <w:tcPr>
            <w:tcW w:w="2880" w:type="dxa"/>
          </w:tcPr>
          <w:p w14:paraId="48498640" w14:textId="77777777" w:rsidR="004F44B0" w:rsidRDefault="001F4DFD">
            <w:pPr>
              <w:pStyle w:val="Compact"/>
            </w:pPr>
            <w:r>
              <w:rPr>
                <w:rStyle w:val="VerbatimChar"/>
              </w:rPr>
              <w:t>domain</w:t>
            </w:r>
          </w:p>
        </w:tc>
        <w:tc>
          <w:tcPr>
            <w:tcW w:w="2160" w:type="dxa"/>
          </w:tcPr>
          <w:p w14:paraId="47B01AD1" w14:textId="77777777" w:rsidR="004F44B0" w:rsidRDefault="001F4DFD">
            <w:pPr>
              <w:pStyle w:val="Compact"/>
            </w:pPr>
            <w:r>
              <w:t>Area identifier</w:t>
            </w:r>
          </w:p>
        </w:tc>
        <w:tc>
          <w:tcPr>
            <w:tcW w:w="2158" w:type="dxa"/>
          </w:tcPr>
          <w:p w14:paraId="4A01AE66" w14:textId="77777777" w:rsidR="004F44B0" w:rsidRDefault="001F4DFD">
            <w:pPr>
              <w:pStyle w:val="Compact"/>
            </w:pPr>
            <w:r>
              <w:rPr>
                <w:rStyle w:val="VerbatimChar"/>
              </w:rPr>
              <w:t>28</w:t>
            </w:r>
          </w:p>
        </w:tc>
        <w:tc>
          <w:tcPr>
            <w:tcW w:w="2162" w:type="dxa"/>
          </w:tcPr>
          <w:p w14:paraId="3D8C5D2A" w14:textId="77777777" w:rsidR="004F44B0" w:rsidRDefault="001F4DFD">
            <w:pPr>
              <w:pStyle w:val="Compact"/>
            </w:pPr>
            <w:r>
              <w:t>Matches survey</w:t>
            </w:r>
          </w:p>
        </w:tc>
      </w:tr>
      <w:tr w:rsidR="004F44B0" w14:paraId="49598F6A" w14:textId="77777777">
        <w:trPr>
          <w:cantSplit/>
        </w:trPr>
        <w:tc>
          <w:tcPr>
            <w:tcW w:w="2880" w:type="dxa"/>
          </w:tcPr>
          <w:p w14:paraId="202FFD72" w14:textId="77777777" w:rsidR="004F44B0" w:rsidRDefault="001F4DFD">
            <w:pPr>
              <w:pStyle w:val="Compact"/>
            </w:pPr>
            <w:r>
              <w:rPr>
                <w:rStyle w:val="VerbatimChar"/>
              </w:rPr>
              <w:t>year</w:t>
            </w:r>
          </w:p>
        </w:tc>
        <w:tc>
          <w:tcPr>
            <w:tcW w:w="2160" w:type="dxa"/>
          </w:tcPr>
          <w:p w14:paraId="6C1ABBA1" w14:textId="77777777" w:rsidR="004F44B0" w:rsidRDefault="001F4DFD">
            <w:pPr>
              <w:pStyle w:val="Compact"/>
            </w:pPr>
            <w:r>
              <w:t>Time period</w:t>
            </w:r>
          </w:p>
        </w:tc>
        <w:tc>
          <w:tcPr>
            <w:tcW w:w="2158" w:type="dxa"/>
          </w:tcPr>
          <w:p w14:paraId="589CF8B0" w14:textId="77777777" w:rsidR="004F44B0" w:rsidRDefault="001F4DFD">
            <w:pPr>
              <w:pStyle w:val="Compact"/>
            </w:pPr>
            <w:r>
              <w:rPr>
                <w:rStyle w:val="VerbatimChar"/>
              </w:rPr>
              <w:t>2012</w:t>
            </w:r>
          </w:p>
        </w:tc>
        <w:tc>
          <w:tcPr>
            <w:tcW w:w="2162" w:type="dxa"/>
          </w:tcPr>
          <w:p w14:paraId="18FD52AE" w14:textId="77777777" w:rsidR="004F44B0" w:rsidRDefault="001F4DFD">
            <w:pPr>
              <w:pStyle w:val="Compact"/>
            </w:pPr>
            <w:r>
              <w:t>All target years</w:t>
            </w:r>
          </w:p>
        </w:tc>
      </w:tr>
      <w:tr w:rsidR="004F44B0" w14:paraId="445DB688" w14:textId="77777777">
        <w:trPr>
          <w:cantSplit/>
        </w:trPr>
        <w:tc>
          <w:tcPr>
            <w:tcW w:w="2880" w:type="dxa"/>
            <w:tcBorders>
              <w:bottom w:val="single" w:sz="12" w:space="0" w:color="000000"/>
            </w:tcBorders>
          </w:tcPr>
          <w:p w14:paraId="0BDFA3D0" w14:textId="77777777" w:rsidR="004F44B0" w:rsidRDefault="001F4DFD">
            <w:pPr>
              <w:pStyle w:val="Compact"/>
            </w:pPr>
            <w:r>
              <w:rPr>
                <w:rStyle w:val="VerbatimChar"/>
              </w:rPr>
              <w:t>x1, x2, …</w:t>
            </w:r>
          </w:p>
        </w:tc>
        <w:tc>
          <w:tcPr>
            <w:tcW w:w="2160" w:type="dxa"/>
            <w:tcBorders>
              <w:bottom w:val="single" w:sz="12" w:space="0" w:color="000000"/>
            </w:tcBorders>
          </w:tcPr>
          <w:p w14:paraId="1D9C0EEC" w14:textId="77777777" w:rsidR="004F44B0" w:rsidRDefault="001F4DFD">
            <w:pPr>
              <w:pStyle w:val="Compact"/>
            </w:pPr>
            <w:r>
              <w:t>Covariates</w:t>
            </w:r>
          </w:p>
        </w:tc>
        <w:tc>
          <w:tcPr>
            <w:tcW w:w="2158" w:type="dxa"/>
            <w:tcBorders>
              <w:bottom w:val="single" w:sz="12" w:space="0" w:color="000000"/>
            </w:tcBorders>
          </w:tcPr>
          <w:p w14:paraId="06F53B98" w14:textId="77777777" w:rsidR="004F44B0" w:rsidRDefault="001F4DFD">
            <w:pPr>
              <w:pStyle w:val="Compact"/>
            </w:pPr>
            <w:r>
              <w:rPr>
                <w:rStyle w:val="VerbatimChar"/>
              </w:rPr>
              <w:t>0.43</w:t>
            </w:r>
          </w:p>
        </w:tc>
        <w:tc>
          <w:tcPr>
            <w:tcW w:w="2162" w:type="dxa"/>
            <w:tcBorders>
              <w:bottom w:val="single" w:sz="12" w:space="0" w:color="000000"/>
            </w:tcBorders>
          </w:tcPr>
          <w:p w14:paraId="08FBF11E" w14:textId="77777777" w:rsidR="004F44B0" w:rsidRDefault="001F4DFD">
            <w:pPr>
              <w:pStyle w:val="Compact"/>
            </w:pPr>
            <w:r>
              <w:t>Complete for all areas; means/proportions</w:t>
            </w:r>
          </w:p>
        </w:tc>
      </w:tr>
    </w:tbl>
    <w:p w14:paraId="5A3066CE" w14:textId="77777777" w:rsidR="004F44B0" w:rsidRDefault="001F4DFD">
      <w:pPr>
        <w:pStyle w:val="BodyText"/>
      </w:pPr>
      <w:r>
        <w:rPr>
          <w:b/>
        </w:rPr>
        <w:t>Population data (optional; one row per area-year). If omitted, the app derives domain populations from sum(weight x household size).</w:t>
      </w:r>
    </w:p>
    <w:p w14:paraId="0DE4E027" w14:textId="77777777" w:rsidR="004F44B0" w:rsidRDefault="001F4DFD">
      <w:pPr>
        <w:keepNext/>
        <w:spacing w:before="200" w:after="40" w:line="240" w:lineRule="auto"/>
        <w:jc w:val="center"/>
      </w:pPr>
      <w:r>
        <w:rPr>
          <w:rFonts w:cs="Times New Roman"/>
          <w:b/>
          <w:sz w:val="20"/>
        </w:rPr>
        <w:t>TABLE XIV</w:t>
      </w:r>
    </w:p>
    <w:p w14:paraId="2078008D"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40733A7" w14:textId="77777777">
        <w:trPr>
          <w:cantSplit/>
          <w:tblHeader/>
        </w:trPr>
        <w:tc>
          <w:tcPr>
            <w:tcW w:w="2880" w:type="dxa"/>
            <w:tcBorders>
              <w:top w:val="single" w:sz="12" w:space="0" w:color="000000"/>
              <w:bottom w:val="single" w:sz="4" w:space="0" w:color="000000"/>
            </w:tcBorders>
            <w:vAlign w:val="bottom"/>
          </w:tcPr>
          <w:p w14:paraId="36B9E68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14CDC9EC"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5C8266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5A75CB5A" w14:textId="77777777" w:rsidR="004F44B0" w:rsidRDefault="001F4DFD">
            <w:pPr>
              <w:pStyle w:val="Compact"/>
            </w:pPr>
            <w:r>
              <w:rPr>
                <w:rFonts w:cs="Times New Roman"/>
                <w:smallCaps/>
              </w:rPr>
              <w:t>Notes</w:t>
            </w:r>
          </w:p>
        </w:tc>
      </w:tr>
      <w:tr w:rsidR="004F44B0" w14:paraId="186E914E" w14:textId="77777777">
        <w:trPr>
          <w:cantSplit/>
        </w:trPr>
        <w:tc>
          <w:tcPr>
            <w:tcW w:w="2880" w:type="dxa"/>
          </w:tcPr>
          <w:p w14:paraId="53558674" w14:textId="77777777" w:rsidR="004F44B0" w:rsidRDefault="001F4DFD">
            <w:pPr>
              <w:pStyle w:val="Compact"/>
            </w:pPr>
            <w:r>
              <w:rPr>
                <w:rStyle w:val="VerbatimChar"/>
              </w:rPr>
              <w:t>domain</w:t>
            </w:r>
          </w:p>
        </w:tc>
        <w:tc>
          <w:tcPr>
            <w:tcW w:w="2160" w:type="dxa"/>
          </w:tcPr>
          <w:p w14:paraId="1313E27D" w14:textId="77777777" w:rsidR="004F44B0" w:rsidRDefault="001F4DFD">
            <w:pPr>
              <w:pStyle w:val="Compact"/>
            </w:pPr>
            <w:r>
              <w:t>Area identifier</w:t>
            </w:r>
          </w:p>
        </w:tc>
        <w:tc>
          <w:tcPr>
            <w:tcW w:w="2158" w:type="dxa"/>
          </w:tcPr>
          <w:p w14:paraId="7CE4A0C9" w14:textId="77777777" w:rsidR="004F44B0" w:rsidRDefault="001F4DFD">
            <w:pPr>
              <w:pStyle w:val="Compact"/>
            </w:pPr>
            <w:r>
              <w:rPr>
                <w:rStyle w:val="VerbatimChar"/>
              </w:rPr>
              <w:t>28</w:t>
            </w:r>
          </w:p>
        </w:tc>
        <w:tc>
          <w:tcPr>
            <w:tcW w:w="2162" w:type="dxa"/>
          </w:tcPr>
          <w:p w14:paraId="69F934E1" w14:textId="77777777" w:rsidR="004F44B0" w:rsidRDefault="001F4DFD">
            <w:pPr>
              <w:pStyle w:val="Compact"/>
            </w:pPr>
            <w:r>
              <w:t>Matches survey</w:t>
            </w:r>
          </w:p>
        </w:tc>
      </w:tr>
      <w:tr w:rsidR="004F44B0" w14:paraId="3C5C3267" w14:textId="77777777">
        <w:trPr>
          <w:cantSplit/>
        </w:trPr>
        <w:tc>
          <w:tcPr>
            <w:tcW w:w="2880" w:type="dxa"/>
          </w:tcPr>
          <w:p w14:paraId="64C91096" w14:textId="77777777" w:rsidR="004F44B0" w:rsidRDefault="001F4DFD">
            <w:pPr>
              <w:pStyle w:val="Compact"/>
            </w:pPr>
            <w:r>
              <w:rPr>
                <w:rStyle w:val="VerbatimChar"/>
              </w:rPr>
              <w:t>year</w:t>
            </w:r>
          </w:p>
        </w:tc>
        <w:tc>
          <w:tcPr>
            <w:tcW w:w="2160" w:type="dxa"/>
          </w:tcPr>
          <w:p w14:paraId="108E2DA0" w14:textId="77777777" w:rsidR="004F44B0" w:rsidRDefault="001F4DFD">
            <w:pPr>
              <w:pStyle w:val="Compact"/>
            </w:pPr>
            <w:r>
              <w:t>Time period</w:t>
            </w:r>
          </w:p>
        </w:tc>
        <w:tc>
          <w:tcPr>
            <w:tcW w:w="2158" w:type="dxa"/>
          </w:tcPr>
          <w:p w14:paraId="39791284" w14:textId="77777777" w:rsidR="004F44B0" w:rsidRDefault="001F4DFD">
            <w:pPr>
              <w:pStyle w:val="Compact"/>
            </w:pPr>
            <w:r>
              <w:rPr>
                <w:rStyle w:val="VerbatimChar"/>
              </w:rPr>
              <w:t>2012</w:t>
            </w:r>
          </w:p>
        </w:tc>
        <w:tc>
          <w:tcPr>
            <w:tcW w:w="2162" w:type="dxa"/>
          </w:tcPr>
          <w:p w14:paraId="74C81F0D" w14:textId="77777777" w:rsidR="004F44B0" w:rsidRDefault="004F44B0"/>
        </w:tc>
      </w:tr>
      <w:tr w:rsidR="004F44B0" w14:paraId="7FA684AE" w14:textId="77777777">
        <w:trPr>
          <w:cantSplit/>
        </w:trPr>
        <w:tc>
          <w:tcPr>
            <w:tcW w:w="2880" w:type="dxa"/>
            <w:tcBorders>
              <w:bottom w:val="single" w:sz="12" w:space="0" w:color="000000"/>
            </w:tcBorders>
          </w:tcPr>
          <w:p w14:paraId="38067CD9" w14:textId="77777777" w:rsidR="004F44B0" w:rsidRDefault="001F4DFD">
            <w:pPr>
              <w:pStyle w:val="Compact"/>
            </w:pPr>
            <w:r>
              <w:rPr>
                <w:rStyle w:val="VerbatimChar"/>
              </w:rPr>
              <w:t>N</w:t>
            </w:r>
          </w:p>
        </w:tc>
        <w:tc>
          <w:tcPr>
            <w:tcW w:w="2160" w:type="dxa"/>
            <w:tcBorders>
              <w:bottom w:val="single" w:sz="12" w:space="0" w:color="000000"/>
            </w:tcBorders>
          </w:tcPr>
          <w:p w14:paraId="6BF06C18" w14:textId="77777777" w:rsidR="004F44B0" w:rsidRDefault="001F4DFD">
            <w:pPr>
              <w:pStyle w:val="Compact"/>
            </w:pPr>
            <w:r>
              <w:t>Population size</w:t>
            </w:r>
          </w:p>
        </w:tc>
        <w:tc>
          <w:tcPr>
            <w:tcW w:w="2158" w:type="dxa"/>
            <w:tcBorders>
              <w:bottom w:val="single" w:sz="12" w:space="0" w:color="000000"/>
            </w:tcBorders>
          </w:tcPr>
          <w:p w14:paraId="016FB7B4" w14:textId="77777777" w:rsidR="004F44B0" w:rsidRDefault="001F4DFD">
            <w:pPr>
              <w:pStyle w:val="Compact"/>
            </w:pPr>
            <w:r>
              <w:rPr>
                <w:rStyle w:val="VerbatimChar"/>
              </w:rPr>
              <w:t>645123</w:t>
            </w:r>
          </w:p>
        </w:tc>
        <w:tc>
          <w:tcPr>
            <w:tcW w:w="2162" w:type="dxa"/>
            <w:tcBorders>
              <w:bottom w:val="single" w:sz="12" w:space="0" w:color="000000"/>
            </w:tcBorders>
          </w:tcPr>
          <w:p w14:paraId="35E725EB" w14:textId="77777777" w:rsidR="004F44B0" w:rsidRDefault="001F4DFD">
            <w:pPr>
              <w:pStyle w:val="Compact"/>
            </w:pPr>
            <w:r>
              <w:t>For benchmarking and aggregation</w:t>
            </w:r>
          </w:p>
        </w:tc>
      </w:tr>
    </w:tbl>
    <w:p w14:paraId="323D0A7D" w14:textId="77777777" w:rsidR="004F44B0" w:rsidRDefault="001F4DFD">
      <w:pPr>
        <w:pStyle w:val="BodyText"/>
      </w:pPr>
      <w:r>
        <w:rPr>
          <w:b/>
        </w:rPr>
        <w:t>Geometry (one row per area).</w:t>
      </w:r>
    </w:p>
    <w:p w14:paraId="6AC819E0" w14:textId="77777777" w:rsidR="004F44B0" w:rsidRDefault="001F4DFD">
      <w:pPr>
        <w:keepNext/>
        <w:spacing w:before="200" w:after="40" w:line="240" w:lineRule="auto"/>
        <w:jc w:val="center"/>
      </w:pPr>
      <w:r>
        <w:rPr>
          <w:rFonts w:cs="Times New Roman"/>
          <w:b/>
          <w:sz w:val="20"/>
        </w:rPr>
        <w:t>TABLE XV</w:t>
      </w:r>
    </w:p>
    <w:p w14:paraId="1995969F"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0FFFDFB1" w14:textId="77777777">
        <w:trPr>
          <w:cantSplit/>
          <w:tblHeader/>
        </w:trPr>
        <w:tc>
          <w:tcPr>
            <w:tcW w:w="2880" w:type="dxa"/>
            <w:tcBorders>
              <w:top w:val="single" w:sz="12" w:space="0" w:color="000000"/>
              <w:bottom w:val="single" w:sz="4" w:space="0" w:color="000000"/>
            </w:tcBorders>
            <w:vAlign w:val="bottom"/>
          </w:tcPr>
          <w:p w14:paraId="1AC0092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42B401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1A473516"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8CC4856" w14:textId="77777777" w:rsidR="004F44B0" w:rsidRDefault="001F4DFD">
            <w:pPr>
              <w:pStyle w:val="Compact"/>
            </w:pPr>
            <w:r>
              <w:rPr>
                <w:rFonts w:cs="Times New Roman"/>
                <w:smallCaps/>
              </w:rPr>
              <w:t>Notes</w:t>
            </w:r>
          </w:p>
        </w:tc>
      </w:tr>
      <w:tr w:rsidR="004F44B0" w14:paraId="4601A442" w14:textId="77777777">
        <w:trPr>
          <w:cantSplit/>
        </w:trPr>
        <w:tc>
          <w:tcPr>
            <w:tcW w:w="2880" w:type="dxa"/>
          </w:tcPr>
          <w:p w14:paraId="6635319C" w14:textId="77777777" w:rsidR="004F44B0" w:rsidRDefault="001F4DFD">
            <w:pPr>
              <w:pStyle w:val="Compact"/>
            </w:pPr>
            <w:r>
              <w:rPr>
                <w:rStyle w:val="VerbatimChar"/>
              </w:rPr>
              <w:t>domain</w:t>
            </w:r>
          </w:p>
        </w:tc>
        <w:tc>
          <w:tcPr>
            <w:tcW w:w="2160" w:type="dxa"/>
          </w:tcPr>
          <w:p w14:paraId="21BD233D" w14:textId="77777777" w:rsidR="004F44B0" w:rsidRDefault="001F4DFD">
            <w:pPr>
              <w:pStyle w:val="Compact"/>
            </w:pPr>
            <w:r>
              <w:t>Area code</w:t>
            </w:r>
          </w:p>
        </w:tc>
        <w:tc>
          <w:tcPr>
            <w:tcW w:w="2158" w:type="dxa"/>
          </w:tcPr>
          <w:p w14:paraId="6FFD8E69" w14:textId="77777777" w:rsidR="004F44B0" w:rsidRDefault="001F4DFD">
            <w:pPr>
              <w:pStyle w:val="Compact"/>
            </w:pPr>
            <w:r>
              <w:rPr>
                <w:rStyle w:val="VerbatimChar"/>
              </w:rPr>
              <w:t>28</w:t>
            </w:r>
          </w:p>
        </w:tc>
        <w:tc>
          <w:tcPr>
            <w:tcW w:w="2162" w:type="dxa"/>
          </w:tcPr>
          <w:p w14:paraId="6D4D3546" w14:textId="77777777" w:rsidR="004F44B0" w:rsidRDefault="001F4DFD">
            <w:pPr>
              <w:pStyle w:val="Compact"/>
            </w:pPr>
            <w:r>
              <w:t>Matches all files exactly</w:t>
            </w:r>
          </w:p>
        </w:tc>
      </w:tr>
      <w:tr w:rsidR="004F44B0" w14:paraId="23194149" w14:textId="77777777">
        <w:trPr>
          <w:cantSplit/>
        </w:trPr>
        <w:tc>
          <w:tcPr>
            <w:tcW w:w="2880" w:type="dxa"/>
          </w:tcPr>
          <w:p w14:paraId="48074C1F" w14:textId="77777777" w:rsidR="004F44B0" w:rsidRDefault="001F4DFD">
            <w:pPr>
              <w:pStyle w:val="Compact"/>
            </w:pPr>
            <w:r>
              <w:rPr>
                <w:rStyle w:val="VerbatimChar"/>
              </w:rPr>
              <w:lastRenderedPageBreak/>
              <w:t>name</w:t>
            </w:r>
          </w:p>
        </w:tc>
        <w:tc>
          <w:tcPr>
            <w:tcW w:w="2160" w:type="dxa"/>
          </w:tcPr>
          <w:p w14:paraId="5B001A6D" w14:textId="77777777" w:rsidR="004F44B0" w:rsidRDefault="001F4DFD">
            <w:pPr>
              <w:pStyle w:val="Compact"/>
            </w:pPr>
            <w:r>
              <w:t>Area name</w:t>
            </w:r>
          </w:p>
        </w:tc>
        <w:tc>
          <w:tcPr>
            <w:tcW w:w="2158" w:type="dxa"/>
          </w:tcPr>
          <w:p w14:paraId="2E02A748" w14:textId="77777777" w:rsidR="004F44B0" w:rsidRDefault="001F4DFD">
            <w:pPr>
              <w:pStyle w:val="Compact"/>
            </w:pPr>
            <w:r>
              <w:rPr>
                <w:rStyle w:val="VerbatimChar"/>
              </w:rPr>
              <w:t>Madrid</w:t>
            </w:r>
          </w:p>
        </w:tc>
        <w:tc>
          <w:tcPr>
            <w:tcW w:w="2162" w:type="dxa"/>
          </w:tcPr>
          <w:p w14:paraId="36D84D46" w14:textId="77777777" w:rsidR="004F44B0" w:rsidRDefault="001F4DFD">
            <w:pPr>
              <w:pStyle w:val="Compact"/>
            </w:pPr>
            <w:r>
              <w:t>For labelling</w:t>
            </w:r>
          </w:p>
        </w:tc>
      </w:tr>
      <w:tr w:rsidR="004F44B0" w14:paraId="76BFAB98" w14:textId="77777777">
        <w:trPr>
          <w:cantSplit/>
        </w:trPr>
        <w:tc>
          <w:tcPr>
            <w:tcW w:w="2880" w:type="dxa"/>
            <w:tcBorders>
              <w:bottom w:val="single" w:sz="12" w:space="0" w:color="000000"/>
            </w:tcBorders>
          </w:tcPr>
          <w:p w14:paraId="1AEA529B" w14:textId="77777777" w:rsidR="004F44B0" w:rsidRDefault="001F4DFD">
            <w:pPr>
              <w:pStyle w:val="Compact"/>
            </w:pPr>
            <w:r>
              <w:rPr>
                <w:rStyle w:val="VerbatimChar"/>
              </w:rPr>
              <w:t>geometry</w:t>
            </w:r>
          </w:p>
        </w:tc>
        <w:tc>
          <w:tcPr>
            <w:tcW w:w="2160" w:type="dxa"/>
            <w:tcBorders>
              <w:bottom w:val="single" w:sz="12" w:space="0" w:color="000000"/>
            </w:tcBorders>
          </w:tcPr>
          <w:p w14:paraId="2A6FC9EB" w14:textId="77777777" w:rsidR="004F44B0" w:rsidRDefault="001F4DFD">
            <w:pPr>
              <w:pStyle w:val="Compact"/>
            </w:pPr>
            <w:r>
              <w:t>Polygon</w:t>
            </w:r>
          </w:p>
        </w:tc>
        <w:tc>
          <w:tcPr>
            <w:tcW w:w="2158" w:type="dxa"/>
            <w:tcBorders>
              <w:bottom w:val="single" w:sz="12" w:space="0" w:color="000000"/>
            </w:tcBorders>
          </w:tcPr>
          <w:p w14:paraId="1DA20C66" w14:textId="77777777" w:rsidR="004F44B0" w:rsidRDefault="001F4DFD">
            <w:pPr>
              <w:pStyle w:val="Compact"/>
            </w:pPr>
            <w:r>
              <w:t>—</w:t>
            </w:r>
          </w:p>
        </w:tc>
        <w:tc>
          <w:tcPr>
            <w:tcW w:w="2162" w:type="dxa"/>
            <w:tcBorders>
              <w:bottom w:val="single" w:sz="12" w:space="0" w:color="000000"/>
            </w:tcBorders>
          </w:tcPr>
          <w:p w14:paraId="6CC2583A" w14:textId="77777777" w:rsidR="007E4E93" w:rsidRDefault="00E3560C">
            <w:r>
              <w:t>ESRI shapefile ZIP (.shp, .shx, .dbf), RDS, RData, GeoPackage, GeoJSON, JSON, KML, or GML.</w:t>
            </w:r>
          </w:p>
        </w:tc>
      </w:tr>
    </w:tbl>
    <w:p w14:paraId="3226D03E" w14:textId="77777777" w:rsidR="004F44B0" w:rsidRDefault="001F4DFD">
      <w:pPr>
        <w:pStyle w:val="BodyText"/>
      </w:pPr>
      <w:r>
        <w:rPr>
          <w:b/>
        </w:rPr>
        <w:t xml:space="preserve">Direct-estimate data.</w:t>
      </w:r>
      <w:r>
        <w:t xml:space="preserve"> Not an input: the wizard and the classic dashboard always compute direct estimates, sampling variances and cross-year covariances from the survey microdata (Sections 6 and 8.7).</w:t>
      </w:r>
    </w:p>
    <w:p w14:paraId="160FB544"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br/>
        <w:br/>
      </w:r>
      <w:r>
        <w:t>App Input Checklist</w:t>
      </w:r>
      <w:bookmarkEnd w:id="428"/>
    </w:p>
    <w:p w14:paraId="73A9A3E7" w14:textId="77777777" w:rsidR="004F44B0" w:rsidRDefault="001F4DFD">
      <w:pPr>
        <w:pStyle w:val="FirstParagraph"/>
      </w:pPr>
      <w:r>
        <w:t xml:space="preserve">Complete before clicking </w:t>
      </w:r>
      <w:r>
        <w:rPr>
          <w:b/>
        </w:rPr>
        <w:t>Check Data Readiness</w:t>
      </w:r>
      <w:r>
        <w:t>:</w:t>
      </w:r>
    </w:p>
    <w:p w14:paraId="4E01C995" w14:textId="77777777" w:rsidR="004F44B0" w:rsidRDefault="001F4DFD" w:rsidP="005020E2">
      <w:pPr>
        <w:pStyle w:val="Compact"/>
        <w:ind w:left="480"/>
      </w:pPr>
      <w:r>
        <w:t xml:space="preserve">☐ R 4.2 or later installed. RStudio Desktop optional; existing users can update it if Pandoc is missing or too old. Pandoc 2.17 or later available or downloadable by the launcher; preinstall for offline use. Required R packages installed or available for first-launch installation.</w:t>
      </w:r>
    </w:p>
    <w:p w14:paraId="359F2BED" w14:textId="77777777" w:rsidR="004F44B0" w:rsidRDefault="001F4DFD" w:rsidP="00321D16">
      <w:pPr>
        <w:pStyle w:val="Compact"/>
        <w:ind w:left="480"/>
      </w:pPr>
      <w:r>
        <w:t>☐ Survey file ready with year, domain, weight, household size, welfare, and the required survey-design variables. Poverty additionally requires a line column or year-specific numeric lines. Accepted formats include RDS/RData, CSV/TSV/TXT/DAT, Stata, SPSS, SAS, Parquet/Feather, and Excel.</w:t>
      </w:r>
    </w:p>
    <w:p w14:paraId="3664F1EC" w14:textId="77777777"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59A1C7DE" w14:textId="77777777" w:rsidR="004F44B0" w:rsidRDefault="001F4DFD" w:rsidP="00321D16">
      <w:pPr>
        <w:pStyle w:val="Compact"/>
        <w:ind w:left="480"/>
      </w:pPr>
      <w:r>
        <w:t>☐ Population file (optional) ready, by area and year. If omitted, the app estimates domain populations from the survey as sum(weight × household size).</w:t>
      </w:r>
    </w:p>
    <w:p w14:paraId="2E7D8763" w14:textId="77777777" w:rsidR="007E4E93" w:rsidRDefault="00E3560C">
      <w:pPr>
        <w:pStyle w:val="Compact"/>
        <w:ind w:left="480"/>
      </w:pPr>
      <w:r>
        <w:t xml:space="preserve">☐ Benchmark target file (optional) for the same welfare concept, prices, population, and benchmark areas as the analysis.</w:t>
      </w:r>
    </w:p>
    <w:p w14:paraId="20BF9E7C" w14:textId="77777777" w:rsidR="004F44B0" w:rsidRDefault="001F4DFD" w:rsidP="00321D16">
      <w:pPr>
        <w:pStyle w:val="Compact"/>
        <w:ind w:left="480"/>
      </w:pPr>
      <w:r>
        <w:t>☐ Geometry file ready, with an area code that matches the other files exactly.</w:t>
      </w:r>
    </w:p>
    <w:p w14:paraId="722FB364"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2B01F3F2" w14:textId="77777777" w:rsidR="004F44B0" w:rsidRDefault="001F4DFD" w:rsidP="00321D16">
      <w:pPr>
        <w:pStyle w:val="Compact"/>
        <w:ind w:left="480"/>
      </w:pPr>
      <w:r>
        <w:t>☐ Exactly two survey years selected. Income reference years checked separately when a price index is used.</w:t>
      </w:r>
    </w:p>
    <w:p w14:paraId="04F8650F" w14:textId="77777777" w:rsidR="004F44B0" w:rsidRDefault="001F4DFD" w:rsidP="00321D16">
      <w:pPr>
        <w:pStyle w:val="Compact"/>
        <w:ind w:left="480"/>
      </w:pPr>
      <w:r>
        <w:t>☐ Indicator chosen (poverty FGT or mean welfare); FGT order selected if applicable.</w:t>
      </w:r>
    </w:p>
    <w:p w14:paraId="48499145" w14:textId="77777777" w:rsidR="007E4E93" w:rsidRDefault="00E3560C">
      <w:pPr>
        <w:pStyle w:val="Compact"/>
        <w:ind w:left="480"/>
      </w:pPr>
      <w:r>
        <w:t xml:space="preserve">☐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4956CCF9" w14:textId="77777777" w:rsidR="004F44B0" w:rsidRDefault="001F4DFD" w:rsidP="00321D16">
      <w:pPr>
        <w:pStyle w:val="Compact"/>
        <w:ind w:left="480"/>
      </w:pPr>
      <w:r>
        <w:t xml:space="preserve">☐ For poverty only, choose a mapped line column or a positive numeric line for each survey year. </w:t>
      </w:r>
      <w:r>
        <w:t xml:space="preserve">For anchored poverty, enter each survey year’s anchored line as a numeric value, or prepare a line column before loading the data (Section 11.11); the app does not calculate it from the CPI.</w:t>
      </w:r>
    </w:p>
    <w:p w14:paraId="22023C2F" w14:textId="77777777" w:rsidR="004F44B0" w:rsidRDefault="001F4DFD" w:rsidP="00321D16">
      <w:pPr>
        <w:pStyle w:val="Compact"/>
        <w:ind w:left="480"/>
      </w:pPr>
      <w:r>
        <w:t>☐ Variable mapping completed for every role.</w:t>
      </w:r>
    </w:p>
    <w:p w14:paraId="4ACB94BD" w14:textId="77777777" w:rsidR="00DA5FFF" w:rsidRDefault="00C32C6E" w:rsidP="00321D16">
      <w:pPr>
        <w:pStyle w:val="Compact"/>
        <w:ind w:left="480"/>
      </w:pPr>
      <w:r>
        <w:t>☐ Household-size column mapped. For person records with person weights, use a constant-one column. Map the benchmark group field when grouped benchmarking is used.</w:t>
      </w:r>
    </w:p>
    <w:p w14:paraId="7F16034D" w14:textId="77777777" w:rsidR="004F44B0" w:rsidRDefault="001F4DFD" w:rsidP="00321D16">
      <w:pPr>
        <w:pStyle w:val="Compact"/>
        <w:ind w:left="480"/>
      </w:pPr>
      <w:r>
        <w:lastRenderedPageBreak/>
        <w:t>☐ PSU consistency assessed and recorded. Sampling-covariance choice reflects the design; the checkbox alone does not change estimation.</w:t>
      </w:r>
    </w:p>
    <w:p w14:paraId="0A89AFB7"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5F26B401" w14:textId="77777777" w:rsidR="004F44B0" w:rsidRDefault="001F4DFD" w:rsidP="00321D16">
      <w:pPr>
        <w:pStyle w:val="Compact"/>
        <w:ind w:left="480"/>
      </w:pPr>
      <w:r>
        <w:t xml:space="preserve">☐ Transformation, variance, covariance, LASSO-screening, and AIC/BIC model-selection settings reviewed (defaults are a sound start).</w:t>
      </w:r>
    </w:p>
    <w:p w14:paraId="6AD470DD" w14:textId="77777777" w:rsidR="004F44B0" w:rsidRDefault="001F4DFD" w:rsidP="00321D16">
      <w:pPr>
        <w:pStyle w:val="Compact"/>
        <w:ind w:left="480"/>
      </w:pPr>
      <w:r>
        <w:t>☐ AI assistant left disconnected unless aggregate-only sharing is cleared.</w:t>
      </w:r>
    </w:p>
    <w:p w14:paraId="72FABAB4"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br/>
        <w:br/>
      </w:r>
      <w:r>
        <w:t>Model Diagnostics Checklist</w:t>
      </w:r>
      <w:bookmarkEnd w:id="431"/>
    </w:p>
    <w:p w14:paraId="17D9854D" w14:textId="77777777" w:rsidR="004F44B0" w:rsidRDefault="001F4DFD">
      <w:pPr>
        <w:pStyle w:val="FirstParagraph"/>
      </w:pPr>
      <w:r>
        <w:rPr>
          <w:b/>
        </w:rPr>
        <w:t>UFH (per year):</w:t>
      </w:r>
    </w:p>
    <w:p w14:paraId="0EDBA2D5" w14:textId="77777777" w:rsidR="004F44B0" w:rsidRDefault="001F4DFD" w:rsidP="00321D16">
      <w:pPr>
        <w:pStyle w:val="Compact"/>
        <w:ind w:left="480"/>
      </w:pPr>
      <w:r>
        <w:t xml:space="preserve">☐ Model endpoint is usable; positive or zero variance is supported by numerical checks and sensitivity review.</w:t>
      </w:r>
    </w:p>
    <w:p w14:paraId="1B028046" w14:textId="77777777" w:rsidR="004F44B0" w:rsidRDefault="001F4DFD" w:rsidP="00321D16">
      <w:pPr>
        <w:pStyle w:val="Compact"/>
        <w:ind w:left="480"/>
      </w:pPr>
      <w:r>
        <w:t>☐ Residuals-versus-fitted plot shows no systematic structure.</w:t>
      </w:r>
    </w:p>
    <w:p w14:paraId="49FFCE6D" w14:textId="77777777" w:rsidR="004F44B0" w:rsidRDefault="001F4DFD" w:rsidP="00321D16">
      <w:pPr>
        <w:pStyle w:val="Compact"/>
        <w:ind w:left="480"/>
      </w:pPr>
      <w:r>
        <w:t xml:space="preserve">☐ Normality plots reviewed as descriptive diagnostics; correlated residuals do not supply exact independent-sample normality tests.</w:t>
      </w:r>
    </w:p>
    <w:p w14:paraId="759F12FF" w14:textId="77777777" w:rsidR="004F44B0" w:rsidRDefault="001F4DFD" w:rsidP="00321D16">
      <w:pPr>
        <w:pStyle w:val="Compact"/>
        <w:ind w:left="480"/>
      </w:pPr>
      <w:r>
        <w:t>☐ Outlying areas identified and explained.</w:t>
      </w:r>
    </w:p>
    <w:p w14:paraId="72A8B3F3" w14:textId="77777777" w:rsidR="004F44B0" w:rsidRDefault="001F4DFD" w:rsidP="00321D16">
      <w:pPr>
        <w:pStyle w:val="Compact"/>
        <w:ind w:left="480"/>
      </w:pPr>
      <w:r>
        <w:t>☐ UFH-versus-direct scatter behaves sensibly (tracks precise direct estimates).</w:t>
      </w:r>
    </w:p>
    <w:p w14:paraId="4D0C6019" w14:textId="77777777" w:rsidR="004F44B0" w:rsidRDefault="001F4DFD" w:rsidP="00321D16">
      <w:pPr>
        <w:pStyle w:val="Compact"/>
        <w:ind w:left="480"/>
      </w:pPr>
      <w:r>
        <w:t>☐ CV reduction relative to direct estimates is material.</w:t>
      </w:r>
    </w:p>
    <w:p w14:paraId="6ECF6B6E" w14:textId="77777777" w:rsidR="004F44B0" w:rsidRDefault="001F4DFD" w:rsidP="00321D16">
      <w:pPr>
        <w:pStyle w:val="Compact"/>
        <w:ind w:left="480"/>
      </w:pPr>
      <w:r>
        <w:t>☐ Benchmarking gap to trusted totals is acceptable.</w:t>
      </w:r>
    </w:p>
    <w:p w14:paraId="26595EB0" w14:textId="77777777" w:rsidR="004F44B0" w:rsidRDefault="001F4DFD">
      <w:pPr>
        <w:pStyle w:val="FirstParagraph"/>
      </w:pPr>
      <w:r>
        <w:rPr>
          <w:b/>
        </w:rPr>
        <w:t>MFH (additional):</w:t>
      </w:r>
    </w:p>
    <w:p w14:paraId="4D924600" w14:textId="77777777" w:rsidR="004F44B0" w:rsidRDefault="001F4DFD" w:rsidP="00321D16">
      <w:pPr>
        <w:pStyle w:val="Compact"/>
        <w:ind w:left="480"/>
      </w:pPr>
      <w:r>
        <w:t xml:space="preserve">☐ MFH REML score, curvature, boundary checks and refit diagnostics reviewed; selected annual MSE and MCPE use accepted joint bootstrap draws.</w:t>
      </w:r>
    </w:p>
    <w:p w14:paraId="7F94537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785260BB"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0B55CCD0" w14:textId="77777777" w:rsidR="004F44B0" w:rsidRDefault="001F4DFD" w:rsidP="00321D16">
      <w:pPr>
        <w:pStyle w:val="Compact"/>
        <w:ind w:left="480"/>
      </w:pPr>
      <w:r>
        <w:t>☐ Residual and normality diagnostics acceptable for each year.</w:t>
      </w:r>
    </w:p>
    <w:p w14:paraId="759F0A2C" w14:textId="77777777" w:rsidR="004F44B0" w:rsidRDefault="001F4DFD" w:rsidP="00321D16">
      <w:pPr>
        <w:pStyle w:val="Compact"/>
        <w:ind w:left="480"/>
      </w:pPr>
      <w:r>
        <w:t>☐ MFH estimates consistent with UFH and direct, except where smoothing is expected.</w:t>
      </w:r>
    </w:p>
    <w:p w14:paraId="7156262E" w14:textId="77777777" w:rsidR="004F44B0" w:rsidRDefault="001F4DFD" w:rsidP="00321D16">
      <w:pPr>
        <w:pStyle w:val="Compact"/>
        <w:ind w:left="480"/>
      </w:pPr>
      <w:r>
        <w:t>☐ Trends stable and not driven by a single noisy year.</w:t>
      </w:r>
    </w:p>
    <w:p w14:paraId="110397A4" w14:textId="77777777" w:rsidR="004F44B0" w:rsidRDefault="001F4DFD" w:rsidP="00321D16">
      <w:pPr>
        <w:pStyle w:val="Compact"/>
        <w:ind w:left="480"/>
      </w:pPr>
      <w:r>
        <w:t>☐ Cross-year sampling covariance option appropriate to the survey design.</w:t>
      </w:r>
    </w:p>
    <w:p w14:paraId="51DD3BD4" w14:textId="77777777" w:rsidR="004F44B0" w:rsidRDefault="001F4DFD" w:rsidP="00321D16">
      <w:pPr>
        <w:pStyle w:val="Compact"/>
        <w:ind w:left="480"/>
      </w:pPr>
      <w:r>
        <w:t>☐ MCPE-based change uncertainty computed where changes are reported.</w:t>
      </w:r>
    </w:p>
    <w:p w14:paraId="2F4D1845"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br/>
        <w:br/>
      </w:r>
      <w:r>
        <w:t>Example App Walkthrough</w:t>
      </w:r>
      <w:bookmarkEnd w:id="434"/>
    </w:p>
    <w:p w14:paraId="3BA8EA41" w14:textId="77777777" w:rsidR="004F44B0" w:rsidRDefault="001F4DFD">
      <w:pPr>
        <w:pStyle w:val="FirstParagraph"/>
      </w:pPr>
      <w:r>
        <w:t>Section 11 is the main wizard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5A2F9BA0" w14:textId="77777777" w:rsidR="004F44B0" w:rsidRDefault="001F4DFD">
      <w:pPr>
        <w:pStyle w:val="Compact"/>
        <w:numPr>
          <w:ilvl w:val="0"/>
          <w:numId w:val="9"/>
        </w:numPr>
      </w:pPr>
      <w:r>
        <w:rPr>
          <w:b/>
        </w:rPr>
        <w:t>Launch the wizard. Open Start_Here and double-click Start_Wizard.bat on Windows or Start_Wizard.command on macOS. On Linux, run bash Start_Here/Start_Wizard.command. Keep the launcher open, wait for dependency checks, and select Start an analysis.</w:t>
      </w:r>
    </w:p>
    <w:p w14:paraId="6F72250F" w14:textId="77777777" w:rsidR="004F44B0" w:rsidRDefault="001F4DFD">
      <w:pPr>
        <w:pStyle w:val="Compact"/>
        <w:numPr>
          <w:ilvl w:val="0"/>
          <w:numId w:val="9"/>
        </w:numPr>
      </w:pPr>
      <w:r>
        <w:rPr>
          <w:b/>
        </w:rPr>
        <w:t>Step 1 Data. Select exactly two survey years, record a seed and run label, and load the required survey, auxiliary, and geometry files. Add population data if used and a CPI file if converting current-price welfare.</w:t>
      </w:r>
    </w:p>
    <w:p w14:paraId="0904ABC9" w14:textId="77777777" w:rsidR="004F44B0" w:rsidRDefault="001F4DFD">
      <w:pPr>
        <w:pStyle w:val="Compact"/>
        <w:numPr>
          <w:ilvl w:val="0"/>
          <w:numId w:val="9"/>
        </w:numPr>
      </w:pPr>
      <w:r>
        <w:rPr>
          <w:b/>
        </w:rPr>
        <w:t>Check the files. Domain codes must match. For ESRI shapefiles, upload a ZIP containing .shp, .shx, and .dbf. CPI rows use the relevant calendar income years, not automatically the survey years.</w:t>
      </w:r>
    </w:p>
    <w:p w14:paraId="133EF0E6" w14:textId="77777777" w:rsidR="004F44B0" w:rsidRDefault="001F4DFD">
      <w:pPr>
        <w:pStyle w:val="Compact"/>
        <w:numPr>
          <w:ilvl w:val="0"/>
          <w:numId w:val="9"/>
        </w:numPr>
      </w:pPr>
      <w:r>
        <w:rPr>
          <w:b/>
        </w:rPr>
        <w:t>Step 2 Mapping. Map survey year, domain, welfare, weight, household size, and design variables; map the auxiliary and geometry domain keys. Confirm a valid per-capita or equivalized welfare measure.</w:t>
      </w:r>
    </w:p>
    <w:p w14:paraId="70AC67D7" w14:textId="77777777" w:rsidR="004F44B0" w:rsidRDefault="001F4DFD">
      <w:pPr>
        <w:pStyle w:val="Compact"/>
        <w:numPr>
          <w:ilvl w:val="0"/>
          <w:numId w:val="9"/>
        </w:numPr>
      </w:pPr>
      <w:r>
        <w:rPr>
          <w:b/>
        </w:rPr>
        <w:t>Step 3 Indicator. For headcounts, select Poverty (FGT) and FGT(0); for real mean welfare, select Mean welfare and the appropriate real-price route.</w:t>
      </w:r>
    </w:p>
    <w:p w14:paraId="21189D77" w14:textId="77777777" w:rsidR="004F44B0" w:rsidRDefault="001F4DFD">
      <w:pPr>
        <w:pStyle w:val="Compact"/>
        <w:numPr>
          <w:ilvl w:val="0"/>
          <w:numId w:val="9"/>
        </w:numPr>
      </w:pPr>
      <w:r>
        <w:rPr>
          <w:b/>
        </w:rPr>
        <w:t xml:space="preserve">Set the line or price basis. Use year-specific lines (Section 11.10), </w:t>
      </w:r>
      <w:r>
        <w:rPr>
          <w:b/>
        </w:rPr>
        <w:t xml:space="preserve">anchored lines entered as numeric values or as a column (Section 11.11)</w:t>
      </w:r>
      <w:r>
        <w:rPr>
          <w:b/>
        </w:rPr>
        <w:t xml:space="preserve">, or already-real/CPI-converted welfare (Section 11.12). A poverty line is unnecessary for mean welfare.</w:t>
      </w:r>
    </w:p>
    <w:p w14:paraId="485DA989" w14:textId="77777777" w:rsidR="004F44B0" w:rsidRDefault="001F4DFD">
      <w:pPr>
        <w:pStyle w:val="Compact"/>
        <w:numPr>
          <w:ilvl w:val="0"/>
          <w:numId w:val="9"/>
        </w:numPr>
      </w:pPr>
      <w:r>
        <w:rPr>
          <w:b/>
        </w:rPr>
        <w:t xml:space="preserve">Step 4 Models. Keep UFH, MFH, and Comparison selected. Review transformations, model-specific corrections, covariates, variance and covariance inputs, benchmarking, MFH selection and bootstrap settings.</w:t>
      </w:r>
    </w:p>
    <w:p w14:paraId="4C3DB54D" w14:textId="77777777" w:rsidR="004F44B0" w:rsidRDefault="001F4DFD">
      <w:pPr>
        <w:pStyle w:val="Compact"/>
        <w:numPr>
          <w:ilvl w:val="0"/>
          <w:numId w:val="9"/>
        </w:numPr>
      </w:pPr>
      <w:r>
        <w:rPr>
          <w:b/>
        </w:rPr>
        <w:t>Record survey-design assessment. Check PSU meanings across years and choose the sampling-covariance option accordingly. The PSU checkbox records the assessment only.</w:t>
      </w:r>
    </w:p>
    <w:p w14:paraId="76611E37" w14:textId="77777777" w:rsidR="004F44B0" w:rsidRDefault="001F4DFD">
      <w:pPr>
        <w:pStyle w:val="Compact"/>
        <w:numPr>
          <w:ilvl w:val="0"/>
          <w:numId w:val="9"/>
        </w:numPr>
      </w:pPr>
      <w:r>
        <w:rPr>
          <w:b/>
        </w:rPr>
        <w:t>Step 5 AI Assistant. Leave AI off unless an approved provider or gateway, API key, and external-transfer acknowledgment are available. AI is optional and does not change the statistical estimates.</w:t>
      </w:r>
    </w:p>
    <w:p w14:paraId="06D11C9E" w14:textId="77777777" w:rsidR="004F44B0" w:rsidRDefault="001F4DFD">
      <w:pPr>
        <w:pStyle w:val="Compact"/>
        <w:numPr>
          <w:ilvl w:val="0"/>
          <w:numId w:val="9"/>
        </w:numPr>
      </w:pPr>
      <w:r>
        <w:rPr>
          <w:b/>
        </w:rPr>
        <w:t>Step 6 Review and Run. Review all settings and Preflight, then select 1. Check Data Readiness. Resolve flagged domain, estimate, variance, covariate, and price-index problems before selecting 2. Run Analysis.</w:t>
      </w:r>
    </w:p>
    <w:p w14:paraId="1F439DF6" w14:textId="77777777" w:rsidR="004F44B0" w:rsidRDefault="001F4DFD">
      <w:pPr>
        <w:pStyle w:val="Compact"/>
        <w:numPr>
          <w:ilvl w:val="0"/>
          <w:numId w:val="9"/>
        </w:numPr>
      </w:pPr>
      <w:r>
        <w:rPr>
          <w:b/>
        </w:rPr>
        <w:lastRenderedPageBreak/>
        <w:t>Run and monitor. Follow the live log and progress display. Stop ends a run early; a stopped run is not archived.</w:t>
      </w:r>
    </w:p>
    <w:p w14:paraId="000FA191"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72B5D7D1" w14:textId="77777777" w:rsidR="004F44B0" w:rsidRDefault="001F4DFD">
      <w:pPr>
        <w:pStyle w:val="FirstParagraph"/>
      </w:pPr>
      <w:r>
        <w:t xml:space="preserve">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45256A35"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br/>
        <w:br/>
      </w:r>
      <w:r>
        <w:t>Troubleshooting Guide</w:t>
      </w:r>
      <w:bookmarkEnd w:id="437"/>
    </w:p>
    <w:p w14:paraId="47684F7E" w14:textId="77777777" w:rsidR="004F44B0" w:rsidRDefault="001F4DFD">
      <w:pPr>
        <w:keepNext/>
        <w:spacing w:before="200" w:after="40" w:line="240" w:lineRule="auto"/>
        <w:jc w:val="center"/>
      </w:pPr>
      <w:r>
        <w:rPr>
          <w:rFonts w:cs="Times New Roman"/>
          <w:b/>
          <w:sz w:val="20"/>
        </w:rPr>
        <w:t>TABLE XVI</w:t>
      </w:r>
    </w:p>
    <w:p w14:paraId="07BE5F42"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1CA1513B" w14:textId="77777777">
        <w:trPr>
          <w:cantSplit/>
          <w:tblHeader/>
        </w:trPr>
        <w:tc>
          <w:tcPr>
            <w:tcW w:w="2880" w:type="dxa"/>
            <w:tcBorders>
              <w:top w:val="single" w:sz="12" w:space="0" w:color="000000"/>
              <w:bottom w:val="single" w:sz="4" w:space="0" w:color="000000"/>
            </w:tcBorders>
            <w:vAlign w:val="bottom"/>
          </w:tcPr>
          <w:p w14:paraId="2D590938"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4BC3838F"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269AD31A" w14:textId="77777777" w:rsidR="004F44B0" w:rsidRDefault="001F4DFD">
            <w:pPr>
              <w:pStyle w:val="Compact"/>
            </w:pPr>
            <w:r>
              <w:rPr>
                <w:rFonts w:cs="Times New Roman"/>
                <w:smallCaps/>
              </w:rPr>
              <w:t>Remedy</w:t>
            </w:r>
          </w:p>
        </w:tc>
      </w:tr>
      <w:tr w:rsidR="004F44B0" w14:paraId="6F53C89B" w14:textId="77777777">
        <w:trPr>
          <w:cantSplit/>
        </w:trPr>
        <w:tc>
          <w:tcPr>
            <w:tcW w:w="2880" w:type="dxa"/>
          </w:tcPr>
          <w:p w14:paraId="73B61487" w14:textId="77777777" w:rsidR="004F44B0" w:rsidRDefault="001F4DFD">
            <w:pPr>
              <w:pStyle w:val="Compact"/>
            </w:pPr>
            <w:r>
              <w:t>Readiness check reports a missing variable</w:t>
            </w:r>
          </w:p>
        </w:tc>
        <w:tc>
          <w:tcPr>
            <w:tcW w:w="3238" w:type="dxa"/>
          </w:tcPr>
          <w:p w14:paraId="2B3E85EA" w14:textId="77777777" w:rsidR="004F44B0" w:rsidRDefault="001F4DFD">
            <w:pPr>
              <w:pStyle w:val="Compact"/>
            </w:pPr>
            <w:r>
              <w:t>A mapped column name is wrong or absent</w:t>
            </w:r>
          </w:p>
        </w:tc>
        <w:tc>
          <w:tcPr>
            <w:tcW w:w="3242" w:type="dxa"/>
          </w:tcPr>
          <w:p w14:paraId="18A43A0D" w14:textId="77777777" w:rsidR="004F44B0" w:rsidRDefault="001F4DFD">
            <w:pPr>
              <w:pStyle w:val="Compact"/>
            </w:pPr>
            <w:r>
              <w:t>Re-check the variable mapping (Section 11.4) against the actual column names</w:t>
            </w:r>
          </w:p>
        </w:tc>
      </w:tr>
      <w:tr w:rsidR="004F44B0" w14:paraId="348BBCE8" w14:textId="77777777">
        <w:trPr>
          <w:cantSplit/>
        </w:trPr>
        <w:tc>
          <w:tcPr>
            <w:tcW w:w="2880" w:type="dxa"/>
          </w:tcPr>
          <w:p w14:paraId="7C43D1E0" w14:textId="77777777" w:rsidR="004F44B0" w:rsidRDefault="001F4DFD">
            <w:pPr>
              <w:pStyle w:val="Compact"/>
            </w:pPr>
            <w:r>
              <w:t>Areas appear blank on the map; domain inconsistency flagged</w:t>
            </w:r>
          </w:p>
        </w:tc>
        <w:tc>
          <w:tcPr>
            <w:tcW w:w="3238" w:type="dxa"/>
          </w:tcPr>
          <w:p w14:paraId="50D76A0C" w14:textId="77777777" w:rsidR="004F44B0" w:rsidRDefault="001F4DFD">
            <w:pPr>
              <w:pStyle w:val="Compact"/>
            </w:pPr>
            <w:r>
              <w:t>Area codes differ across files (type or value)</w:t>
            </w:r>
          </w:p>
        </w:tc>
        <w:tc>
          <w:tcPr>
            <w:tcW w:w="3242" w:type="dxa"/>
          </w:tcPr>
          <w:p w14:paraId="730C28F2" w14:textId="77777777" w:rsidR="004F44B0" w:rsidRDefault="001F4DFD">
            <w:pPr>
              <w:pStyle w:val="Compact"/>
            </w:pPr>
            <w:r>
              <w:t xml:space="preserve">Harmonize codes to a single type and value set (Section 4.2)</w:t>
            </w:r>
          </w:p>
        </w:tc>
      </w:tr>
      <w:tr w:rsidR="004F44B0" w14:paraId="66D0FD06" w14:textId="77777777">
        <w:trPr>
          <w:cantSplit/>
        </w:trPr>
        <w:tc>
          <w:tcPr>
            <w:tcW w:w="2880" w:type="dxa"/>
          </w:tcPr>
          <w:p w14:paraId="6FDAE6D2" w14:textId="77777777" w:rsidR="004F44B0" w:rsidRDefault="001F4DFD">
            <w:pPr>
              <w:pStyle w:val="Compact"/>
            </w:pPr>
            <w:r>
              <w:t>Missing poverty rates for some area–years</w:t>
            </w:r>
          </w:p>
        </w:tc>
        <w:tc>
          <w:tcPr>
            <w:tcW w:w="3238" w:type="dxa"/>
          </w:tcPr>
          <w:p w14:paraId="3BD5FEA0" w14:textId="77777777" w:rsidR="004F44B0" w:rsidRDefault="001F4DFD">
            <w:pPr>
              <w:pStyle w:val="Compact"/>
            </w:pPr>
            <w:r>
              <w:t>No sampled households, or all on one side of the line</w:t>
            </w:r>
          </w:p>
        </w:tc>
        <w:tc>
          <w:tcPr>
            <w:tcW w:w="3242" w:type="dxa"/>
          </w:tcPr>
          <w:p w14:paraId="1B960F2D" w14:textId="77777777" w:rsidR="004F44B0" w:rsidRDefault="001F4DFD">
            <w:pPr>
              <w:pStyle w:val="Compact"/>
            </w:pPr>
            <w:r>
              <w:t xml:space="preserve">Treat as small/zero-sample areas (Section 4.8); consider exclusion</w:t>
            </w:r>
          </w:p>
        </w:tc>
      </w:tr>
      <w:tr w:rsidR="004F44B0" w14:paraId="45BFC025" w14:textId="77777777">
        <w:trPr>
          <w:cantSplit/>
        </w:trPr>
        <w:tc>
          <w:tcPr>
            <w:tcW w:w="2880" w:type="dxa"/>
          </w:tcPr>
          <w:p w14:paraId="7A87BA8C" w14:textId="77777777" w:rsidR="004F44B0" w:rsidRDefault="001F4DFD">
            <w:pPr>
              <w:pStyle w:val="Compact"/>
            </w:pPr>
            <w:r>
              <w:t xml:space="preserve">MFH endpoint fails its numerical checks</w:t>
            </w:r>
          </w:p>
        </w:tc>
        <w:tc>
          <w:tcPr>
            <w:tcW w:w="3238" w:type="dxa"/>
          </w:tcPr>
          <w:p w14:paraId="440C983A" w14:textId="77777777" w:rsidR="004F44B0" w:rsidRDefault="001F4DFD">
            <w:pPr>
              <w:pStyle w:val="Compact"/>
            </w:pPr>
            <w:r>
              <w:t xml:space="preserve">Weak identification, difficult optimization or unstable sampling covariance</w:t>
            </w:r>
          </w:p>
        </w:tc>
        <w:tc>
          <w:tcPr>
            <w:tcW w:w="3242" w:type="dxa"/>
          </w:tcPr>
          <w:p w14:paraId="3238BD37" w14:textId="77777777" w:rsidR="004F44B0" w:rsidRDefault="001F4DFD">
            <w:pPr>
              <w:pStyle w:val="Compact"/>
            </w:pPr>
            <w:r>
              <w:t xml:space="preserve">Inspect score, curvature, boundary and covariance diagnostics; assess MFH2 or UFH sensitivity. Zero variance alone is not failure.</w:t>
            </w:r>
          </w:p>
        </w:tc>
      </w:tr>
      <w:tr w:rsidR="004F44B0" w14:paraId="300DA5D3" w14:textId="77777777">
        <w:trPr>
          <w:cantSplit/>
        </w:trPr>
        <w:tc>
          <w:tcPr>
            <w:tcW w:w="2880" w:type="dxa"/>
          </w:tcPr>
          <w:p w14:paraId="683B2B1F" w14:textId="77777777" w:rsidR="004F44B0" w:rsidRDefault="001F4DFD">
            <w:pPr>
              <w:pStyle w:val="Compact"/>
            </w:pPr>
            <w:r>
              <w:t>Invalid or zero sampling variances</w:t>
            </w:r>
          </w:p>
        </w:tc>
        <w:tc>
          <w:tcPr>
            <w:tcW w:w="3238" w:type="dxa"/>
          </w:tcPr>
          <w:p w14:paraId="40F242BE" w14:textId="77777777" w:rsidR="004F44B0" w:rsidRDefault="001F4DFD">
            <w:pPr>
              <w:pStyle w:val="Compact"/>
            </w:pPr>
            <w:r>
              <w:t>Unstable direct variances in small areas</w:t>
            </w:r>
          </w:p>
        </w:tc>
        <w:tc>
          <w:tcPr>
            <w:tcW w:w="3242" w:type="dxa"/>
          </w:tcPr>
          <w:p w14:paraId="28F73DE1" w14:textId="77777777" w:rsidR="004F44B0" w:rsidRDefault="001F4DFD">
            <w:pPr>
              <w:pStyle w:val="Compact"/>
            </w:pPr>
            <w:r>
              <w:t>Use a smoothing option (</w:t>
            </w:r>
            <w:r>
              <w:rPr>
                <w:rStyle w:val="VerbatimChar"/>
              </w:rPr>
              <w:t>sm_out</w:t>
            </w:r>
            <w:r>
              <w:t xml:space="preserve"> or </w:t>
            </w:r>
            <w:r>
              <w:rPr>
                <w:rStyle w:val="VerbatimChar"/>
              </w:rPr>
              <w:t>sm_all</w:t>
            </w:r>
            <w:r>
              <w:t xml:space="preserve">, Section 6.6)</w:t>
            </w:r>
          </w:p>
        </w:tc>
      </w:tr>
      <w:tr w:rsidR="004F44B0" w14:paraId="32122464" w14:textId="77777777">
        <w:trPr>
          <w:cantSplit/>
        </w:trPr>
        <w:tc>
          <w:tcPr>
            <w:tcW w:w="2880" w:type="dxa"/>
          </w:tcPr>
          <w:p w14:paraId="169F5543" w14:textId="77777777" w:rsidR="004F44B0" w:rsidRDefault="001F4DFD">
            <w:pPr>
              <w:pStyle w:val="Compact"/>
            </w:pPr>
            <w:r>
              <w:t>Map fails to render</w:t>
            </w:r>
          </w:p>
        </w:tc>
        <w:tc>
          <w:tcPr>
            <w:tcW w:w="3238" w:type="dxa"/>
          </w:tcPr>
          <w:p w14:paraId="7996BB5C" w14:textId="77777777" w:rsidR="00584771" w:rsidRDefault="00E04D84">
            <w:r>
              <w:t>Geometry missing, incomplete ESRI shapefile, or code does not match</w:t>
            </w:r>
          </w:p>
        </w:tc>
        <w:tc>
          <w:tcPr>
            <w:tcW w:w="3242" w:type="dxa"/>
          </w:tcPr>
          <w:p w14:paraId="269EB854" w14:textId="77777777" w:rsidR="00584771" w:rsidRDefault="00E04D84">
            <w:r>
              <w:t>For ESRI shapefiles, upload a .zip containing .shp, .shx, and .dbf; confirm the area code matches the data</w:t>
            </w:r>
          </w:p>
        </w:tc>
      </w:tr>
      <w:tr w:rsidR="004F44B0" w14:paraId="2FAD0CBF" w14:textId="77777777">
        <w:trPr>
          <w:cantSplit/>
        </w:trPr>
        <w:tc>
          <w:tcPr>
            <w:tcW w:w="2880" w:type="dxa"/>
          </w:tcPr>
          <w:p w14:paraId="7D0ADACE" w14:textId="77777777" w:rsidR="004F44B0" w:rsidRDefault="001F4DFD">
            <w:pPr>
              <w:pStyle w:val="Compact"/>
            </w:pPr>
            <w:r>
              <w:t>App will not start, or a package is missing</w:t>
            </w:r>
          </w:p>
        </w:tc>
        <w:tc>
          <w:tcPr>
            <w:tcW w:w="3238" w:type="dxa"/>
          </w:tcPr>
          <w:p w14:paraId="2478FFCF" w14:textId="77777777" w:rsidR="004F44B0" w:rsidRDefault="001F4DFD">
            <w:pPr>
              <w:pStyle w:val="Compact"/>
            </w:pPr>
            <w:r>
              <w:t>Installation incomplete, or R older than 4.2</w:t>
            </w:r>
          </w:p>
        </w:tc>
        <w:tc>
          <w:tcPr>
            <w:tcW w:w="3242" w:type="dxa"/>
          </w:tcPr>
          <w:p w14:paraId="50FA5C20" w14:textId="77777777" w:rsidR="004F44B0" w:rsidRDefault="001F4DFD">
            <w:pPr>
              <w:pStyle w:val="Compact"/>
            </w:pPr>
            <w:r>
              <w:t xml:space="preserve">Re-run </w:t>
            </w:r>
            <w:r>
              <w:rPr>
                <w:rStyle w:val="VerbatimChar"/>
              </w:rPr>
              <w:t>install_packages.R</w:t>
            </w:r>
            <w:r>
              <w:t>; update R; re-launch</w:t>
            </w:r>
          </w:p>
        </w:tc>
      </w:tr>
      <w:tr w:rsidR="004F44B0" w14:paraId="1F71719B" w14:textId="77777777">
        <w:trPr>
          <w:cantSplit/>
        </w:trPr>
        <w:tc>
          <w:tcPr>
            <w:tcW w:w="2880" w:type="dxa"/>
          </w:tcPr>
          <w:p w14:paraId="1CCEBC0D" w14:textId="77777777" w:rsidR="004F44B0" w:rsidRDefault="001F4DFD">
            <w:pPr>
              <w:pStyle w:val="Compact"/>
            </w:pPr>
            <w:r>
              <w:t>Change significance looks implausible</w:t>
            </w:r>
          </w:p>
        </w:tc>
        <w:tc>
          <w:tcPr>
            <w:tcW w:w="3238" w:type="dxa"/>
          </w:tcPr>
          <w:p w14:paraId="42110F32" w14:textId="77777777" w:rsidR="004F44B0" w:rsidRDefault="001F4DFD">
            <w:pPr>
              <w:pStyle w:val="Compact"/>
            </w:pPr>
            <w:r>
              <w:t>Cross-year sampling covariance mis-specified</w:t>
            </w:r>
          </w:p>
        </w:tc>
        <w:tc>
          <w:tcPr>
            <w:tcW w:w="3242" w:type="dxa"/>
          </w:tcPr>
          <w:p w14:paraId="2380CE27" w14:textId="77777777" w:rsidR="004F44B0" w:rsidRDefault="001F4DFD">
            <w:pPr>
              <w:pStyle w:val="Compact"/>
            </w:pPr>
            <w:r>
              <w:t xml:space="preserve">Set the covariance option to match the design (Section 8.7)</w:t>
            </w:r>
          </w:p>
        </w:tc>
      </w:tr>
      <w:tr w:rsidR="007E4E93" w14:paraId="6D219B00" w14:textId="77777777">
        <w:trPr>
          <w:cantSplit/>
        </w:trPr>
        <w:tc>
          <w:tcPr>
            <w:tcW w:w="2880" w:type="dxa"/>
          </w:tcPr>
          <w:p w14:paraId="5E200D11" w14:textId="77777777" w:rsidR="007E4E93" w:rsidRDefault="00E3560C">
            <w:r>
              <w:lastRenderedPageBreak/>
              <w:t>Word report missing but HTML exists</w:t>
            </w:r>
          </w:p>
        </w:tc>
        <w:tc>
          <w:tcPr>
            <w:tcW w:w="3238" w:type="dxa"/>
          </w:tcPr>
          <w:p w14:paraId="0EA22324" w14:textId="77777777" w:rsidR="007E4E93" w:rsidRDefault="00E3560C">
            <w:r>
              <w:t>Pandoc or the Word-conversion packages are unavailable</w:t>
            </w:r>
          </w:p>
        </w:tc>
        <w:tc>
          <w:tcPr>
            <w:tcW w:w="3242" w:type="dxa"/>
          </w:tcPr>
          <w:p w14:paraId="7D2AC702" w14:textId="77777777" w:rsidR="007E4E93" w:rsidRDefault="00E3560C">
            <w:r>
              <w:t>Check the run warning; ensure compatible Pandoc and R packages xml2 and zip. Install current compatible RStudio Desktop or standalone Pandoc for offline use; regenerate the report (Section 11.9).</w:t>
            </w:r>
          </w:p>
        </w:tc>
      </w:tr>
      <w:tr w:rsidR="007E4E93" w14:paraId="7FAB022B" w14:textId="77777777">
        <w:trPr>
          <w:cantSplit/>
        </w:trPr>
        <w:tc>
          <w:tcPr>
            <w:tcW w:w="2880" w:type="dxa"/>
          </w:tcPr>
          <w:p w14:paraId="3D4431D5" w14:textId="77777777" w:rsidR="007E4E93" w:rsidRDefault="00E3560C">
            <w:r>
              <w:t>CPI conversion reports missing years</w:t>
            </w:r>
          </w:p>
        </w:tc>
        <w:tc>
          <w:tcPr>
            <w:tcW w:w="3238" w:type="dxa"/>
          </w:tcPr>
          <w:p w14:paraId="7C388254" w14:textId="77777777" w:rsidR="007E4E93" w:rsidRDefault="00E3560C">
            <w:r>
              <w:t>Survey years were used instead of income years, the base-year index is absent, or the chain has gaps</w:t>
            </w:r>
          </w:p>
        </w:tc>
        <w:tc>
          <w:tcPr>
            <w:tcW w:w="3242" w:type="dxa"/>
          </w:tcPr>
          <w:p w14:paraId="1EECDB6F" w14:textId="77777777" w:rsidR="007E4E93" w:rsidRDefault="00E3560C">
            <w:r>
              <w:t>Check Incomes refer to, the selected CPI columns and format, and every required year (Section 11.12.3).</w:t>
            </w:r>
          </w:p>
        </w:tc>
      </w:tr>
      <w:tr w:rsidR="007E4E93" w14:paraId="57DE317D" w14:textId="77777777">
        <w:trPr>
          <w:cantSplit/>
        </w:trPr>
        <w:tc>
          <w:tcPr>
            <w:tcW w:w="2880" w:type="dxa"/>
          </w:tcPr>
          <w:p w14:paraId="5E7F2B72" w14:textId="77777777" w:rsidR="007E4E93" w:rsidRDefault="00E3560C">
            <w:r>
              <w:t>Real welfare changes look like nominal changes</w:t>
            </w:r>
          </w:p>
        </w:tc>
        <w:tc>
          <w:tcPr>
            <w:tcW w:w="3238" w:type="dxa"/>
          </w:tcPr>
          <w:p w14:paraId="4FB2B01F" w14:textId="77777777" w:rsidR="007E4E93" w:rsidRDefault="00E3560C">
            <w:r>
              <w:t>Current prices: no conversion was left selected</w:t>
            </w:r>
          </w:p>
        </w:tc>
        <w:tc>
          <w:tcPr>
            <w:tcW w:w="3242" w:type="dxa"/>
          </w:tcPr>
          <w:p w14:paraId="151B6AD5" w14:textId="77777777" w:rsidR="007E4E93" w:rsidRDefault="00E3560C">
            <w:r>
              <w:t>Choose the already-real route or CPI conversion to match the input; check the report price basis (Section 11.12).</w:t>
            </w:r>
          </w:p>
        </w:tc>
      </w:tr>
      <w:tr w:rsidR="007E4E93" w14:paraId="0C40196A" w14:textId="77777777">
        <w:trPr>
          <w:cantSplit/>
        </w:trPr>
        <w:tc>
          <w:tcPr>
            <w:tcW w:w="2880" w:type="dxa"/>
            <w:tcBorders>
              <w:bottom w:val="single" w:sz="12" w:space="0" w:color="000000"/>
            </w:tcBorders>
          </w:tcPr>
          <w:p w14:paraId="021D6686" w14:textId="77777777" w:rsidR="007E4E93" w:rsidRDefault="00E3560C">
            <w:r>
              <w:t>Anchored poverty does not use the uploaded CPI</w:t>
            </w:r>
          </w:p>
        </w:tc>
        <w:tc>
          <w:tcPr>
            <w:tcW w:w="3238" w:type="dxa"/>
            <w:tcBorders>
              <w:bottom w:val="single" w:sz="12" w:space="0" w:color="000000"/>
            </w:tcBorders>
          </w:tcPr>
          <w:p w14:paraId="3CF2DB8D" w14:textId="77777777" w:rsidR="007E4E93" w:rsidRDefault="00E3560C">
            <w:r>
              <w:t xml:space="preserve">The app does not calculate anchored lines from the CPI; poverty runs use the supplied line as is</w:t>
            </w:r>
          </w:p>
        </w:tc>
        <w:tc>
          <w:tcPr>
            <w:tcW w:w="3242" w:type="dxa"/>
            <w:tcBorders>
              <w:bottom w:val="single" w:sz="12" w:space="0" w:color="000000"/>
            </w:tcBorders>
          </w:tcPr>
          <w:p w14:paraId="4BDD84E5" w14:textId="77777777" w:rsidR="007E4E93" w:rsidRDefault="00E3560C">
            <w:r>
              <w:t xml:space="preserve">Prepare and verify anchored lines outside the app, </w:t>
            </w:r>
            <w:r>
              <w:t xml:space="preserve">then enter them as numeric values by survey year, or map the line column, with Poverty (FGT) and FGT(0) (Section 11.11).</w:t>
            </w:r>
          </w:p>
        </w:tc>
      </w:tr>
    </w:tbl>
    <w:p w14:paraId="121BB148"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br/>
        <w:br/>
      </w:r>
      <w:r>
        <w:t>Technical Notes</w:t>
      </w:r>
      <w:bookmarkEnd w:id="440"/>
    </w:p>
    <w:p w14:paraId="4B6CCC5B" w14:textId="77777777" w:rsidR="004F44B0" w:rsidRDefault="001F4DFD">
      <w:pPr>
        <w:pStyle w:val="FirstParagraph"/>
      </w:pPr>
      <w:r>
        <w:t xml:space="preserve">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 xml:space="preserve">ed</w:t>
      </w:r>
      <w:r>
        <w:t xml:space="preserve">² its sampling variance; Sections 6 to 8 write these as θ and ψ.</w:t>
      </w:r>
    </w:p>
    <w:p w14:paraId="27E8978D"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210AC38E"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xml:space="preserve">, the survey-weighted (Hájek) direct estimator of an FGT indicator is</w:t>
      </w:r>
    </w:p>
    <w:p w14:paraId="34FCF56E" w14:textId="77777777" w:rsidR="004F44B0" w:rsidRDefault="00E3560C">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w:rPr>
                  <w:rFonts w:ascii="Cambria Math" w:hAnsi="Cambria Math"/>
                </w:rPr>
                <m:t>,</m:t>
              </m:r>
              <m:r>
                <m:rPr>
                  <m:lit/>
                  <m:nor/>
                </m:rPr>
                <w:rPr>
                  <w:rFonts w:ascii="Cambria Math" w:hAnsi="Cambria Math"/>
                </w:rPr>
                <m:t>di</m:t>
              </m:r>
            </m:sub>
          </m:sSub>
          <m:r>
            <w:rPr>
              <w:rFonts w:ascii="Cambria Math" w:hAnsi="Cambria Math"/>
            </w:rPr>
            <m:t>,</m:t>
          </m:r>
        </m:oMath>
      </m:oMathPara>
    </w:p>
    <w:p w14:paraId="67604471"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pPr>
        <w:pStyle w:val="FirstParagraph"/>
      </w:pPr>
      <w:r>
        <w:t xml:space="preserve">In the package, the weights are population weights (survey weight × household size), so the denominator estimates the number of persons in the domain; for mean welfare, the FGT term is replaced by the welfare value. The package estimates the sampling variance of this Hájek mean by Taylor linearization with the R survey package (svydesign and svymean), using the PSUs as clusters, the strata where mapped and the population weights, without a finite-population correction (Section 4.7).</w:t>
      </w:r>
    </w:p>
    <w:p w14:paraId="732E87D4"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5B1DB59E" w14:textId="77777777" w:rsidR="004F44B0" w:rsidRDefault="001F4DFD">
      <w:pPr>
        <w:pStyle w:val="FirstParagraph"/>
      </w:pPr>
      <w:r>
        <w:t>Linking, sampling, and combined models:</w:t>
      </w:r>
    </w:p>
    <w:p w14:paraId="1DCD53EE" w14:textId="77777777" w:rsidR="004F44B0" w:rsidRDefault="00E3560C">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91989A8"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13C2D4B7" w14:textId="77777777" w:rsidR="004F44B0" w:rsidRDefault="00E3560C">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4672C6D"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20110F"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3B66E1" w14:textId="77777777" w:rsidR="004F44B0" w:rsidRDefault="00E3560C">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m:t>
              </m:r>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m:t>
              </m:r>
              <m:r>
                <w:rPr>
                  <w:rFonts w:ascii="Cambria Math" w:hAnsi="Cambria Math"/>
                </w:rPr>
                <m:t>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03E6BE7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46250D28" w14:textId="77777777" w:rsidR="004F44B0" w:rsidRDefault="001F4DFD">
      <w:pPr>
        <w:pStyle w:val="Heading2"/>
      </w:pPr>
      <w:bookmarkStart w:id="447" w:name="g.3-variance-smoothing"/>
      <w:bookmarkStart w:id="448" w:name="_Toc231387137"/>
      <w:bookmarkStart w:id="449" w:name="_Toc242266143"/>
      <w:r>
        <w:lastRenderedPageBreak/>
        <w:t>G.3 Variance smoothing</w:t>
      </w:r>
      <w:bookmarkEnd w:id="447"/>
      <w:bookmarkEnd w:id="448"/>
      <w:bookmarkEnd w:id="449"/>
    </w:p>
    <w:p w14:paraId="16768708" w14:textId="77777777" w:rsidR="004F44B0" w:rsidRDefault="001F4DFD">
      <w:pPr>
        <w:pStyle w:val="FirstParagraph"/>
      </w:pPr>
      <w:r>
        <w:t>The generalized variance function smooths unstable direct variances by regressing their logarithm on the log area sample size (Valliant, 1987; Wolter, 2007),</w:t>
      </w:r>
    </w:p>
    <w:p w14:paraId="5C270D07"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612BBE8D"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The sm_out threshold of 0.001 is application-specific; for log means it applies to the sampling variance of the log area mean. Arcsine fitting instead uses 1/(4 n_eff). Estimated working variances remain fixed in the bootstrap.</w:t>
      </w:r>
    </w:p>
    <w:p w14:paraId="663A0E79"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5C4A1D55"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pPr>
        <w:pStyle w:val="Normal"/>
      </w:pPr>
      <w:r>
        <w:t xml:space="preserve">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2543CDE" w14:textId="77777777" w:rsidR="004F44B0" w:rsidRDefault="001F4DFD">
      <w:pPr>
        <w:pStyle w:val="BodyText"/>
      </w:pPr>
      <w:r>
        <w:t xml:space="preserve">Log mean welfare. Both UFH and MFH transform the arithmetic Direct area mean after survey aggregation. The delta sampling variance is V/mean²; cross-year covariance becomes C/(mean1 × mean2). Individual zero and negative welfare is retained. Each modeled area mean must be positive and finite.</w:t>
      </w:r>
    </w:p>
    <w:p w14:paraId="14AFD536" w14:textId="77777777" w:rsidR="004F44B0" w:rsidRDefault="00E3560C">
      <w:pPr>
        <w:pStyle w:val="BodyText"/>
        <w:jc w:val="center"/>
      </w:pPr>
      <m:oMath>
        <m:r>
          <m:t>UFH bc_sm:  μ̂ = exp{η̂ + ½ Â(1 − γ̂)}</m:t>
        </m:r>
      </m:oMath>
    </w:p>
    <w:p w14:paraId="389333D0" w14:textId="77777777" w:rsidR="004F44B0" w:rsidRDefault="001F4DFD">
      <w:pPr>
        <w:pStyle w:val="FirstParagraph"/>
      </w:pPr>
      <w:r>
        <w:t xml:space="preserve">Here eta is the fitted log-area predictor, A is the UFH random-effect variance, gamma = A/(A + D), and D is the log-scale sampling variance. Native emdi bc_sm uses ML and its Slud–Maiti analytical MSE. Naive UFH uses exp(eta) from the same ML fit and original-scale bootstrap MSE. Neither uses empirical micro-log smearing.</w:t>
      </w:r>
    </w:p>
    <w:p>
      <w:pPr>
        <w:pStyle w:val="FirstParagraph"/>
      </w:pPr>
      <w:r>
        <w:t xml:space="preserve">MFH log models also transform the arithmetic Direct area means. Corrected currency predictions use the Gaussian conditional mean exp(eta + v/2), where v is the diagonal of G − G(G + R)⁻¹G. The naive option uses exp(eta). This multivariate extension is distinct from emdi’s univariate Slud–Maiti method; saved MFH settings named bc_sm are accepted as a legacy alias. Original-scale MSE and MCPE are estimated after inverse transformation inside the bootstrap. Native emdi bc_sm leaves corrected log predictions for unsampled areas unavailable. Benchmarking cannot proceed for an incomplete requested population; no ad hoc correction is substituted.</w:t>
      </w:r>
    </w:p>
    <w:p w14:paraId="02377913"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252C7E75"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6FC1CF5" w14:textId="77777777" w:rsidR="004F44B0"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00EFB44E"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06E4CAE3"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24822F0"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pPr>
        <w:pStyle w:val="Normal"/>
      </w:pPr>
      <w:r>
        <w:t xml:space="preserve">MFH2 uses stationary initialization, so its marginal variance is innovation variance/(1 − rho²). MFH3 starts from u0 ~ N(0,1), then u1 = rho × u0 + a1. This initial-state convention is used in fitting and simulation and makes MFH3 sensitive to the outcome scale.</w:t>
      </w:r>
    </w:p>
    <w:p w14:paraId="74710034"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2E21B720"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5E7B1BF7"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populations and estimated sampling covariance inputs are held fixed; variable-selection and variance-smoothing uncertainty are not included.</w:t>
      </w:r>
    </w:p>
    <w:p w14:paraId="33ECCEAA"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1EC113DF" w14:textId="77777777" w:rsidR="004F44B0"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702409C1" w14:textId="77777777" w:rsidR="004F44B0" w:rsidRDefault="001F4DFD">
      <w:pPr>
        <w:pStyle w:val="FirstParagraph"/>
      </w:pPr>
      <w:r>
        <w:t xml:space="preserve">each of which forces the population-weighted aggregate of the small-area estimates to equal the trusted total. The Dashboard uses the ratio form for both poverty rates and mean welfare (Section 7.12); the additive form is shown for reference.</w:t>
      </w:r>
    </w:p>
    <w:p w14:paraId="319736B6" w14:textId="77777777" w:rsidR="007E4E93" w:rsidRDefault="00E3560C">
      <w:pPr>
        <w:pStyle w:val="BodyText"/>
      </w:pPr>
      <w:r>
        <w:t xml:space="preserve">For log mean welfare, these ratio formulas use currency-scale predictions and currency targets after back-transformation. The complete adjustment is repeated inside every bootstrap draw. Original-scale MSE and MCPE describe that same final estimator.</w:t>
      </w:r>
    </w:p>
    <w:p w14:paraId="111AB8DD"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4932BA78"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A2872AC"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CC40B99"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47FDC1A0" w14:textId="77777777" w:rsidR="004F44B0" w:rsidRDefault="00E3560C">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6CF9F72E" w14:textId="77777777" w:rsidR="004F44B0" w:rsidRDefault="001F4DFD">
      <w:pPr>
        <w:pStyle w:val="FirstParagraph"/>
      </w:pPr>
      <w:r>
        <w:t xml:space="preserve">MCPE is estimated by the package bootstrap, building on code supplied by Prof. Isabel Molina, refined by Ifeanyi Nzegwu Edochie and integrated by the maintainer.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docs/METHODOLOGY_ALIGNMENT.md and docs/MCPE_VALIDATION_STATUS.md.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14:paraId="4C8C9AAB" w14:textId="77777777" w:rsidR="007E4E93" w:rsidRDefault="00E3560C">
      <w:pPr>
        <w:pStyle w:val="BodyText"/>
      </w:pPr>
      <w:r>
        <w:t>For mean welfare, the change is reported as a percentage of the earlier year's mean,</w:t>
      </w:r>
    </w:p>
    <w:p w14:paraId="49166ECF" w14:textId="77777777" w:rsidR="007E4E93" w:rsidRDefault="00E3560C">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m:t>
              </m:r>
              <m:r>
                <w:rPr>
                  <w:rFonts w:ascii="Cambria Math" w:hAnsi="Cambria Math"/>
                </w:rPr>
                <m:t>1</m:t>
              </m:r>
            </m:e>
          </m:d>
        </m:oMath>
      </m:oMathPara>
    </w:p>
    <w:p w14:paraId="7CA5C91F" w14:textId="77777777" w:rsidR="007E4E93" w:rsidRDefault="00E3560C">
      <w:pPr>
        <w:pStyle w:val="BodyText"/>
      </w:pPr>
      <w:r>
        <w:t>Inference uses the log of the ratio of the two means, with variance approximated by the delta method,</w:t>
      </w:r>
    </w:p>
    <w:p w14:paraId="7F21A6DD" w14:textId="77777777" w:rsidR="007E4E93" w:rsidRDefault="00E3560C">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90B6F2F" w14:textId="77777777" w:rsidR="007E4E93" w:rsidRDefault="00E3560C">
      <w:pPr>
        <w:pStyle w:val="BodyText"/>
      </w:pPr>
      <w:r>
        <w:t>and the interval</w:t>
      </w:r>
    </w:p>
    <w:p w14:paraId="56B54480" w14:textId="77777777" w:rsidR="007E4E93" w:rsidRDefault="00E3560C">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m:t>
              </m:r>
              <m:r>
                <w:rPr>
                  <w:rFonts w:ascii="Cambria Math" w:hAnsi="Cambria Math"/>
                </w:rPr>
                <m:t>1</m:t>
              </m:r>
            </m:e>
          </m:d>
        </m:oMath>
      </m:oMathPara>
    </w:p>
    <w:p w14:paraId="0311C7F5" w14:textId="77777777" w:rsidR="007E4E93" w:rsidRDefault="00E3560C">
      <w:pPr>
        <w:pStyle w:val="BodyText"/>
      </w:pPr>
      <w:r>
        <w:t xml:space="preserve">The interval is asymmetric and bounded below by −100%. MFH uses the jointly exported annual_mse_y1, annual_mse_y2 and annual_mcpe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5C30B33B" w14:textId="77777777" w:rsidR="004F44B0" w:rsidRDefault="001F4DFD">
      <w:pPr>
        <w:pStyle w:val="Heading2"/>
      </w:pPr>
      <w:bookmarkStart w:id="462" w:name="_Toc242266148"/>
      <w:r>
        <w:t>G.8 The sampling-error covariance matrix</w:t>
      </w:r>
      <w:bookmarkEnd w:id="462"/>
    </w:p>
    <w:p w14:paraId="5358C53D" w14:textId="77777777"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can be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0F9387BC" w14:textId="77777777" w:rsidR="004F44B0" w:rsidRDefault="001F4DFD">
      <w:pPr>
        <w:pStyle w:val="Heading2"/>
      </w:pPr>
      <w:bookmarkStart w:id="463" w:name="_Toc242266149"/>
      <w:r>
        <w:t>G.9 Constrained-REML safeguard for boundary MFH2 fits</w:t>
      </w:r>
      <w:bookmarkEnd w:id="463"/>
    </w:p>
    <w:p w14:paraId="29CAF138"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necessary using the same REML objective, exact gradients and several feasible starts; a usable original fit is preserved and an inferior refit is rejected. A valid zero random-effect covariance is allowed, including in bootstrap refits. The AR(1) correlation is bounded numerically at ±0.999999; an accepted endpoint approximates a limiting stationary fit and warrants sensitivity review.</w:t>
      </w:r>
    </w:p>
    <w:p w14:paraId="6994B47A" w14:textId="77777777" w:rsidR="004F44B0" w:rsidRDefault="001F4DFD">
      <w:pPr>
        <w:pStyle w:val="FirstParagraph"/>
      </w:pPr>
      <w:r>
        <w:t xml:space="preserve">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08DCA2EF" w14:textId="77777777" w:rsidR="00D56A60" w:rsidRDefault="0093390C">
      <w:pPr>
        <w:pStyle w:val="Heading2"/>
      </w:pPr>
      <w:bookmarkStart w:id="464" w:name="_Toc242266150"/>
      <w:r>
        <w:t>G.10 Covariance misspecification and the choice between MFH and STFH</w:t>
      </w:r>
      <w:bookmarkEnd w:id="464"/>
    </w:p>
    <w:p w14:paraId="136372E9"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693BFE14" w14:textId="77777777" w:rsidR="00D56A60" w:rsidRDefault="0093390C">
      <w:pPr>
        <w:pStyle w:val="BodyText"/>
      </w:pPr>
      <w:r>
        <w:t>Stacking all areas and years, the direct estimates can be written as</w:t>
      </w:r>
    </w:p>
    <w:p w14:paraId="3D8F3044" w14:textId="77777777" w:rsidR="00D56A60" w:rsidRDefault="00E3560C">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Xβ</m:t>
          </m:r>
          <m:r>
            <w:rPr>
              <w:rFonts w:ascii="Cambria Math" w:hAnsi="Cambria Math"/>
            </w:rPr>
            <m:t>+</m:t>
          </m:r>
          <m:r>
            <w:rPr>
              <w:rFonts w:ascii="Cambria Math" w:hAnsi="Cambria Math"/>
            </w:rPr>
            <m:t>u</m:t>
          </m:r>
          <m:r>
            <w:rPr>
              <w:rFonts w:ascii="Cambria Math" w:hAnsi="Cambria Math"/>
            </w:rPr>
            <m:t>+</m:t>
          </m:r>
          <m:r>
            <w:rPr>
              <w:rFonts w:ascii="Cambria Math" w:hAnsi="Cambria Math"/>
            </w:rPr>
            <m:t>e</m:t>
          </m:r>
          <m:r>
            <w:rPr>
              <w:rFonts w:ascii="Cambria Math" w:hAnsi="Cambria Math"/>
            </w:rPr>
            <m:t>, </m:t>
          </m:r>
          <m:r>
            <w:rPr>
              <w:rFonts w:ascii="Cambria Math" w:hAnsi="Cambria Math"/>
            </w:rPr>
            <m:t>u</m:t>
          </m:r>
          <m:r>
            <w:rPr>
              <w:rFonts w:ascii="Cambria Math" w:hAnsi="Cambria Math"/>
            </w:rPr>
            <m:t>∼</m:t>
          </m:r>
          <m:r>
            <w:rPr>
              <w:rFonts w:ascii="Cambria Math" w:hAnsi="Cambria Math"/>
            </w:rPr>
            <m:t>N</m:t>
          </m:r>
          <m:r>
            <w:rPr>
              <w:rFonts w:ascii="Cambria Math" w:hAnsi="Cambria Math"/>
            </w:rPr>
            <m:t>(0,</m:t>
          </m:r>
          <m:r>
            <w:rPr>
              <w:rFonts w:ascii="Cambria Math" w:hAnsi="Cambria Math"/>
            </w:rPr>
            <m:t>G</m:t>
          </m:r>
          <m:r>
            <w:rPr>
              <w:rFonts w:ascii="Cambria Math" w:hAnsi="Cambria Math"/>
            </w:rPr>
            <m:t>), </m:t>
          </m:r>
          <m:r>
            <w:rPr>
              <w:rFonts w:ascii="Cambria Math" w:hAnsi="Cambria Math"/>
            </w:rPr>
            <m:t>e</m:t>
          </m:r>
          <m:r>
            <w:rPr>
              <w:rFonts w:ascii="Cambria Math" w:hAnsi="Cambria Math"/>
            </w:rPr>
            <m:t>∼</m:t>
          </m:r>
          <m:r>
            <w:rPr>
              <w:rFonts w:ascii="Cambria Math" w:hAnsi="Cambria Math"/>
            </w:rPr>
            <m:t>N</m:t>
          </m:r>
          <m:r>
            <w:rPr>
              <w:rFonts w:ascii="Cambria Math" w:hAnsi="Cambria Math"/>
            </w:rPr>
            <m:t>(0,</m:t>
          </m:r>
          <m:r>
            <w:rPr>
              <w:rFonts w:ascii="Cambria Math" w:hAnsi="Cambria Math"/>
            </w:rPr>
            <m:t>D</m:t>
          </m:r>
          <m:r>
            <w:rPr>
              <w:rFonts w:ascii="Cambria Math" w:hAnsi="Cambria Math"/>
            </w:rPr>
            <m:t>), </m:t>
          </m:r>
          <m:r>
            <w:rPr>
              <w:rFonts w:ascii="Cambria Math" w:hAnsi="Cambria Math"/>
            </w:rPr>
            <m:t>V</m:t>
          </m:r>
          <m:r>
            <w:rPr>
              <w:rFonts w:ascii="Cambria Math" w:hAnsi="Cambria Math"/>
            </w:rPr>
            <m:t>=</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G</m:t>
          </m:r>
          <m:r>
            <w:rPr>
              <w:rFonts w:ascii="Cambria Math" w:hAnsi="Cambria Math"/>
            </w:rPr>
            <m:t>+</m:t>
          </m:r>
          <m:r>
            <w:rPr>
              <w:rFonts w:ascii="Cambria Math" w:hAnsi="Cambria Math"/>
            </w:rPr>
            <m:t>D</m:t>
          </m:r>
          <m:r>
            <w:rPr>
              <w:rFonts w:ascii="Cambria Math" w:hAnsi="Cambria Math"/>
            </w:rPr>
            <m:t>,</m:t>
          </m:r>
        </m:oMath>
      </m:oMathPara>
    </w:p>
    <w:p w14:paraId="393B62DE" w14:textId="77777777" w:rsidR="00D56A60" w:rsidRDefault="0093390C">
      <w:pPr>
        <w:pStyle w:val="BodyText"/>
      </w:pPr>
      <w:r>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364CA109" w14:textId="77777777" w:rsidR="00D56A60" w:rsidRDefault="00E3560C">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CAAD90"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5E71383D" w14:textId="77777777" w:rsidR="00D56A60" w:rsidRDefault="00E3560C">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r>
            <w:rPr>
              <w:rFonts w:ascii="Cambria Math" w:hAnsi="Cambria Math"/>
            </w:rPr>
            <m:t>V</m:t>
          </m:r>
          <m: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m:t>
          </m:r>
          <m:r>
            <w:rPr>
              <w:rFonts w:ascii="Cambria Math" w:hAnsi="Cambria Math"/>
            </w:rPr>
            <m:t>V</m:t>
          </m:r>
          <m: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38876E9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w:t>
        <w:lastRenderedPageBreak/>
        <w:t xml:space="preserve">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EA9E541"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16CCBF04"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47C8AC1B"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787F75BA" w14:textId="77777777" w:rsidR="0071327A" w:rsidRDefault="00162135">
      <w:pPr>
        <w:pStyle w:val="Heading1"/>
      </w:pPr>
      <w:bookmarkStart w:id="465" w:name="_Toc242266151"/>
      <w:r>
        <w:lastRenderedPageBreak/>
        <w:t>Annex H: Comparison with Molina and Romero (2025)</w:t>
      </w:r>
      <w:bookmarkEnd w:id="465"/>
    </w:p>
    <w:p w14:paraId="4CD44C51"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0780A110" w14:textId="77777777" w:rsidR="0071327A" w:rsidRDefault="00162135">
      <w:pPr>
        <w:pStyle w:val="BodyText"/>
      </w:pPr>
      <w:r>
        <w:rPr>
          <w:b/>
        </w:rPr>
        <w:t xml:space="preserve">Attribution and responsibility. </w:t>
      </w:r>
      <w:r>
        <w:t>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59D62975" w14:textId="77777777">
        <w:trPr>
          <w:cantSplit/>
          <w:tblHeader/>
        </w:trPr>
        <w:tc>
          <w:tcPr>
            <w:tcW w:w="1650" w:type="dxa"/>
            <w:shd w:val="clear" w:color="auto" w:fill="2F5597"/>
            <w:tcMar>
              <w:top w:w="90" w:type="dxa"/>
              <w:left w:w="100" w:type="dxa"/>
              <w:bottom w:w="90" w:type="dxa"/>
              <w:right w:w="100" w:type="dxa"/>
            </w:tcMar>
          </w:tcPr>
          <w:p w14:paraId="6CAF89EC"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254B1BE5"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4D79EF17" w14:textId="77777777" w:rsidR="0071327A" w:rsidRDefault="00162135">
            <w:pPr>
              <w:spacing w:after="40" w:line="240" w:lineRule="auto"/>
              <w:jc w:val="left"/>
            </w:pPr>
            <w:r>
              <w:rPr>
                <w:b/>
                <w:color w:val="FFFFFF"/>
                <w:sz w:val="18"/>
              </w:rPr>
              <w:t>EU SAE package implementation and relationship</w:t>
            </w:r>
          </w:p>
        </w:tc>
      </w:tr>
      <w:tr w:rsidR="0071327A" w14:paraId="5A042612" w14:textId="77777777">
        <w:trPr>
          <w:cantSplit/>
        </w:trPr>
        <w:tc>
          <w:tcPr>
            <w:tcW w:w="1650" w:type="dxa"/>
            <w:tcMar>
              <w:top w:w="90" w:type="dxa"/>
              <w:left w:w="100" w:type="dxa"/>
              <w:bottom w:w="90" w:type="dxa"/>
              <w:right w:w="100" w:type="dxa"/>
            </w:tcMar>
          </w:tcPr>
          <w:p w14:paraId="0801611F"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7F7A027"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31C7D35B"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08254CEB" w14:textId="77777777">
        <w:trPr>
          <w:cantSplit/>
        </w:trPr>
        <w:tc>
          <w:tcPr>
            <w:tcW w:w="1650" w:type="dxa"/>
            <w:shd w:val="clear" w:color="auto" w:fill="F3F6FA"/>
            <w:tcMar>
              <w:top w:w="90" w:type="dxa"/>
              <w:left w:w="100" w:type="dxa"/>
              <w:bottom w:w="90" w:type="dxa"/>
              <w:right w:w="100" w:type="dxa"/>
            </w:tcMar>
          </w:tcPr>
          <w:p w14:paraId="6C355C79"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5629894A"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1284B520"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3137F606" w14:textId="77777777">
        <w:trPr>
          <w:cantSplit/>
        </w:trPr>
        <w:tc>
          <w:tcPr>
            <w:tcW w:w="1650" w:type="dxa"/>
            <w:tcMar>
              <w:top w:w="90" w:type="dxa"/>
              <w:left w:w="100" w:type="dxa"/>
              <w:bottom w:w="90" w:type="dxa"/>
              <w:right w:w="100" w:type="dxa"/>
            </w:tcMar>
          </w:tcPr>
          <w:p w14:paraId="1A048101"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39D5CE98"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5A635EC8"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30A58448" w14:textId="77777777">
        <w:trPr>
          <w:cantSplit/>
        </w:trPr>
        <w:tc>
          <w:tcPr>
            <w:tcW w:w="1650" w:type="dxa"/>
            <w:shd w:val="clear" w:color="auto" w:fill="F3F6FA"/>
            <w:tcMar>
              <w:top w:w="90" w:type="dxa"/>
              <w:left w:w="100" w:type="dxa"/>
              <w:bottom w:w="90" w:type="dxa"/>
              <w:right w:w="100" w:type="dxa"/>
            </w:tcMar>
          </w:tcPr>
          <w:p w14:paraId="4AE61613"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77E9C532"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5E3EF763"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43B76C56" w14:textId="77777777">
        <w:trPr>
          <w:cantSplit/>
        </w:trPr>
        <w:tc>
          <w:tcPr>
            <w:tcW w:w="1650" w:type="dxa"/>
            <w:tcMar>
              <w:top w:w="90" w:type="dxa"/>
              <w:left w:w="100" w:type="dxa"/>
              <w:bottom w:w="90" w:type="dxa"/>
              <w:right w:w="100" w:type="dxa"/>
            </w:tcMar>
          </w:tcPr>
          <w:p w14:paraId="58D08689" w14:textId="77777777" w:rsidR="0071327A" w:rsidRDefault="00162135">
            <w:pPr>
              <w:spacing w:after="40" w:line="240" w:lineRule="auto"/>
              <w:jc w:val="left"/>
            </w:pPr>
            <w:r>
              <w:rPr>
                <w:sz w:val="18"/>
              </w:rPr>
              <w:lastRenderedPageBreak/>
              <w:t>Sampling-variance smoothing</w:t>
            </w:r>
          </w:p>
        </w:tc>
        <w:tc>
          <w:tcPr>
            <w:tcW w:w="3250" w:type="dxa"/>
            <w:tcMar>
              <w:top w:w="90" w:type="dxa"/>
              <w:left w:w="100" w:type="dxa"/>
              <w:bottom w:w="90" w:type="dxa"/>
              <w:right w:w="100" w:type="dxa"/>
            </w:tcMar>
          </w:tcPr>
          <w:p w14:paraId="52C62171"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15FDC691" w14:textId="77777777" w:rsidR="0071327A" w:rsidRDefault="00162135">
            <w:pPr>
              <w:spacing w:after="40" w:line="240" w:lineRule="auto"/>
              <w:jc w:val="left"/>
            </w:pPr>
            <w:r>
              <w:rPr>
                <w:sz w:val="18"/>
              </w:rPr>
              <w:t>sm_all is closest to the paper's full-smoothing illustration. Under sm_out, a finite direct variance is retained when it is at least 0.001; missing, non-finite, or smaller values are replaced with the GVF-smoothed value. This threshold rule is practical.</w:t>
            </w:r>
          </w:p>
        </w:tc>
      </w:tr>
      <w:tr w:rsidR="0071327A" w14:paraId="0732D331" w14:textId="77777777">
        <w:trPr>
          <w:cantSplit/>
        </w:trPr>
        <w:tc>
          <w:tcPr>
            <w:tcW w:w="1650" w:type="dxa"/>
            <w:shd w:val="clear" w:color="auto" w:fill="F3F6FA"/>
            <w:tcMar>
              <w:top w:w="90" w:type="dxa"/>
              <w:left w:w="100" w:type="dxa"/>
              <w:bottom w:w="90" w:type="dxa"/>
              <w:right w:w="100" w:type="dxa"/>
            </w:tcMar>
          </w:tcPr>
          <w:p w14:paraId="6EC3F9E7" w14:textId="77777777" w:rsidR="0071327A" w:rsidRDefault="00162135">
            <w:pPr>
              <w:spacing w:after="40" w:line="240" w:lineRule="auto"/>
              <w:jc w:val="left"/>
            </w:pPr>
            <w:r>
              <w:rPr>
                <w:sz w:val="18"/>
              </w:rPr>
              <w:t>MFH random-effects structures</w:t>
            </w:r>
          </w:p>
        </w:tc>
        <w:tc>
          <w:tcPr>
            <w:tcW w:w="3250" w:type="dxa"/>
            <w:shd w:val="clear" w:color="auto" w:fill="F3F6FA"/>
            <w:tcMar>
              <w:top w:w="90" w:type="dxa"/>
              <w:left w:w="100" w:type="dxa"/>
              <w:bottom w:w="90" w:type="dxa"/>
              <w:right w:w="100" w:type="dxa"/>
            </w:tcMar>
          </w:tcPr>
          <w:p w14:paraId="6F570AE0"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79492C3B"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5D60EFC3" w14:textId="77777777">
        <w:trPr>
          <w:cantSplit/>
        </w:trPr>
        <w:tc>
          <w:tcPr>
            <w:tcW w:w="1650" w:type="dxa"/>
            <w:tcMar>
              <w:top w:w="90" w:type="dxa"/>
              <w:left w:w="100" w:type="dxa"/>
              <w:bottom w:w="90" w:type="dxa"/>
              <w:right w:w="100" w:type="dxa"/>
            </w:tcMar>
          </w:tcPr>
          <w:p w14:paraId="43DCA6BD"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02F57363"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1D583E76" w14:textId="77777777" w:rsidR="0071327A" w:rsidRDefault="00162135">
            <w:pPr>
              <w:spacing w:after="40" w:line="240" w:lineRule="auto"/>
              <w:jc w:val="left"/>
            </w:pPr>
            <w:r>
              <w:rPr>
                <w:sz w:val="18"/>
              </w:rPr>
              <w:t xml:space="preserve">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55A7BE44" w14:textId="77777777">
        <w:trPr>
          <w:cantSplit/>
        </w:trPr>
        <w:tc>
          <w:tcPr>
            <w:tcW w:w="1650" w:type="dxa"/>
            <w:shd w:val="clear" w:color="auto" w:fill="F3F6FA"/>
            <w:tcMar>
              <w:top w:w="90" w:type="dxa"/>
              <w:left w:w="100" w:type="dxa"/>
              <w:bottom w:w="90" w:type="dxa"/>
              <w:right w:w="100" w:type="dxa"/>
            </w:tcMar>
          </w:tcPr>
          <w:p w14:paraId="6ADAF3D7"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6CC95D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41285E8"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195F7B6D" w14:textId="77777777">
        <w:trPr>
          <w:cantSplit/>
        </w:trPr>
        <w:tc>
          <w:tcPr>
            <w:tcW w:w="1650" w:type="dxa"/>
            <w:tcMar>
              <w:top w:w="90" w:type="dxa"/>
              <w:left w:w="100" w:type="dxa"/>
              <w:bottom w:w="90" w:type="dxa"/>
              <w:right w:w="100" w:type="dxa"/>
            </w:tcMar>
          </w:tcPr>
          <w:p w14:paraId="1F3B1E42"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3A047E81"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5975DB00" w14:textId="77777777" w:rsidR="0071327A" w:rsidRDefault="00591650">
            <w:pPr>
              <w:spacing w:after="40" w:line="240" w:lineRule="auto"/>
              <w:jc w:val="left"/>
            </w:pPr>
            <w:r>
              <w:rPr>
                <w:sz w:val="18"/>
              </w:rPr>
              <w:t xml:space="preserve">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549AEAAE" w14:textId="77777777">
        <w:trPr>
          <w:cantSplit/>
        </w:trPr>
        <w:tc>
          <w:tcPr>
            <w:tcW w:w="1650" w:type="dxa"/>
            <w:shd w:val="clear" w:color="auto" w:fill="F3F6FA"/>
            <w:tcMar>
              <w:top w:w="90" w:type="dxa"/>
              <w:left w:w="100" w:type="dxa"/>
              <w:bottom w:w="90" w:type="dxa"/>
              <w:right w:w="100" w:type="dxa"/>
            </w:tcMar>
          </w:tcPr>
          <w:p w14:paraId="7F0EB1B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71C42D90" w14:textId="77777777"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0E14F22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4845D3C7" w14:textId="77777777">
        <w:trPr>
          <w:cantSplit/>
        </w:trPr>
        <w:tc>
          <w:tcPr>
            <w:tcW w:w="1650" w:type="dxa"/>
            <w:tcMar>
              <w:top w:w="90" w:type="dxa"/>
              <w:left w:w="100" w:type="dxa"/>
              <w:bottom w:w="90" w:type="dxa"/>
              <w:right w:w="100" w:type="dxa"/>
            </w:tcMar>
          </w:tcPr>
          <w:p w14:paraId="562A029B"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4B2D5A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BBACC8A" w14:textId="77777777" w:rsidR="0071327A" w:rsidRDefault="00162135">
            <w:pPr>
              <w:spacing w:after="40" w:line="240" w:lineRule="auto"/>
              <w:jc w:val="left"/>
            </w:pPr>
            <w:r>
              <w:rPr>
                <w:sz w:val="18"/>
              </w:rPr>
              <w:t xml:space="preserve">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01ED699C" w14:textId="77777777">
        <w:trPr>
          <w:cantSplit/>
        </w:trPr>
        <w:tc>
          <w:tcPr>
            <w:tcW w:w="1650" w:type="dxa"/>
            <w:shd w:val="clear" w:color="auto" w:fill="F3F6FA"/>
            <w:tcMar>
              <w:top w:w="90" w:type="dxa"/>
              <w:left w:w="100" w:type="dxa"/>
              <w:bottom w:w="90" w:type="dxa"/>
              <w:right w:w="100" w:type="dxa"/>
            </w:tcMar>
          </w:tcPr>
          <w:p w14:paraId="39DA46B2"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05D6E67F"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205542B9"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0BF93435" w14:textId="77777777" w:rsidR="0071327A" w:rsidRDefault="00162135">
      <w:pPr>
        <w:pStyle w:val="Heading2"/>
      </w:pPr>
      <w:bookmarkStart w:id="466" w:name="_Toc242266152"/>
      <w:r>
        <w:lastRenderedPageBreak/>
        <w:t>H.1 Overall interpretation</w:t>
      </w:r>
      <w:bookmarkEnd w:id="466"/>
    </w:p>
    <w:p w14:paraId="72548103"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2EE643E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52C87865" w14:textId="77777777" w:rsidR="0071327A" w:rsidRDefault="00162135">
      <w:pPr>
        <w:pStyle w:val="Heading2"/>
      </w:pPr>
      <w:bookmarkStart w:id="467" w:name="_Toc242266153"/>
      <w:r>
        <w:t>H.2 MCPE bootstrap process and provenance</w:t>
      </w:r>
      <w:bookmarkEnd w:id="467"/>
    </w:p>
    <w:p w14:paraId="6FBF955A"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23D195A8"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3A672087"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2157B45C"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3CAEF4AE"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1EED8716" w14:textId="77777777" w:rsidR="0071327A" w:rsidRDefault="00162135">
      <w:pPr>
        <w:pStyle w:val="BodyText"/>
        <w:ind w:left="360" w:hanging="360"/>
      </w:pPr>
      <w:r>
        <w:t xml:space="preserve">5. Calculate MSE(change)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19642299"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319005A0" w14:textId="77777777" w:rsidR="0071327A" w:rsidRDefault="00162135">
      <w:pPr>
        <w:pStyle w:val="Heading2"/>
      </w:pPr>
      <w:bookmarkStart w:id="468" w:name="_Toc242266154"/>
      <w:r>
        <w:lastRenderedPageBreak/>
        <w:t>H.3 Validation status and recommended assurance</w:t>
      </w:r>
      <w:bookmarkEnd w:id="468"/>
    </w:p>
    <w:p w14:paraId="7D348DE2" w14:textId="77777777" w:rsidR="0071327A" w:rsidRDefault="00162135">
      <w:pPr>
        <w:pStyle w:val="FirstParagraph"/>
      </w:pPr>
      <w:r>
        <w:t xml:space="preserve">The implementation checks and simulation evidence are documented in docs/METHODOLOGY_ALIGNMENT.md and docs/MCPE_VALIDATION_STATUS.md.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6434113C"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C8607A2"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7CDFADB6" w14:textId="77777777" w:rsidR="0071327A" w:rsidRDefault="00162135">
      <w:pPr>
        <w:pStyle w:val="BodyText"/>
        <w:ind w:left="360" w:hanging="360"/>
      </w:pPr>
      <w:r>
        <w:t xml:space="preserve">• Review failed refits, repaired covariance matrices, boundary endpoints, insufficient successful replicates and unavailable inference; retain diagnostic counts with the report.</w:t>
      </w:r>
    </w:p>
    <w:p w14:paraId="2C18137B"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2B032F8"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2CA03367" w14:textId="77777777" w:rsidR="0071327A" w:rsidRDefault="00162135">
      <w:pPr>
        <w:pStyle w:val="Heading2"/>
      </w:pPr>
      <w:bookmarkStart w:id="469" w:name="_Toc242266155"/>
      <w:r>
        <w:t>H.4 Pointwise and BH reporting</w:t>
      </w:r>
      <w:bookmarkEnd w:id="469"/>
    </w:p>
    <w:p w14:paraId="18E0D20F"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03E7428C"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59F0B812" w14:textId="77777777" w:rsidR="004F44B0" w:rsidRDefault="001F4DFD">
      <w:pPr>
        <w:pStyle w:val="Heading1"/>
      </w:pPr>
      <w:bookmarkStart w:id="470" w:name="_Toc242266156"/>
      <w:r>
        <w:lastRenderedPageBreak/>
        <w:t>Annex I</w:t>
        <w:br/>
        <w:br/>
        <w:t>References</w:t>
      </w:r>
      <w:bookmarkEnd w:id="470"/>
    </w:p>
    <w:p w14:paraId="02D261C2" w14:textId="77777777" w:rsidR="004F44B0" w:rsidRDefault="001F4DFD">
      <w:pPr>
        <w:pStyle w:val="BodyText"/>
      </w:pPr>
      <w:r>
        <w:t>Bates, D., Mächler, M., Bolker, B., and Walker, S. (2015). Fitting linear mixed-effects models using lme4. Journal of Statistical Software, 67(1), 1–48.</w:t>
      </w:r>
    </w:p>
    <w:p w14:paraId="5BFD136F" w14:textId="77777777" w:rsidR="004F44B0" w:rsidRDefault="001F4DFD">
      <w:pPr>
        <w:pStyle w:val="BodyText"/>
      </w:pPr>
      <w:r>
        <w:t>Bell, W. R., Datta, G. S., and Ghosh, M. (2013). Benchmarking small area estimators. Biometrika, 100(1), 189–202.</w:t>
      </w:r>
    </w:p>
    <w:p w14:paraId="16DF7FDE"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17391967"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04904F46"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2F3DF584"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77008E8F"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6B69FA55"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BB58EC8"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5F336AE4" w14:textId="77777777" w:rsidR="004F44B0" w:rsidRDefault="001F4DFD">
      <w:pPr>
        <w:pStyle w:val="BodyText"/>
      </w:pPr>
      <w:r>
        <w:t>Datta, G. S., Ghosh, M., Steorts, R., and Maples, J. (2011). Bayesian benchmarking with applications to small area estimation. Test, 20(3), 574–588.</w:t>
      </w:r>
    </w:p>
    <w:p w14:paraId="52989DAB"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43E59817" w14:textId="77777777" w:rsidR="004F44B0" w:rsidRDefault="001F4DFD">
      <w:pPr>
        <w:pStyle w:val="BodyText"/>
      </w:pPr>
      <w:r>
        <w:t>Duan, N. (1983). Smearing estimate: a nonparametric retransformation method. Journal of the American Statistical Association, 78(383), 605–610.</w:t>
      </w:r>
    </w:p>
    <w:p w14:paraId="5A088491" w14:textId="77777777" w:rsidR="004F44B0" w:rsidRDefault="001F4DFD">
      <w:pPr>
        <w:pStyle w:val="BodyText"/>
      </w:pPr>
      <w:r>
        <w:lastRenderedPageBreak/>
        <w:t>Edochie, I (2025). “Stable FH Estimators over T time periods: The Multivariate Fay Herriot Modeling Approach.”   https://rpubs.com/ifeanyi588/1318320.</w:t>
      </w:r>
    </w:p>
    <w:p w14:paraId="13D2A331"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12CB5397" w14:textId="77777777" w:rsidR="004F44B0" w:rsidRDefault="001F4DFD">
      <w:pPr>
        <w:pStyle w:val="BodyText"/>
      </w:pPr>
      <w:r>
        <w:t xml:space="preserve">Foster, J., Greer, J., and Thorbecke, E. (1984). A class of decomposable poverty measures. </w:t>
      </w:r>
      <w:r>
        <w:rPr>
          <w:i/>
        </w:rPr>
        <w:t>Econometrica</w:t>
      </w:r>
      <w:r>
        <w:t>, 52, 761–766.</w:t>
      </w:r>
    </w:p>
    <w:p w14:paraId="1D52719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7EDC8E5C"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6E4E5DD3" w14:textId="77777777" w:rsidR="004F44B0" w:rsidRDefault="001F4DFD">
      <w:pPr>
        <w:pStyle w:val="BodyText"/>
      </w:pPr>
      <w:r>
        <w:t>Halbmeier, C., Kreutzmann, A.-K., Schmid, T., and Schröder, C. (2019). The fayherriot command for estimating small-area indicators. The Stata Journal, 19(3), 626–644.</w:t>
      </w:r>
    </w:p>
    <w:p w14:paraId="4F7251FA" w14:textId="77777777" w:rsidR="004F44B0" w:rsidRDefault="001F4DFD">
      <w:pPr>
        <w:pStyle w:val="BodyText"/>
      </w:pPr>
      <w:r>
        <w:t>Harmening, S., Kreutzmann, A.-K., Schmidt, S., Salvati, N., and Schmid, T. (2023). A framework for producing small area estimates based on area-level models in R. The R Journal, 15(1), 316–341.</w:t>
      </w:r>
    </w:p>
    <w:p w14:paraId="6FBFB411" w14:textId="77777777" w:rsidR="004F44B0" w:rsidRDefault="001F4DFD">
      <w:pPr>
        <w:pStyle w:val="BodyText"/>
      </w:pPr>
      <w:r>
        <w:t xml:space="preserve">Henderson, C. R. (1975). Best linear unbiased estimation and prediction under a selection model. </w:t>
      </w:r>
      <w:r>
        <w:rPr>
          <w:i/>
        </w:rPr>
        <w:t>Biometrics</w:t>
      </w:r>
      <w:r>
        <w:t>, 31, 423–447.</w:t>
      </w:r>
    </w:p>
    <w:p w14:paraId="286BDE9F"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4D4849B6" w14:textId="77777777" w:rsidR="004F44B0" w:rsidRDefault="001F4DFD">
      <w:pPr>
        <w:pStyle w:val="BodyText"/>
      </w:pPr>
      <w:r>
        <w:t>Li, H. and Lahiri, P. (2010). An adjusted maximum likelihood method for solving small area estimation problems. Journal of Multivariate Analysis, 101(4), 882–892.</w:t>
      </w:r>
    </w:p>
    <w:p w14:paraId="69409DB0"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6EEE4938"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467BD2D8" w14:textId="77777777" w:rsidR="004F44B0" w:rsidRDefault="001F4DFD">
      <w:pPr>
        <w:pStyle w:val="BodyText"/>
      </w:pPr>
      <w:r>
        <w:t xml:space="preserve">Molina, I. and Marhuenda, Y. (2015). sae: An R package for small area estimation. </w:t>
      </w:r>
      <w:r>
        <w:rPr>
          <w:i/>
        </w:rPr>
        <w:t>The R Journal</w:t>
      </w:r>
      <w:r>
        <w:t>, 7(1), 81–98.</w:t>
      </w:r>
    </w:p>
    <w:p w14:paraId="175478B8" w14:textId="77777777" w:rsidR="004F44B0" w:rsidRDefault="001F4DFD">
      <w:pPr>
        <w:pStyle w:val="BodyText"/>
      </w:pPr>
      <w:r>
        <w:t xml:space="preserve">Molina, I. and Romero, E. (2025). </w:t>
      </w:r>
      <w:r>
        <w:rPr>
          <w:i/>
        </w:rPr>
        <w:t>Comparable Small Area Estimates over Time.</w:t>
      </w:r>
      <w:r>
        <w:t xml:space="preserve"> Working document.</w:t>
      </w:r>
    </w:p>
    <w:p w14:paraId="1EA7F2ED" w14:textId="77777777" w:rsidR="004F44B0" w:rsidRDefault="001F4DFD">
      <w:pPr>
        <w:pStyle w:val="BodyText"/>
      </w:pPr>
      <w:r>
        <w:t>Permatasari, N. and Ubaidillah, A. (2021). msae: an R package of multivariate Fay–Herriot models for small area estimation. The R Journal, 13(2), 111–122.</w:t>
      </w:r>
    </w:p>
    <w:p w14:paraId="2C1F3DE6"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45966530"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5B4CAF7" w14:textId="77777777" w:rsidR="004F44B0" w:rsidRDefault="001F4DFD">
      <w:pPr>
        <w:pStyle w:val="BodyText"/>
      </w:pPr>
      <w:r>
        <w:t xml:space="preserve">Rao, J. N. K. and Molina, I. (2015). </w:t>
      </w:r>
      <w:r>
        <w:rPr>
          <w:i/>
        </w:rPr>
        <w:t>Small Area Estimation</w:t>
      </w:r>
      <w:r>
        <w:t>, 2nd ed. Wiley, Hoboken, NJ.</w:t>
      </w:r>
    </w:p>
    <w:p w14:paraId="73DB281D" w14:textId="77777777" w:rsidR="004F44B0" w:rsidRDefault="001F4DFD">
      <w:pPr>
        <w:pStyle w:val="BodyText"/>
      </w:pPr>
      <w:r>
        <w:t>Rubin-Bleuer, S. and You, Y. (2016). Comparison of some positive variance estimators for the Fay–Herriot small area model. Survey Methodology, 42(1), 63–85.</w:t>
      </w:r>
    </w:p>
    <w:p w14:paraId="399EDE31"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1EBEC8CE"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182A59DC" w14:textId="77777777" w:rsidR="00D56A60" w:rsidRDefault="0093390C">
      <w:pPr>
        <w:pStyle w:val="BodyText"/>
      </w:pPr>
      <w:r>
        <w:t xml:space="preserve">Wolter, K. M. (2007). </w:t>
      </w:r>
      <w:r>
        <w:rPr>
          <w:i/>
        </w:rPr>
        <w:t>Introduction to Variance Estimation</w:t>
      </w:r>
      <w:r>
        <w:t>, 2nd ed. Springer, New York.</w:t>
      </w:r>
    </w:p>
    <w:p w14:paraId="2BC60A4A" w14:textId="77777777" w:rsidR="004F44B0" w:rsidRDefault="001F4DFD">
      <w:pPr>
        <w:pStyle w:val="BodyText"/>
      </w:pPr>
      <w:r>
        <w:t>Yoshida, N. (2025). Estimation of the sampling covariance of two national means in a two-wave household survey. Working note, World Bank, Washington, DC.</w:t>
      </w:r>
    </w:p>
    <w:p w14:paraId="678589A7" w14:textId="77777777" w:rsidR="004F44B0" w:rsidRDefault="001F4DFD">
      <w:pPr>
        <w:pStyle w:val="BodyText"/>
      </w:pPr>
      <w:r>
        <w:t>Yoshida, N. (2026). What Does Fay–Herriot Predict? BLUPs, Covariance Misspecification, and Missing Direct Estimates. Working paper, World Bank, Washington, DC.</w:t>
      </w:r>
    </w:p>
    <w:p w14:paraId="08FEC488" w14:textId="77777777" w:rsidR="004F44B0" w:rsidRDefault="001F4DFD">
      <w:pPr>
        <w:pStyle w:val="BodyText"/>
      </w:pPr>
      <w:r>
        <w:t>Yoshimori, M. and Lahiri, P. (2014). A new adjusted maximum likelihood method for the Fay–Herriot small area model. Journal of Multivariate Analysis, 124, 281–294.</w:t>
      </w:r>
    </w:p>
    <w:p w14:paraId="30C6485C" w14:textId="77777777" w:rsidR="008D263D" w:rsidRDefault="008D263D"/>
    <w:p w14:paraId="41D2B8AE" w14:textId="77777777" w:rsidR="008D263D" w:rsidRDefault="008D263D"/>
    <w:p w14:paraId="4C03BB16" w14:textId="77777777" w:rsidR="008D263D" w:rsidRDefault="008D263D"/>
    <w:p w14:paraId="462D0698" w14:textId="77777777" w:rsidR="008D263D" w:rsidRDefault="008D263D"/>
    <w:p w14:paraId="4862D99F" w14:textId="77777777" w:rsidR="008D263D" w:rsidRDefault="008D263D"/>
    <w:p w14:paraId="134391E4" w14:textId="77777777" w:rsidR="008D263D" w:rsidRDefault="008D263D"/>
    <w:p w14:paraId="2240853D" w14:textId="77777777" w:rsidR="008D263D" w:rsidRDefault="008D263D"/>
    <w:p w14:paraId="20442B7C" w14:textId="77777777" w:rsidR="008D263D" w:rsidRDefault="008D263D"/>
    <w:p w14:paraId="724501F8" w14:textId="77777777" w:rsidR="008D263D" w:rsidRDefault="008D263D"/>
    <w:sectPr w:rsidR="008D263D">
      <w:headerReference w:type="default" r:id="rId28"/>
      <w:footerReference w:type="even" r:id="rId29"/>
      <w:footerReference w:type="default" r:id="rId30"/>
      <w:footerReference w:type="first" r:id="rId31"/>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2FF4E" w14:textId="77777777" w:rsidR="00E3560C" w:rsidRDefault="00E3560C">
      <w:pPr>
        <w:spacing w:after="0" w:line="240" w:lineRule="auto"/>
      </w:pPr>
      <w:r>
        <w:separator/>
      </w:r>
    </w:p>
  </w:endnote>
  <w:endnote w:type="continuationSeparator" w:id="0">
    <w:p w14:paraId="52E8AF06" w14:textId="77777777" w:rsidR="00E3560C" w:rsidRDefault="00E35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4B930"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F29F" w14:textId="77777777" w:rsidR="004F44B0" w:rsidRDefault="00E3560C">
    <w:pPr>
      <w:pStyle w:val="Footer"/>
      <w:jc w:val="center"/>
    </w:pPr>
    <w:sdt>
      <w:sdtPr>
        <w:id w:val="-168647516"/>
        <w:docPartObj>
          <w:docPartGallery w:val="Page Numbers (Bottom of Page)"/>
          <w:docPartUnique/>
        </w:docPartObj>
      </w:sdtPr>
      <w:sdtEnd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2F1A8937"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EndPr/>
    <w:sdtContent>
      <w:p w14:paraId="5CB8DBC7"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3AD45AAD"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558E1" w14:textId="77777777" w:rsidR="00E3560C" w:rsidRDefault="00E3560C">
      <w:pPr>
        <w:spacing w:after="0" w:line="240" w:lineRule="auto"/>
      </w:pPr>
      <w:r>
        <w:separator/>
      </w:r>
    </w:p>
  </w:footnote>
  <w:footnote w:type="continuationSeparator" w:id="0">
    <w:p w14:paraId="079E366B" w14:textId="77777777" w:rsidR="00E3560C" w:rsidRDefault="00E35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6022A"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defaultTabStop w:val="720"/>
  <w:autoHyphenation/>
  <w:hyphenationZone w:val="0"/>
  <w:characterSpacingControl w:val="doNotCompress"/>
  <w:updateFields w:val="true"/>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ADD2B39"/>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137</Pages>
  <Words>43864</Words>
  <Characters>250027</Characters>
  <Application>Microsoft Office Word</Application>
  <DocSecurity>0</DocSecurity>
  <Lines>2083</Lines>
  <Paragraphs>586</Paragraphs>
  <ScaleCrop>false</ScaleCrop>
  <Company/>
  <LinksUpToDate>false</LinksUpToDate>
  <CharactersWithSpaces>293305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October 2026.</dc:description>
  <cp:lastModifiedBy>Nobuo Yoshida</cp:lastModifiedBy>
  <cp:revision>23</cp:revision>
  <dcterms:created xsi:type="dcterms:W3CDTF">2026-08-26T00:55:00Z</dcterms:created>
  <dcterms:modified xsi:type="dcterms:W3CDTF">2026-10-07T15:46:00Z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