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92E7" w14:textId="77777777" w:rsidR="00313EA8" w:rsidRDefault="00000000">
      <w:pPr>
        <w:pStyle w:val="Title"/>
      </w:pPr>
      <w:r>
        <w:t>Benchmarking Fay–Herriot Small-Area Estimates: Univariate and Multivariate Models</w:t>
      </w:r>
    </w:p>
    <w:p w14:paraId="7CA492E8" w14:textId="77777777" w:rsidR="00313EA8" w:rsidRDefault="00000000">
      <w:pPr>
        <w:pStyle w:val="Subtitle"/>
      </w:pPr>
      <w:r>
        <w:t>Region-level ratio adjustment, bootstrap MSE, and cross-time MCPE in bench_regional() (UFH) and bench_regional_mfh() (MFH)</w:t>
      </w:r>
    </w:p>
    <w:p w14:paraId="7CA492E9" w14:textId="77777777" w:rsidR="00313EA8" w:rsidRDefault="00000000">
      <w:pPr>
        <w:pStyle w:val="Author"/>
      </w:pPr>
      <w:r>
        <w:t>Ifeanyi Edochie and Nobuo Yoshida, World Bank Group</w:t>
      </w:r>
    </w:p>
    <w:p w14:paraId="7CA492EA" w14:textId="77777777" w:rsidR="00313EA8" w:rsidRDefault="00000000">
      <w:pPr>
        <w:pStyle w:val="Date"/>
      </w:pPr>
      <w:r>
        <w:t>June 2026</w:t>
      </w:r>
    </w:p>
    <w:p w14:paraId="7CA492EB" w14:textId="77777777" w:rsidR="00313EA8" w:rsidRDefault="00000000">
      <w:pPr>
        <w:pStyle w:val="FirstParagraph"/>
      </w:pPr>
      <w:r>
        <w:t xml:space="preserve">This note documents how the EU SAE package benchmarks model-based small-area poverty estimates and how it quantifies their uncertainty. Benchmarking is used to restore </w:t>
      </w:r>
      <w:r>
        <w:rPr>
          <w:i/>
        </w:rPr>
        <w:t>aggregate consistency</w:t>
      </w:r>
      <w:r>
        <w:t>: it rescales the model estimates so that, within each benchmark area, they reproduce a trusted higher-level total — a regional or national figure that national statistical offices already publish or accept. The model estimates gain precision by borrowing strength across areas, but that same borrowing makes their weighted average drift away from the direct aggregate; benchmarking removes this drift while preserving the relative pattern of poverty across small areas.</w:t>
      </w:r>
    </w:p>
    <w:p w14:paraId="7CA492EC" w14:textId="77777777" w:rsidR="00313EA8" w:rsidRDefault="00000000">
      <w:pPr>
        <w:pStyle w:val="BodyText"/>
      </w:pPr>
      <w:r>
        <w:t xml:space="preserve">The note is in two self-contained parts. Part I covers the single-period, single-survey </w:t>
      </w:r>
      <w:r>
        <w:rPr>
          <w:b/>
        </w:rPr>
        <w:t>univariate Fay–Herriot (UFH)</w:t>
      </w:r>
      <w:r>
        <w:t xml:space="preserve"> case implemented in </w:t>
      </w:r>
      <w:r>
        <w:rPr>
          <w:rStyle w:val="VerbatimChar"/>
        </w:rPr>
        <w:t>bench_regional()</w:t>
      </w:r>
      <w:r>
        <w:t xml:space="preserve"> (built on the </w:t>
      </w:r>
      <w:r>
        <w:rPr>
          <w:rStyle w:val="VerbatimChar"/>
        </w:rPr>
        <w:t>emdi</w:t>
      </w:r>
      <w:r>
        <w:t xml:space="preserve"> package). Part II covers the multi-period </w:t>
      </w:r>
      <w:r>
        <w:rPr>
          <w:b/>
        </w:rPr>
        <w:t>multivariate Fay–Herriot (MFH)</w:t>
      </w:r>
      <w:r>
        <w:t xml:space="preserve"> case implemented in </w:t>
      </w:r>
      <w:r>
        <w:rPr>
          <w:rStyle w:val="VerbatimChar"/>
        </w:rPr>
        <w:t>bench_regional_mfh()</w:t>
      </w:r>
      <w:r>
        <w:t xml:space="preserve"> (built on the </w:t>
      </w:r>
      <w:r>
        <w:rPr>
          <w:rStyle w:val="VerbatimChar"/>
        </w:rPr>
        <w:t>msae</w:t>
      </w:r>
      <w:r>
        <w:t xml:space="preserve"> family of models), which extends benchmarking across time and adds the cross-time error needed to test changes in poverty. A reader interested only in the cross-sectional case can read Part I on its own. General treatments of the Fay–Herriot model, EBLUP prediction, REML estimation, MSE, and benchmarking are given in Rao and Molina (2015).</w:t>
      </w:r>
    </w:p>
    <w:p w14:paraId="7CA492ED" w14:textId="77777777" w:rsidR="00313EA8" w:rsidRDefault="00000000">
      <w:pPr>
        <w:pStyle w:val="Heading1"/>
      </w:pPr>
      <w:bookmarkStart w:id="0" w:name="Xa1abe1dc59cd6b6ea01f7556fa7572baa53726a"/>
      <w:r>
        <w:t>Part I. Benchmarking for the Univariate Fay–Herriot (UFH) Model</w:t>
      </w:r>
      <w:bookmarkEnd w:id="0"/>
    </w:p>
    <w:p w14:paraId="7CA492EE" w14:textId="77777777" w:rsidR="00313EA8" w:rsidRDefault="00000000">
      <w:pPr>
        <w:pStyle w:val="Heading2"/>
      </w:pPr>
      <w:bookmarkStart w:id="1" w:name="purpose"/>
      <w:r>
        <w:t>1. Purpose</w:t>
      </w:r>
      <w:bookmarkEnd w:id="1"/>
    </w:p>
    <w:p w14:paraId="7CA492EF" w14:textId="77777777" w:rsidR="00313EA8" w:rsidRDefault="00000000">
      <w:pPr>
        <w:pStyle w:val="FirstParagraph"/>
      </w:pPr>
      <w:r>
        <w:t xml:space="preserve">Part I documents the benchmarking option for the univariate Fay–Herriot model fitted with </w:t>
      </w:r>
      <w:r>
        <w:rPr>
          <w:rStyle w:val="VerbatimChar"/>
        </w:rPr>
        <w:t>emdi::fh()</w:t>
      </w:r>
      <w:r>
        <w:t xml:space="preserve"> and benchmarked by the package routine </w:t>
      </w:r>
      <w:r>
        <w:rPr>
          <w:rStyle w:val="VerbatimChar"/>
        </w:rPr>
        <w:t>bench_regional()</w:t>
      </w:r>
      <w:r>
        <w:t xml:space="preserve"> (invoked from </w:t>
      </w:r>
      <w:r>
        <w:rPr>
          <w:rStyle w:val="VerbatimChar"/>
        </w:rPr>
        <w:t>01_ufh.R</w:t>
      </w:r>
      <w:r>
        <w:t xml:space="preserve">). It explains why model-based estimates are benchmarked, the adjustment the package applies, and how the uncertainty of the benchmarked rates is estimated. The statistical methodology follows the </w:t>
      </w:r>
      <w:r>
        <w:rPr>
          <w:rStyle w:val="VerbatimChar"/>
        </w:rPr>
        <w:t>emdi</w:t>
      </w:r>
      <w:r>
        <w:t xml:space="preserve"> package (Harmening et al., 2023; Kreutzmann et al., 2019); the items described as package behaviour below are features of the current implementation rather than results taken from the literature.</w:t>
      </w:r>
    </w:p>
    <w:p w14:paraId="7CA492F0" w14:textId="77777777" w:rsidR="00313EA8" w:rsidRDefault="00000000">
      <w:pPr>
        <w:pStyle w:val="Heading2"/>
      </w:pPr>
      <w:bookmarkStart w:id="2" w:name="X4add08646c22e38cccd724842a65112e9ece3c2"/>
      <w:r>
        <w:t>2. The univariate Fay–Herriot model and the EBLUP</w:t>
      </w:r>
      <w:bookmarkEnd w:id="2"/>
    </w:p>
    <w:p w14:paraId="7CA492F1" w14:textId="77777777" w:rsidR="00313EA8" w:rsidRDefault="00000000">
      <w:pPr>
        <w:pStyle w:val="FirstParagraph"/>
      </w:pPr>
      <w:r>
        <w:t xml:space="preserve">Index the small areas (domains) by </w:t>
      </w:r>
      <m:oMath>
        <m:r>
          <w:rPr>
            <w:rFonts w:ascii="Cambria Math" w:hAnsi="Cambria Math"/>
          </w:rPr>
          <m:t>d=1,…,M</m:t>
        </m:r>
      </m:oMath>
      <w:r>
        <w:t xml:space="preserve">, of which </w:t>
      </w:r>
      <m:oMath>
        <m:r>
          <w:rPr>
            <w:rFonts w:ascii="Cambria Math" w:hAnsi="Cambria Math"/>
          </w:rPr>
          <m:t>m</m:t>
        </m:r>
      </m:oMath>
      <w:r>
        <w:t xml:space="preserve"> are observed in the survey. The area-level Fay–Herriot model (Fay and Herriot, 1979) combines a sampling layer and a linking layer,</w:t>
      </w:r>
    </w:p>
    <w:p w14:paraId="7CA492F2" w14:textId="77777777" w:rsidR="00313EA8"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d</m:t>
              </m:r>
            </m:sub>
            <m:sup>
              <m:r>
                <w:rPr>
                  <w:rFonts w:ascii="Cambria Math" w:hAnsi="Cambria Math"/>
                </w:rPr>
                <m:t>⊤</m:t>
              </m:r>
            </m:sup>
          </m:sSubSup>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oMath>
      </m:oMathPara>
    </w:p>
    <w:p w14:paraId="7CA492F3" w14:textId="77777777" w:rsidR="00313EA8" w:rsidRDefault="00000000">
      <w:pPr>
        <w:pStyle w:val="FirstParagraph"/>
      </w:pPr>
      <w:r>
        <w:t xml:space="preserve">with independent sampling errors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w:r>
        <w:t xml:space="preserve"> and area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w:r>
        <w:t xml:space="preserve">. 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oMath>
      <w:r>
        <w:t xml:space="preserve"> is the direct survey estimate of the poverty rate,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its (known) sampling variance,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a vector of auxiliary covariates, and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the unobserved true value. The package estimates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by REML.</w:t>
      </w:r>
    </w:p>
    <w:p w14:paraId="7CA492F4" w14:textId="77777777" w:rsidR="00313EA8" w:rsidRDefault="00000000">
      <w:pPr>
        <w:pStyle w:val="BodyText"/>
      </w:pPr>
      <w:r>
        <w:lastRenderedPageBreak/>
        <w:t>The resulting empirical best linear unbiased predictor (EBLUP) is a precision-weighted average of the direct estimate and the regression prediction,</w:t>
      </w:r>
    </w:p>
    <w:p w14:paraId="7CA492F5" w14:textId="77777777" w:rsidR="00313EA8"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d</m:t>
              </m:r>
            </m:sub>
            <m:sup>
              <m:r>
                <w:rPr>
                  <w:rFonts w:ascii="Cambria Math" w:hAnsi="Cambria Math"/>
                </w:rPr>
                <m:t>⊤</m:t>
              </m:r>
            </m:sup>
          </m:sSubSup>
          <m:acc>
            <m:accPr>
              <m:ctrlPr>
                <w:rPr>
                  <w:rFonts w:ascii="Cambria Math" w:hAnsi="Cambria Math"/>
                </w:rPr>
              </m:ctrlPr>
            </m:accPr>
            <m:e>
              <m:r>
                <w:rPr>
                  <w:rFonts w:ascii="Cambria Math" w:hAnsi="Cambria Math"/>
                </w:rPr>
                <m:t>β</m:t>
              </m:r>
            </m:e>
          </m:acc>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r>
            <w:rPr>
              <w:rFonts w:ascii="Cambria Math" w:hAnsi="Cambria Math"/>
            </w:rPr>
            <m:t>.</m:t>
          </m:r>
        </m:oMath>
      </m:oMathPara>
    </w:p>
    <w:p w14:paraId="7CA492F6" w14:textId="77777777" w:rsidR="00313EA8" w:rsidRDefault="00000000">
      <w:pPr>
        <w:pStyle w:val="FirstParagraph"/>
      </w:pPr>
      <w:r>
        <w:t xml:space="preserve">In words: a noisy direct estimate (large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pulled toward the regression line </w:t>
      </w:r>
      <m:oMath>
        <m:sSubSup>
          <m:sSubSupPr>
            <m:ctrlPr>
              <w:rPr>
                <w:rFonts w:ascii="Cambria Math" w:hAnsi="Cambria Math"/>
              </w:rPr>
            </m:ctrlPr>
          </m:sSubSupPr>
          <m:e>
            <m:r>
              <w:rPr>
                <w:rFonts w:ascii="Cambria Math" w:hAnsi="Cambria Math"/>
              </w:rPr>
              <m:t>x</m:t>
            </m:r>
          </m:e>
          <m:sub>
            <m:r>
              <w:rPr>
                <w:rFonts w:ascii="Cambria Math" w:hAnsi="Cambria Math"/>
              </w:rPr>
              <m:t>d</m:t>
            </m:r>
          </m:sub>
          <m:sup>
            <m:r>
              <w:rPr>
                <w:rFonts w:ascii="Cambria Math" w:hAnsi="Cambria Math"/>
              </w:rPr>
              <m:t>⊤</m:t>
            </m:r>
          </m:sup>
        </m:sSubSup>
        <m:acc>
          <m:accPr>
            <m:ctrlPr>
              <w:rPr>
                <w:rFonts w:ascii="Cambria Math" w:hAnsi="Cambria Math"/>
              </w:rPr>
            </m:ctrlPr>
          </m:accPr>
          <m:e>
            <m:r>
              <w:rPr>
                <w:rFonts w:ascii="Cambria Math" w:hAnsi="Cambria Math"/>
              </w:rPr>
              <m:t>β</m:t>
            </m:r>
          </m:e>
        </m:acc>
      </m:oMath>
      <w:r>
        <w:t xml:space="preserve">, while out-of-sample domains take the regression value itself. The package supports the model on three scales through the </w:t>
      </w:r>
      <w:r>
        <w:rPr>
          <w:rStyle w:val="VerbatimChar"/>
        </w:rPr>
        <w:t>transformation</w:t>
      </w:r>
      <w:r>
        <w:t xml:space="preserve"> argument — none, log (welfare means, back-transformed by Duan-style smearing; Duan, 1983), and arcsin (rates) — and reports the analytical Prasad–Rao / Datta–Lahiri MSE of the </w:t>
      </w:r>
      <w:r>
        <w:rPr>
          <w:i/>
        </w:rPr>
        <w:t>unbenchmarked</w:t>
      </w:r>
      <w:r>
        <w:t xml:space="preserve"> EBLUP under the untransformed and log scales, or a parametric bootstrap under the arcsin scale (Prasad and Rao, 1990; Datta and Lahiri, 2000; Harmening et al., 2023).</w:t>
      </w:r>
    </w:p>
    <w:p w14:paraId="7CA492F7" w14:textId="77777777" w:rsidR="00313EA8" w:rsidRDefault="00000000">
      <w:pPr>
        <w:pStyle w:val="Heading2"/>
      </w:pPr>
      <w:bookmarkStart w:id="3" w:name="why-benchmark"/>
      <w:r>
        <w:t>3. Why benchmark?</w:t>
      </w:r>
      <w:bookmarkEnd w:id="3"/>
    </w:p>
    <w:p w14:paraId="7CA492F8" w14:textId="77777777" w:rsidR="00313EA8" w:rsidRDefault="00000000">
      <w:pPr>
        <w:pStyle w:val="FirstParagraph"/>
      </w:pPr>
      <w:r>
        <w:t xml:space="preserve">The shrinkage that makes the EBLUP efficient also breaks aggregate consistency. Because each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oMath>
      <w:r>
        <w:t xml:space="preserve"> is pulled toward its own regression mean, the population-weighted average of the model estimates over a region will generally differ from the corresponding direct regional aggregate. That direct aggregate is design-based and, pooled over many sampled units, is usually accepted at the coarser level as more reliable than any single small-area estimate. National statistical offices typically require disaggregated estimates to reproduce these trusted higher-level totals, whether the totals come from the same survey or from an external official source. Benchmarking enforces that consistency while preserving the relative pattern of poverty across domains within each region.</w:t>
      </w:r>
    </w:p>
    <w:p w14:paraId="7CA492F9" w14:textId="77777777" w:rsidR="00313EA8" w:rsidRDefault="00000000">
      <w:pPr>
        <w:pStyle w:val="Heading2"/>
      </w:pPr>
      <w:bookmarkStart w:id="4" w:name="the-benchmarking-framework"/>
      <w:r>
        <w:t>4. The benchmarking framework</w:t>
      </w:r>
      <w:bookmarkEnd w:id="4"/>
    </w:p>
    <w:p w14:paraId="7CA492FA" w14:textId="77777777" w:rsidR="00313EA8" w:rsidRDefault="00000000">
      <w:pPr>
        <w:pStyle w:val="FirstParagraph"/>
      </w:pPr>
      <w:r>
        <w:t xml:space="preserve">Benchmarking can be viewed as a constrained adjustment of the model estimates so that they satisfy an aggregate-consistency restriction. Given EBLUPs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oMath>
      <w:r>
        <w:t xml:space="preserve">, non-negative weights </w:t>
      </w:r>
      <m:oMath>
        <m:sSub>
          <m:sSubPr>
            <m:ctrlPr>
              <w:rPr>
                <w:rFonts w:ascii="Cambria Math" w:hAnsi="Cambria Math"/>
              </w:rPr>
            </m:ctrlPr>
          </m:sSubPr>
          <m:e>
            <m:r>
              <w:rPr>
                <w:rFonts w:ascii="Cambria Math" w:hAnsi="Cambria Math"/>
              </w:rPr>
              <m:t>ω</m:t>
            </m:r>
          </m:e>
          <m:sub>
            <m:r>
              <w:rPr>
                <w:rFonts w:ascii="Cambria Math" w:hAnsi="Cambria Math"/>
              </w:rPr>
              <m:t>d</m:t>
            </m:r>
          </m:sub>
        </m:sSub>
      </m:oMath>
      <w:r>
        <w:t xml:space="preserve"> summing to one over the benchmarked set, and a target </w:t>
      </w:r>
      <m:oMath>
        <m:r>
          <w:rPr>
            <w:rFonts w:ascii="Cambria Math" w:hAnsi="Cambria Math"/>
          </w:rPr>
          <m:t>τ</m:t>
        </m:r>
      </m:oMath>
      <w:r>
        <w:t xml:space="preserve">, the benchmarked estimates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ub>
        </m:sSub>
      </m:oMath>
      <w:r>
        <w:t xml:space="preserve"> minimize a weighted distance from the EBLUPs subject to reproducing the target,</w:t>
      </w:r>
    </w:p>
    <w:p w14:paraId="7CA492FB" w14:textId="77777777" w:rsidR="00313EA8" w:rsidRDefault="00000000">
      <w:pPr>
        <w:pStyle w:val="BodyText"/>
      </w:pPr>
      <m:oMathPara>
        <m:oMathParaPr>
          <m:jc m:val="center"/>
        </m:oMathParaPr>
        <m:oMath>
          <m:limLow>
            <m:limLowPr>
              <m:ctrlPr>
                <w:rPr>
                  <w:rFonts w:ascii="Cambria Math" w:hAnsi="Cambria Math"/>
                </w:rPr>
              </m:ctrlPr>
            </m:limLowPr>
            <m:e>
              <m:r>
                <m:rPr>
                  <m:nor/>
                </m:rPr>
                <m:t>min</m:t>
              </m:r>
            </m:e>
            <m:lim>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ub>
              </m:sSub>
              <m:r>
                <w:rPr>
                  <w:rFonts w:ascii="Cambria Math" w:hAnsi="Cambria Math"/>
                </w:rPr>
                <m:t>}</m:t>
              </m:r>
            </m:lim>
          </m:limLow>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d</m:t>
                  </m:r>
                </m:sub>
              </m:sSub>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m:t>
          </m:r>
          <m:r>
            <m:rPr>
              <m:nor/>
            </m:rPr>
            <m:t>subject to</m:t>
          </m:r>
          <m:r>
            <w:rPr>
              <w:rFonts w:ascii="Cambria Math" w:hAnsi="Cambria Math"/>
            </w:rPr>
            <m:t> </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ub>
          </m:sSub>
          <m:r>
            <w:rPr>
              <w:rFonts w:ascii="Cambria Math" w:hAnsi="Cambria Math"/>
            </w:rPr>
            <m:t>=τ.</m:t>
          </m:r>
        </m:oMath>
      </m:oMathPara>
    </w:p>
    <w:p w14:paraId="7CA492FC" w14:textId="77777777" w:rsidR="00313EA8" w:rsidRDefault="00000000">
      <w:pPr>
        <w:pStyle w:val="FirstParagraph"/>
      </w:pPr>
      <w:r>
        <w:t xml:space="preserve">Different internal weights </w:t>
      </w:r>
      <m:oMath>
        <m:sSub>
          <m:sSubPr>
            <m:ctrlPr>
              <w:rPr>
                <w:rFonts w:ascii="Cambria Math" w:hAnsi="Cambria Math"/>
              </w:rPr>
            </m:ctrlPr>
          </m:sSubPr>
          <m:e>
            <m:r>
              <w:rPr>
                <w:rFonts w:ascii="Cambria Math" w:hAnsi="Cambria Math"/>
              </w:rPr>
              <m:t>ϕ</m:t>
            </m:r>
          </m:e>
          <m:sub>
            <m:r>
              <w:rPr>
                <w:rFonts w:ascii="Cambria Math" w:hAnsi="Cambria Math"/>
              </w:rPr>
              <m:t>d</m:t>
            </m:r>
          </m:sub>
        </m:sSub>
      </m:oMath>
      <w:r>
        <w:t xml:space="preserve"> yield different adjustments: equal weights give a </w:t>
      </w:r>
      <w:r>
        <w:rPr>
          <w:i/>
        </w:rPr>
        <w:t>raking</w:t>
      </w:r>
      <w:r>
        <w:t xml:space="preserve"> (additive) shift applied to every domain, while weights proportional to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oMath>
      <w:r>
        <w:t xml:space="preserve"> give a </w:t>
      </w:r>
      <w:r>
        <w:rPr>
          <w:i/>
        </w:rPr>
        <w:t>ratio</w:t>
      </w:r>
      <w:r>
        <w:t xml:space="preserve"> (multiplicative) adjustment. More general benchmarking schemes are available in the literature (Datta, Ghosh, Steorts, and Maples, 2011; Bell, Datta, and Ghosh, 2013).</w:t>
      </w:r>
    </w:p>
    <w:p w14:paraId="7CA492FD" w14:textId="5BD70897" w:rsidR="00313EA8" w:rsidRDefault="00000000">
      <w:pPr>
        <w:pStyle w:val="BodyText"/>
      </w:pPr>
      <w:r>
        <w:t>For poverty rates</w:t>
      </w:r>
      <w:r w:rsidR="00D639A4">
        <w:t>,</w:t>
      </w:r>
      <w:r>
        <w:t xml:space="preserve"> the package uses the ratio adjustment. This is an implementation choice, not the only possible method: a multiplicative factor keeps </w:t>
      </w:r>
      <w:r w:rsidR="001B6BB2">
        <w:t xml:space="preserve">all benchmarked rates non-negative and preserves </w:t>
      </w:r>
      <w:r>
        <w:t>proportional differences among domains within a benchmark area. For an unbounded indicator (for example, a log-welfare mean before back-transformation), an additive raking shift may be preferable.</w:t>
      </w:r>
    </w:p>
    <w:p w14:paraId="7CA492FE" w14:textId="77777777" w:rsidR="00313EA8" w:rsidRDefault="00000000">
      <w:pPr>
        <w:pStyle w:val="Heading2"/>
      </w:pPr>
      <w:bookmarkStart w:id="5" w:name="Xf155ff25516c74b55f119837dc4818339f83b1e"/>
      <w:r>
        <w:lastRenderedPageBreak/>
        <w:t>5. Point-estimate benchmarking in the package</w:t>
      </w:r>
      <w:bookmarkEnd w:id="5"/>
    </w:p>
    <w:p w14:paraId="7CA492FF" w14:textId="77777777" w:rsidR="00313EA8" w:rsidRDefault="00000000">
      <w:pPr>
        <w:pStyle w:val="FirstParagraph"/>
      </w:pPr>
      <w:r>
        <w:rPr>
          <w:rStyle w:val="VerbatimChar"/>
        </w:rPr>
        <w:t>bench_regional()</w:t>
      </w:r>
      <w:r>
        <w:t xml:space="preserve"> applies the ratio adjustment one benchmark area at a time (regions by default). Within area </w:t>
      </w:r>
      <m:oMath>
        <m:r>
          <w:rPr>
            <w:rFonts w:ascii="Cambria Math" w:hAnsi="Cambria Math"/>
          </w:rPr>
          <m:t>r</m:t>
        </m:r>
      </m:oMath>
      <w:r>
        <w:t xml:space="preserve"> it forms the target from the direct estimates and the model-side mean from the EBLUPs, both population-weighted over the same domains, and then rescales:</w:t>
      </w:r>
    </w:p>
    <w:p w14:paraId="7CA49300" w14:textId="77777777" w:rsidR="00313EA8"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num>
            <m:den>
              <m:nary>
                <m:naryPr>
                  <m:chr m:val="∑"/>
                  <m:limLoc m:val="undOvr"/>
                  <m:supHide m:val="1"/>
                  <m:ctrlPr>
                    <w:rPr>
                      <w:rFonts w:ascii="Cambria Math" w:hAnsi="Cambria Math"/>
                    </w:rPr>
                  </m:ctrlPr>
                </m:naryPr>
                <m:sub>
                  <m:r>
                    <w:rPr>
                      <w:rFonts w:ascii="Cambria Math" w:hAnsi="Cambria Math"/>
                    </w:rPr>
                    <m:t>d∈r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r</m:t>
                  </m:r>
                </m:sub>
              </m:sSub>
            </m:num>
            <m:den>
              <m:nary>
                <m:naryPr>
                  <m:chr m:val="∑"/>
                  <m:limLoc m:val="undOvr"/>
                  <m:supHide m:val="1"/>
                  <m:ctrlPr>
                    <w:rPr>
                      <w:rFonts w:ascii="Cambria Math" w:hAnsi="Cambria Math"/>
                    </w:rPr>
                  </m:ctrlPr>
                </m:naryPr>
                <m:sub>
                  <m:r>
                    <w:rPr>
                      <w:rFonts w:ascii="Cambria Math" w:hAnsi="Cambria Math"/>
                    </w:rPr>
                    <m:t>d∈r</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r,d</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r>
            <w:rPr>
              <w:rFonts w:ascii="Cambria Math" w:hAnsi="Cambria Math"/>
            </w:rPr>
            <m:t> (d∈r),</m:t>
          </m:r>
        </m:oMath>
      </m:oMathPara>
    </w:p>
    <w:p w14:paraId="7CA49301" w14:textId="63716C82" w:rsidR="00313EA8" w:rsidRDefault="00000000">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is the population size of domain </w:t>
      </w:r>
      <m:oMath>
        <m:r>
          <w:rPr>
            <w:rFonts w:ascii="Cambria Math" w:hAnsi="Cambria Math"/>
          </w:rPr>
          <m:t>d</m:t>
        </m:r>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r,d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oMath>
      <w:r>
        <w:t xml:space="preserve">. The target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is the survey-direct regional poverty rate; by construction</w:t>
      </w:r>
      <w:r w:rsidR="001B6BB2">
        <w:t>,</w:t>
      </w:r>
      <w:r>
        <w:t xml:space="preserve"> the population-weighted mean of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oMath>
      <w:r>
        <w:t xml:space="preserve"> within region </w:t>
      </w:r>
      <m:oMath>
        <m:r>
          <w:rPr>
            <w:rFonts w:ascii="Cambria Math" w:hAnsi="Cambria Math"/>
          </w:rPr>
          <m:t>r</m:t>
        </m:r>
      </m:oMath>
      <w:r>
        <w:t xml:space="preserve"> equals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so the benchmarked map reproduces each regional direct rate exactly. An external official total can be substituted for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where one is preferred. As implemented,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is set to </w:t>
      </w:r>
      <m:oMath>
        <m:r>
          <w:rPr>
            <w:rFonts w:ascii="Cambria Math" w:hAnsi="Cambria Math"/>
          </w:rPr>
          <m:t>1</m:t>
        </m:r>
      </m:oMath>
      <w:r>
        <w:t xml:space="preserve"> whenever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is missing or the denominator falls below a small tolerance (</w:t>
      </w:r>
      <w:r>
        <w:rPr>
          <w:rStyle w:val="VerbatimChar"/>
        </w:rPr>
        <w:t>eps_denom</w:t>
      </w:r>
      <w:r>
        <w:t>); when no benchmark-area column is supplied, all domains are pooled into a single national area.</w:t>
      </w:r>
    </w:p>
    <w:p w14:paraId="7CA49302" w14:textId="77777777" w:rsidR="00313EA8" w:rsidRDefault="00000000">
      <w:pPr>
        <w:pStyle w:val="Heading2"/>
      </w:pPr>
      <w:bookmarkStart w:id="6" w:name="mse-of-the-benchmarked-rates"/>
      <w:r>
        <w:t>6. MSE of the benchmarked rates</w:t>
      </w:r>
      <w:bookmarkEnd w:id="6"/>
    </w:p>
    <w:p w14:paraId="7CA49303" w14:textId="77777777" w:rsidR="00313EA8" w:rsidRDefault="00000000">
      <w:pPr>
        <w:pStyle w:val="FirstParagraph"/>
      </w:pPr>
      <w:r>
        <w:t>Consistent with the benchmarking literature, the uncertainty of a benchmarked predictor is assessed relative to the underlying true small-area value, not relative to the aggregate benchmark constraint:</w:t>
      </w:r>
    </w:p>
    <w:p w14:paraId="7CA49304" w14:textId="77777777" w:rsidR="00313EA8" w:rsidRDefault="00000000">
      <w:pPr>
        <w:pStyle w:val="BodyText"/>
      </w:pPr>
      <m:oMathPara>
        <m:oMathParaPr>
          <m:jc m:val="center"/>
        </m:oMathParaPr>
        <m:oMath>
          <m:r>
            <m:rPr>
              <m:sty m:val="p"/>
            </m:rPr>
            <w:rPr>
              <w:rFonts w:ascii="Cambria Math" w:hAnsi="Cambria Math"/>
            </w: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)=E[(</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7CA49305" w14:textId="7ADB2D8F" w:rsidR="00313EA8" w:rsidRDefault="00000000">
      <w:pPr>
        <w:pStyle w:val="FirstParagraph"/>
      </w:pPr>
      <w:r>
        <w:t xml:space="preserve">The benchmark factor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is itself estimated from the data, so the benchmarked predictor is a nonlinear function of the fitted EBLUPs. The package</w:t>
      </w:r>
      <w:r w:rsidR="001B6BB2">
        <w:t>, therefore,</w:t>
      </w:r>
      <w:r>
        <w:t xml:space="preserve"> estimates this MSE </w:t>
      </w:r>
      <w:r w:rsidR="002C5C57">
        <w:t>via bootstrapping rather than relying on the analytical MSE of the unbenchmarked FH estimator, doing so by re-running the benchmarking step in</w:t>
      </w:r>
      <w:r>
        <w:t xml:space="preserve"> each bootstrap replicate.</w:t>
      </w:r>
    </w:p>
    <w:p w14:paraId="7CA49306" w14:textId="0597D0B1" w:rsidR="00313EA8" w:rsidRDefault="00000000">
      <w:pPr>
        <w:pStyle w:val="BodyText"/>
      </w:pPr>
      <w:r>
        <w:t xml:space="preserve">The UFH routine uses a </w:t>
      </w:r>
      <w:r>
        <w:rPr>
          <w:b/>
        </w:rPr>
        <w:t>model-based bootstrap</w:t>
      </w:r>
      <w:r>
        <w:t xml:space="preserve">: it resamples the centered and rescaled fitted random effects and residuals (the random effects rescaled to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 xml:space="preserve"> and the residuals to unit variance) forms synthetic sampling errors </w:t>
      </w:r>
      <m:oMath>
        <m:sSubSup>
          <m:sSubSupPr>
            <m:ctrlPr>
              <w:rPr>
                <w:rFonts w:ascii="Cambria Math" w:hAnsi="Cambria Math"/>
              </w:rPr>
            </m:ctrlPr>
          </m:sSubSupPr>
          <m:e>
            <m:r>
              <w:rPr>
                <w:rFonts w:ascii="Cambria Math" w:hAnsi="Cambria Math"/>
              </w:rPr>
              <m:t>e</m:t>
            </m:r>
          </m:e>
          <m:sub>
            <m:r>
              <w:rPr>
                <w:rFonts w:ascii="Cambria Math" w:hAnsi="Cambria Math"/>
              </w:rPr>
              <m:t>d</m:t>
            </m:r>
          </m:sub>
          <m:sup>
            <m:r>
              <w:rPr>
                <w:rFonts w:ascii="Cambria Math" w:hAnsi="Cambria Math"/>
              </w:rPr>
              <m:t>(b)</m:t>
            </m:r>
          </m:sup>
        </m:sSubSup>
        <m:r>
          <w:rPr>
            <w:rFonts w:ascii="Cambria Math" w:hAnsi="Cambria Math"/>
          </w:rPr>
          <m:t>=</m:t>
        </m:r>
        <m:sSubSup>
          <m:sSubSupPr>
            <m:ctrlPr>
              <w:rPr>
                <w:rFonts w:ascii="Cambria Math" w:hAnsi="Cambria Math"/>
              </w:rPr>
            </m:ctrlPr>
          </m:sSubSupPr>
          <m:e>
            <m:r>
              <m:rPr>
                <m:sty m:val="p"/>
              </m:rPr>
              <w:rPr>
                <w:rFonts w:ascii="Cambria Math" w:hAnsi="Cambria Math"/>
              </w:rPr>
              <m:t>res</m:t>
            </m:r>
          </m:e>
          <m:sub>
            <m:r>
              <w:rPr>
                <w:rFonts w:ascii="Cambria Math" w:hAnsi="Cambria Math"/>
              </w:rPr>
              <m:t>d</m:t>
            </m:r>
          </m:sub>
          <m:sup>
            <m:r>
              <w:rPr>
                <w:rFonts w:ascii="Cambria Math" w:hAnsi="Cambria Math"/>
              </w:rPr>
              <m:t>(b)</m:t>
            </m:r>
          </m:sup>
        </m:sSubSup>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ub>
            </m:sSub>
          </m:e>
        </m:rad>
      </m:oMath>
      <w:r>
        <w:t xml:space="preserve">, and builds a synthetic truth and observation </w:t>
      </w:r>
      <m:oMath>
        <m:sSubSup>
          <m:sSubSupPr>
            <m:ctrlPr>
              <w:rPr>
                <w:rFonts w:ascii="Cambria Math" w:hAnsi="Cambria Math"/>
              </w:rPr>
            </m:ctrlPr>
          </m:sSubSupPr>
          <m:e>
            <m:r>
              <w:rPr>
                <w:rFonts w:ascii="Cambria Math" w:hAnsi="Cambria Math"/>
              </w:rPr>
              <m:t>θ</m:t>
            </m:r>
          </m:e>
          <m:sub>
            <m:r>
              <w:rPr>
                <w:rFonts w:ascii="Cambria Math" w:hAnsi="Cambria Math"/>
              </w:rPr>
              <m:t>d</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d</m:t>
            </m:r>
          </m:sub>
          <m:sup>
            <m:r>
              <w:rPr>
                <w:rFonts w:ascii="Cambria Math" w:hAnsi="Cambria Math"/>
              </w:rPr>
              <m:t>⊤</m:t>
            </m:r>
          </m:sup>
        </m:sSubSup>
        <m:acc>
          <m:accPr>
            <m:ctrlPr>
              <w:rPr>
                <w:rFonts w:ascii="Cambria Math" w:hAnsi="Cambria Math"/>
              </w:rPr>
            </m:ctrlPr>
          </m:accPr>
          <m:e>
            <m:r>
              <w:rPr>
                <w:rFonts w:ascii="Cambria Math" w:hAnsi="Cambria Math"/>
              </w:rPr>
              <m:t>β</m:t>
            </m:r>
          </m:e>
        </m:acc>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(b)</m:t>
            </m:r>
          </m:sup>
        </m:sSubSup>
      </m:oMath>
      <w:r>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d</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m:t>
            </m:r>
          </m:sub>
          <m:sup>
            <m:r>
              <w:rPr>
                <w:rFonts w:ascii="Cambria Math" w:hAnsi="Cambria Math"/>
              </w:rPr>
              <m:t>(b)</m:t>
            </m:r>
          </m:sup>
        </m:sSubSup>
      </m:oMath>
      <w:r>
        <w:t xml:space="preserve">. Each replicate refits the Fay–Herriot model, re-benchmarks the new EBLUPs (with </w:t>
      </w:r>
      <m:oMath>
        <m:sSubSup>
          <m:sSubSupPr>
            <m:ctrlPr>
              <w:rPr>
                <w:rFonts w:ascii="Cambria Math" w:hAnsi="Cambria Math"/>
              </w:rPr>
            </m:ctrlPr>
          </m:sSubSupPr>
          <m:e>
            <m:r>
              <w:rPr>
                <w:rFonts w:ascii="Cambria Math" w:hAnsi="Cambria Math"/>
              </w:rPr>
              <m:t>y</m:t>
            </m:r>
          </m:e>
          <m:sub>
            <m:r>
              <w:rPr>
                <w:rFonts w:ascii="Cambria Math" w:hAnsi="Cambria Math"/>
              </w:rPr>
              <m:t>d</m:t>
            </m:r>
          </m:sub>
          <m:sup>
            <m:r>
              <w:rPr>
                <w:rFonts w:ascii="Cambria Math" w:hAnsi="Cambria Math"/>
              </w:rPr>
              <m:t>(b)</m:t>
            </m:r>
          </m:sup>
        </m:sSubSup>
      </m:oMath>
      <w:r>
        <w:t xml:space="preserve"> playing the role of the direct estimate), and compares the result to the synthetic truth. Averaging over the successful replicates gives</w:t>
      </w:r>
    </w:p>
    <w:p w14:paraId="7CA49307" w14:textId="77777777" w:rsidR="00313EA8" w:rsidRDefault="00000000">
      <w:pPr>
        <w:pStyle w:val="BodyText"/>
      </w:pPr>
      <m:oMathPara>
        <m:oMathParaPr>
          <m:jc m:val="center"/>
        </m:oMathParaPr>
        <m:oMath>
          <m:acc>
            <m:accPr>
              <m:ctrlPr>
                <w:rPr>
                  <w:rFonts w:ascii="Cambria Math" w:hAnsi="Cambria Math"/>
                </w:rPr>
              </m:ctrlPr>
            </m:accPr>
            <m:e>
              <m:r>
                <m:rPr>
                  <m:sty m:val="p"/>
                </m:rPr>
                <w:rPr>
                  <w:rFonts w:ascii="Cambria Math" w:hAnsi="Cambria Math"/>
                </w:rPr>
                <m:t>MSE</m:t>
              </m:r>
            </m:e>
          </m:acc>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b=1</m:t>
              </m:r>
            </m:sub>
            <m:sup>
              <m:r>
                <w:rPr>
                  <w:rFonts w:ascii="Cambria Math" w:hAnsi="Cambria Math"/>
                </w:rPr>
                <m:t>B</m:t>
              </m:r>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sub>
            <m:sup>
              <m:r>
                <w:rPr>
                  <w:rFonts w:ascii="Cambria Math" w:hAnsi="Cambria Math"/>
                </w:rPr>
                <m:t>(b)</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7CA49308" w14:textId="0E8588A4" w:rsidR="00313EA8" w:rsidRDefault="00000000">
      <w:pPr>
        <w:pStyle w:val="FirstParagraph"/>
      </w:pPr>
      <w:r>
        <w:t xml:space="preserve">Re-running the benchmarking inside every replicate is what propagates the variability of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into the MSE. This model-based resampling differs from the fully parametric MFH bootstrap described in Part II, which draws random effects and sampling errors directly from the fitted normal model. Replicates that fail to converge are skipped</w:t>
      </w:r>
      <w:r w:rsidR="00DA7712">
        <w:t>, and the divisor is reduced accordingly; with MSE = FALSE,</w:t>
      </w:r>
      <w:r>
        <w:t xml:space="preserve"> the benchmarked MSE is set to the unbenchmarked FH MSE as a placeholder. Results are returned on the original poverty scale (Duan smearing for the log model</w:t>
      </w:r>
      <w:r w:rsidR="005829D2">
        <w:t xml:space="preserve"> and the arcsin back-transform for rates), with variances propagated via</w:t>
      </w:r>
      <w:r>
        <w:t xml:space="preserve"> the delta method.</w:t>
      </w:r>
    </w:p>
    <w:p w14:paraId="7CA49309" w14:textId="77777777" w:rsidR="00313EA8" w:rsidRDefault="00000000">
      <w:pPr>
        <w:pStyle w:val="Heading2"/>
      </w:pPr>
      <w:bookmarkStart w:id="7" w:name="function-interface-and-outputs"/>
      <w:r>
        <w:lastRenderedPageBreak/>
        <w:t>7. Function interface and outputs</w:t>
      </w:r>
      <w:bookmarkEnd w:id="7"/>
    </w:p>
    <w:p w14:paraId="7CA4930A" w14:textId="77777777" w:rsidR="00313EA8" w:rsidRDefault="00000000">
      <w:pPr>
        <w:pStyle w:val="FirstParagraph"/>
      </w:pPr>
      <w:r>
        <w:rPr>
          <w:rStyle w:val="VerbatimChar"/>
        </w:rPr>
        <w:t>bench_regional()</w:t>
      </w:r>
      <w:r>
        <w:t xml:space="preserve"> takes the fitted </w:t>
      </w:r>
      <w:r>
        <w:rPr>
          <w:rStyle w:val="VerbatimChar"/>
        </w:rPr>
        <w:t>emdi</w:t>
      </w:r>
      <w:r>
        <w:t xml:space="preserve"> model and a small data frame describing the benchmark geography, and returns the model object augmented with the benchmarked column and its MSE.</w:t>
      </w:r>
    </w:p>
    <w:p w14:paraId="7CA4930B" w14:textId="77777777" w:rsidR="00313EA8" w:rsidRDefault="00000000">
      <w:pPr>
        <w:pStyle w:val="BodyText"/>
      </w:pPr>
      <w:r>
        <w:t xml:space="preserve">Table 1. Arguments of </w:t>
      </w:r>
      <w:r>
        <w:rPr>
          <w:rStyle w:val="VerbatimChar"/>
        </w:rPr>
        <w:t>bench_regional()</w:t>
      </w:r>
      <w:r>
        <w:t>.</w:t>
      </w:r>
    </w:p>
    <w:tbl>
      <w:tblPr>
        <w:tblStyle w:val="Table"/>
        <w:tblW w:w="5000" w:type="pct"/>
        <w:tblLook w:val="07E0" w:firstRow="1" w:lastRow="1" w:firstColumn="1" w:lastColumn="1" w:noHBand="1" w:noVBand="1"/>
      </w:tblPr>
      <w:tblGrid>
        <w:gridCol w:w="1305"/>
        <w:gridCol w:w="1137"/>
        <w:gridCol w:w="876"/>
        <w:gridCol w:w="6258"/>
      </w:tblGrid>
      <w:tr w:rsidR="00313EA8" w14:paraId="7CA49310" w14:textId="77777777">
        <w:tc>
          <w:tcPr>
            <w:tcW w:w="0" w:type="auto"/>
            <w:tcBorders>
              <w:bottom w:val="single" w:sz="0" w:space="0" w:color="auto"/>
            </w:tcBorders>
            <w:vAlign w:val="bottom"/>
          </w:tcPr>
          <w:p w14:paraId="7CA4930C" w14:textId="77777777" w:rsidR="00313EA8" w:rsidRDefault="00000000">
            <w:pPr>
              <w:pStyle w:val="Compact"/>
            </w:pPr>
            <w:r>
              <w:t>Argument</w:t>
            </w:r>
          </w:p>
        </w:tc>
        <w:tc>
          <w:tcPr>
            <w:tcW w:w="0" w:type="auto"/>
            <w:tcBorders>
              <w:bottom w:val="single" w:sz="0" w:space="0" w:color="auto"/>
            </w:tcBorders>
            <w:vAlign w:val="bottom"/>
          </w:tcPr>
          <w:p w14:paraId="7CA4930D" w14:textId="77777777" w:rsidR="00313EA8" w:rsidRDefault="00000000">
            <w:pPr>
              <w:pStyle w:val="Compact"/>
            </w:pPr>
            <w:r>
              <w:t>Type</w:t>
            </w:r>
          </w:p>
        </w:tc>
        <w:tc>
          <w:tcPr>
            <w:tcW w:w="0" w:type="auto"/>
            <w:tcBorders>
              <w:bottom w:val="single" w:sz="0" w:space="0" w:color="auto"/>
            </w:tcBorders>
            <w:vAlign w:val="bottom"/>
          </w:tcPr>
          <w:p w14:paraId="7CA4930E" w14:textId="77777777" w:rsidR="00313EA8" w:rsidRDefault="00000000">
            <w:pPr>
              <w:pStyle w:val="Compact"/>
            </w:pPr>
            <w:r>
              <w:t>Default</w:t>
            </w:r>
          </w:p>
        </w:tc>
        <w:tc>
          <w:tcPr>
            <w:tcW w:w="0" w:type="auto"/>
            <w:tcBorders>
              <w:bottom w:val="single" w:sz="0" w:space="0" w:color="auto"/>
            </w:tcBorders>
            <w:vAlign w:val="bottom"/>
          </w:tcPr>
          <w:p w14:paraId="7CA4930F" w14:textId="77777777" w:rsidR="00313EA8" w:rsidRDefault="00000000">
            <w:pPr>
              <w:pStyle w:val="Compact"/>
            </w:pPr>
            <w:r>
              <w:t>Meaning</w:t>
            </w:r>
          </w:p>
        </w:tc>
      </w:tr>
      <w:tr w:rsidR="00313EA8" w14:paraId="7CA49315" w14:textId="77777777">
        <w:tc>
          <w:tcPr>
            <w:tcW w:w="0" w:type="auto"/>
          </w:tcPr>
          <w:p w14:paraId="7CA49311" w14:textId="77777777" w:rsidR="00313EA8" w:rsidRDefault="00000000">
            <w:pPr>
              <w:pStyle w:val="Compact"/>
            </w:pPr>
            <w:r>
              <w:rPr>
                <w:rStyle w:val="VerbatimChar"/>
              </w:rPr>
              <w:t>model</w:t>
            </w:r>
          </w:p>
        </w:tc>
        <w:tc>
          <w:tcPr>
            <w:tcW w:w="0" w:type="auto"/>
          </w:tcPr>
          <w:p w14:paraId="7CA49312" w14:textId="77777777" w:rsidR="00313EA8" w:rsidRDefault="00000000">
            <w:pPr>
              <w:pStyle w:val="Compact"/>
            </w:pPr>
            <w:r>
              <w:t>emdi fh fit</w:t>
            </w:r>
          </w:p>
        </w:tc>
        <w:tc>
          <w:tcPr>
            <w:tcW w:w="0" w:type="auto"/>
          </w:tcPr>
          <w:p w14:paraId="7CA49313" w14:textId="77777777" w:rsidR="00313EA8" w:rsidRDefault="00000000">
            <w:pPr>
              <w:pStyle w:val="Compact"/>
            </w:pPr>
            <w:r>
              <w:t>—</w:t>
            </w:r>
          </w:p>
        </w:tc>
        <w:tc>
          <w:tcPr>
            <w:tcW w:w="0" w:type="auto"/>
          </w:tcPr>
          <w:p w14:paraId="7CA49314" w14:textId="77777777" w:rsidR="00313EA8" w:rsidRDefault="00000000">
            <w:pPr>
              <w:pStyle w:val="Compact"/>
            </w:pPr>
            <w:r>
              <w:t>Fitted univariate Fay–Herriot object whose EBLUPs are benchmarked</w:t>
            </w:r>
          </w:p>
        </w:tc>
      </w:tr>
      <w:tr w:rsidR="00313EA8" w14:paraId="7CA4931A" w14:textId="77777777">
        <w:tc>
          <w:tcPr>
            <w:tcW w:w="0" w:type="auto"/>
          </w:tcPr>
          <w:p w14:paraId="7CA49316" w14:textId="77777777" w:rsidR="00313EA8" w:rsidRDefault="00000000">
            <w:pPr>
              <w:pStyle w:val="Compact"/>
            </w:pPr>
            <w:r>
              <w:rPr>
                <w:rStyle w:val="VerbatimChar"/>
              </w:rPr>
              <w:t>region_df</w:t>
            </w:r>
          </w:p>
        </w:tc>
        <w:tc>
          <w:tcPr>
            <w:tcW w:w="0" w:type="auto"/>
          </w:tcPr>
          <w:p w14:paraId="7CA49317" w14:textId="77777777" w:rsidR="00313EA8" w:rsidRDefault="00000000">
            <w:pPr>
              <w:pStyle w:val="Compact"/>
            </w:pPr>
            <w:r>
              <w:t>data frame</w:t>
            </w:r>
          </w:p>
        </w:tc>
        <w:tc>
          <w:tcPr>
            <w:tcW w:w="0" w:type="auto"/>
          </w:tcPr>
          <w:p w14:paraId="7CA49318" w14:textId="77777777" w:rsidR="00313EA8" w:rsidRDefault="00000000">
            <w:pPr>
              <w:pStyle w:val="Compact"/>
            </w:pPr>
            <w:r>
              <w:t>—</w:t>
            </w:r>
          </w:p>
        </w:tc>
        <w:tc>
          <w:tcPr>
            <w:tcW w:w="0" w:type="auto"/>
          </w:tcPr>
          <w:p w14:paraId="7CA49319" w14:textId="77777777" w:rsidR="00313EA8" w:rsidRDefault="00000000">
            <w:pPr>
              <w:pStyle w:val="Compact"/>
            </w:pPr>
            <w:r>
              <w:t xml:space="preserve">Columns </w:t>
            </w:r>
            <w:r>
              <w:rPr>
                <w:rStyle w:val="VerbatimChar"/>
              </w:rPr>
              <w:t>domain</w:t>
            </w:r>
            <w:r>
              <w:t xml:space="preserve">, </w:t>
            </w:r>
            <w:r>
              <w:rPr>
                <w:rStyle w:val="VerbatimChar"/>
              </w:rPr>
              <w:t>region</w:t>
            </w:r>
            <w:r>
              <w:t xml:space="preserve">, </w:t>
            </w:r>
            <w:r>
              <w:rPr>
                <w:rStyle w:val="VerbatimChar"/>
              </w:rPr>
              <w:t>Nd</w:t>
            </w:r>
            <w:r>
              <w:t xml:space="preserve">, </w:t>
            </w:r>
            <w:r>
              <w:rPr>
                <w:rStyle w:val="VerbatimChar"/>
              </w:rPr>
              <w:t>direct_povrate</w:t>
            </w:r>
            <w:r>
              <w:t xml:space="preserve"> defining each area</w:t>
            </w:r>
          </w:p>
        </w:tc>
      </w:tr>
      <w:tr w:rsidR="00313EA8" w14:paraId="7CA4931F" w14:textId="77777777">
        <w:tc>
          <w:tcPr>
            <w:tcW w:w="0" w:type="auto"/>
          </w:tcPr>
          <w:p w14:paraId="7CA4931B" w14:textId="77777777" w:rsidR="00313EA8" w:rsidRDefault="00000000">
            <w:pPr>
              <w:pStyle w:val="Compact"/>
            </w:pPr>
            <w:r>
              <w:rPr>
                <w:rStyle w:val="VerbatimChar"/>
              </w:rPr>
              <w:t>MSE</w:t>
            </w:r>
          </w:p>
        </w:tc>
        <w:tc>
          <w:tcPr>
            <w:tcW w:w="0" w:type="auto"/>
          </w:tcPr>
          <w:p w14:paraId="7CA4931C" w14:textId="77777777" w:rsidR="00313EA8" w:rsidRDefault="00000000">
            <w:pPr>
              <w:pStyle w:val="Compact"/>
            </w:pPr>
            <w:r>
              <w:t>logical</w:t>
            </w:r>
          </w:p>
        </w:tc>
        <w:tc>
          <w:tcPr>
            <w:tcW w:w="0" w:type="auto"/>
          </w:tcPr>
          <w:p w14:paraId="7CA4931D" w14:textId="77777777" w:rsidR="00313EA8" w:rsidRDefault="00000000">
            <w:pPr>
              <w:pStyle w:val="Compact"/>
            </w:pPr>
            <w:r>
              <w:rPr>
                <w:rStyle w:val="VerbatimChar"/>
              </w:rPr>
              <w:t>FALSE</w:t>
            </w:r>
          </w:p>
        </w:tc>
        <w:tc>
          <w:tcPr>
            <w:tcW w:w="0" w:type="auto"/>
          </w:tcPr>
          <w:p w14:paraId="7CA4931E" w14:textId="77777777" w:rsidR="00313EA8" w:rsidRDefault="00000000">
            <w:pPr>
              <w:pStyle w:val="Compact"/>
            </w:pPr>
            <w:r>
              <w:t xml:space="preserve">If </w:t>
            </w:r>
            <w:r>
              <w:rPr>
                <w:rStyle w:val="VerbatimChar"/>
              </w:rPr>
              <w:t>TRUE</w:t>
            </w:r>
            <w:r>
              <w:t>, run the bootstrap to estimate the benchmarked MSE</w:t>
            </w:r>
          </w:p>
        </w:tc>
      </w:tr>
      <w:tr w:rsidR="00313EA8" w14:paraId="7CA49324" w14:textId="77777777" w:rsidTr="005829D2">
        <w:tc>
          <w:tcPr>
            <w:tcW w:w="0" w:type="auto"/>
          </w:tcPr>
          <w:p w14:paraId="7CA49320" w14:textId="77777777" w:rsidR="00313EA8" w:rsidRDefault="00000000">
            <w:pPr>
              <w:pStyle w:val="Compact"/>
            </w:pPr>
            <w:r>
              <w:rPr>
                <w:rStyle w:val="VerbatimChar"/>
              </w:rPr>
              <w:t>B</w:t>
            </w:r>
          </w:p>
        </w:tc>
        <w:tc>
          <w:tcPr>
            <w:tcW w:w="0" w:type="auto"/>
          </w:tcPr>
          <w:p w14:paraId="7CA49321" w14:textId="77777777" w:rsidR="00313EA8" w:rsidRDefault="00000000">
            <w:pPr>
              <w:pStyle w:val="Compact"/>
            </w:pPr>
            <w:r>
              <w:t>integer</w:t>
            </w:r>
          </w:p>
        </w:tc>
        <w:tc>
          <w:tcPr>
            <w:tcW w:w="0" w:type="auto"/>
          </w:tcPr>
          <w:p w14:paraId="7CA49322" w14:textId="77777777" w:rsidR="00313EA8" w:rsidRDefault="00000000">
            <w:pPr>
              <w:pStyle w:val="Compact"/>
            </w:pPr>
            <w:r>
              <w:rPr>
                <w:rStyle w:val="VerbatimChar"/>
              </w:rPr>
              <w:t>200</w:t>
            </w:r>
          </w:p>
        </w:tc>
        <w:tc>
          <w:tcPr>
            <w:tcW w:w="0" w:type="auto"/>
          </w:tcPr>
          <w:p w14:paraId="7CA49323" w14:textId="77777777" w:rsidR="00313EA8" w:rsidRDefault="00000000">
            <w:pPr>
              <w:pStyle w:val="Compact"/>
            </w:pPr>
            <w:r>
              <w:t>Number of bootstrap replicates</w:t>
            </w:r>
          </w:p>
        </w:tc>
      </w:tr>
      <w:tr w:rsidR="00313EA8" w14:paraId="7CA49329" w14:textId="77777777" w:rsidTr="005829D2">
        <w:tc>
          <w:tcPr>
            <w:tcW w:w="0" w:type="auto"/>
            <w:tcBorders>
              <w:bottom w:val="single" w:sz="4" w:space="0" w:color="auto"/>
            </w:tcBorders>
          </w:tcPr>
          <w:p w14:paraId="7CA49325" w14:textId="77777777" w:rsidR="00313EA8" w:rsidRDefault="00000000">
            <w:pPr>
              <w:pStyle w:val="Compact"/>
            </w:pPr>
            <w:r>
              <w:rPr>
                <w:rStyle w:val="VerbatimChar"/>
              </w:rPr>
              <w:t>seed</w:t>
            </w:r>
          </w:p>
        </w:tc>
        <w:tc>
          <w:tcPr>
            <w:tcW w:w="0" w:type="auto"/>
            <w:tcBorders>
              <w:bottom w:val="single" w:sz="4" w:space="0" w:color="auto"/>
            </w:tcBorders>
          </w:tcPr>
          <w:p w14:paraId="7CA49326" w14:textId="77777777" w:rsidR="00313EA8" w:rsidRDefault="00000000">
            <w:pPr>
              <w:pStyle w:val="Compact"/>
            </w:pPr>
            <w:r>
              <w:t>integer</w:t>
            </w:r>
          </w:p>
        </w:tc>
        <w:tc>
          <w:tcPr>
            <w:tcW w:w="0" w:type="auto"/>
            <w:tcBorders>
              <w:bottom w:val="single" w:sz="4" w:space="0" w:color="auto"/>
            </w:tcBorders>
          </w:tcPr>
          <w:p w14:paraId="7CA49327" w14:textId="77777777" w:rsidR="00313EA8" w:rsidRDefault="00000000">
            <w:pPr>
              <w:pStyle w:val="Compact"/>
            </w:pPr>
            <w:r>
              <w:rPr>
                <w:rStyle w:val="VerbatimChar"/>
              </w:rPr>
              <w:t>123</w:t>
            </w:r>
          </w:p>
        </w:tc>
        <w:tc>
          <w:tcPr>
            <w:tcW w:w="0" w:type="auto"/>
            <w:tcBorders>
              <w:bottom w:val="single" w:sz="4" w:space="0" w:color="auto"/>
            </w:tcBorders>
          </w:tcPr>
          <w:p w14:paraId="7CA49328" w14:textId="77777777" w:rsidR="00313EA8" w:rsidRDefault="00000000">
            <w:pPr>
              <w:pStyle w:val="Compact"/>
            </w:pPr>
            <w:r>
              <w:t>Seed for reproducibility of the bootstrap draws</w:t>
            </w:r>
          </w:p>
        </w:tc>
      </w:tr>
    </w:tbl>
    <w:p w14:paraId="7CA4932A" w14:textId="752985CF" w:rsidR="00313EA8" w:rsidRDefault="00000000">
      <w:pPr>
        <w:pStyle w:val="BodyText"/>
      </w:pPr>
      <w:r>
        <w:t xml:space="preserve">The driver </w:t>
      </w:r>
      <w:r>
        <w:rPr>
          <w:rStyle w:val="VerbatimChar"/>
        </w:rPr>
        <w:t>01_ufh.R</w:t>
      </w:r>
      <w:r>
        <w:t xml:space="preserve"> builds </w:t>
      </w:r>
      <w:r>
        <w:rPr>
          <w:rStyle w:val="VerbatimChar"/>
        </w:rPr>
        <w:t>region_df</w:t>
      </w:r>
      <w:r>
        <w:t xml:space="preserve"> from the survey (the benchmark-area column defaults to the region; absent that, a single national area is used), computes the regional benchmarks, calls </w:t>
      </w:r>
      <w:r>
        <w:rPr>
          <w:rStyle w:val="VerbatimChar"/>
        </w:rPr>
        <w:t>bench_regional(..., MSE = TRUE, B = 200)</w:t>
      </w:r>
      <w:r>
        <w:t xml:space="preserve">, and extracts results with </w:t>
      </w:r>
      <w:r>
        <w:rPr>
          <w:rStyle w:val="VerbatimChar"/>
        </w:rPr>
        <w:t>estimators(fh_bench, MSE = TRUE, CV = TRUE)</w:t>
      </w:r>
      <w:r>
        <w:t xml:space="preserve">. The output table </w:t>
      </w:r>
      <w:r w:rsidR="00BF56B1">
        <w:t>includes the Direct, FH, and FH_Bench columns, with their MSEs and coefficients of variation, which feed the dashboard’s comparison plot, the choropleth of FH_Bench, and the significance tables in both benchmarked and unbenchmarked forms</w:t>
      </w:r>
      <w:r>
        <w:t>.</w:t>
      </w:r>
    </w:p>
    <w:p w14:paraId="7CA4932B" w14:textId="77777777" w:rsidR="00313EA8" w:rsidRDefault="00000000">
      <w:pPr>
        <w:pStyle w:val="Heading2"/>
      </w:pPr>
      <w:bookmarkStart w:id="8" w:name="practical-notes"/>
      <w:r>
        <w:t>8. Practical notes</w:t>
      </w:r>
      <w:bookmarkEnd w:id="8"/>
    </w:p>
    <w:p w14:paraId="7CA4932C" w14:textId="5E66CFFE" w:rsidR="00313EA8" w:rsidRDefault="00000000">
      <w:pPr>
        <w:pStyle w:val="FirstParagraph"/>
      </w:pPr>
      <w:r>
        <w:t>Benchmarking redistributes information; it does not create it. Its value rests entirely on the benchmark target being more reliable than the individual model estimates, which holds when the regional direct aggregate pools enough sampled units to be precise. Where a region contains only a few small domains, the direct benchmark is itself noisy</w:t>
      </w:r>
      <w:r w:rsidR="00BF56B1">
        <w:t>, and the ratio adjustment can transmit that noise to every domain in the region; in such cases,</w:t>
      </w:r>
      <w:r>
        <w:t xml:space="preserve"> a coarser benchmark geography or an external official total is preferable.</w:t>
      </w:r>
    </w:p>
    <w:p w14:paraId="7CA4932D" w14:textId="06BA1AF4" w:rsidR="00313EA8" w:rsidRDefault="00000000">
      <w:pPr>
        <w:pStyle w:val="BodyText"/>
      </w:pPr>
      <w:r>
        <w:t xml:space="preserve">The ratio adjustment preserves non-negativity and the proportional ordering of domains within a benchmark area, but it applies a single common factor to all of them and therefore cannot correct a domain whose true level departs from the regional pattern — benchmarking does not fix within-region model misspecification. Finally, because the bootstrap treats the fitted model as the data-generating process, the reported MSE is only as good as that model; replicates that fail to converge should be reported transparently rather than silently dropped. This UFH routine is the single-period analog of </w:t>
      </w:r>
      <w:r>
        <w:rPr>
          <w:rStyle w:val="VerbatimChar"/>
        </w:rPr>
        <w:t>bench_regional_mfh()</w:t>
      </w:r>
      <w:r>
        <w:t xml:space="preserve">; when comparable-over-time estimates are required, </w:t>
      </w:r>
      <w:r w:rsidR="00BF56B1">
        <w:t>use the multivariate routine in Part II</w:t>
      </w:r>
      <w:r>
        <w:t>.</w:t>
      </w:r>
    </w:p>
    <w:p w14:paraId="7CA4932E" w14:textId="77777777" w:rsidR="00313EA8" w:rsidRDefault="00000000">
      <w:pPr>
        <w:pStyle w:val="Heading1"/>
      </w:pPr>
      <w:bookmarkStart w:id="9" w:name="Xd678f45781e524f12ebd878fa9b73917ab83194"/>
      <w:r>
        <w:lastRenderedPageBreak/>
        <w:t>Part II. Benchmarking for the Multivariate Fay–Herriot (MFH) Model</w:t>
      </w:r>
      <w:bookmarkEnd w:id="9"/>
    </w:p>
    <w:p w14:paraId="7CA4932F" w14:textId="77777777" w:rsidR="00313EA8" w:rsidRDefault="00000000">
      <w:pPr>
        <w:pStyle w:val="Heading2"/>
      </w:pPr>
      <w:bookmarkStart w:id="10" w:name="purpose-1"/>
      <w:r>
        <w:t>1. Purpose</w:t>
      </w:r>
      <w:bookmarkEnd w:id="10"/>
    </w:p>
    <w:p w14:paraId="7CA49330" w14:textId="60DDBD5E" w:rsidR="00313EA8" w:rsidRDefault="00000000">
      <w:pPr>
        <w:pStyle w:val="FirstParagraph"/>
      </w:pPr>
      <w:r>
        <w:t xml:space="preserve">Part II documents </w:t>
      </w:r>
      <w:r>
        <w:rPr>
          <w:rStyle w:val="VerbatimChar"/>
        </w:rPr>
        <w:t>bench_regional_mfh()</w:t>
      </w:r>
      <w:r>
        <w:t xml:space="preserve">, which benchmarks multivariate Fay–Herriot estimates across time and quantifies their uncertainty. The function supports the MFH1, MFH2, and MFH3 models implemented in the </w:t>
      </w:r>
      <w:r>
        <w:rPr>
          <w:rStyle w:val="VerbatimChar"/>
        </w:rPr>
        <w:t>msae</w:t>
      </w:r>
      <w:r>
        <w:t xml:space="preserve"> package (Permatasari and Ubaidillah, 2021), whose multivariate Fay–Herriot methodology — EBLUP prediction, REML fitting, and MSE approximation — follows Benavent and Morales (2016). The exposition uses MFH2 (the autoregressive model) as the running case and notes how MFH1 and MFH3 differ. As in Part I, items described as package </w:t>
      </w:r>
      <w:r w:rsidR="00BF56B1">
        <w:t>behavior</w:t>
      </w:r>
      <w:r>
        <w:t xml:space="preserve"> are features of the current implementation.</w:t>
      </w:r>
    </w:p>
    <w:p w14:paraId="7CA49331" w14:textId="77777777" w:rsidR="00313EA8" w:rsidRDefault="00000000">
      <w:pPr>
        <w:pStyle w:val="Heading2"/>
      </w:pPr>
      <w:bookmarkStart w:id="11" w:name="X52cfe47873162f3806883b51b1955d8fa48163e"/>
      <w:r>
        <w:t>2. The multivariate model and point-estimate benchmarking</w:t>
      </w:r>
      <w:bookmarkEnd w:id="11"/>
    </w:p>
    <w:p w14:paraId="7CA49332" w14:textId="35B6B3E3" w:rsidR="00313EA8" w:rsidRDefault="00000000">
      <w:pPr>
        <w:pStyle w:val="FirstParagraph"/>
      </w:pPr>
      <w:r>
        <w:t xml:space="preserve">Let </w:t>
      </w:r>
      <m:oMath>
        <m:r>
          <w:rPr>
            <w:rFonts w:ascii="Cambria Math" w:hAnsi="Cambria Math"/>
          </w:rPr>
          <m:t>d=1,…,D</m:t>
        </m:r>
      </m:oMath>
      <w:r>
        <w:t xml:space="preserve"> index domains, </w:t>
      </w:r>
      <m:oMath>
        <m:r>
          <w:rPr>
            <w:rFonts w:ascii="Cambria Math" w:hAnsi="Cambria Math"/>
          </w:rPr>
          <m:t>t=1,…,T</m:t>
        </m:r>
      </m:oMath>
      <w:r>
        <w:t xml:space="preserve"> time periods, and </w:t>
      </w:r>
      <m:oMath>
        <m:r>
          <w:rPr>
            <w:rFonts w:ascii="Cambria Math" w:hAnsi="Cambria Math"/>
          </w:rPr>
          <m:t>r</m:t>
        </m:r>
      </m:oMath>
      <w:r>
        <w:t xml:space="preserve"> the regions used as benchmarking constraints. For each domain</w:t>
      </w:r>
      <w:r w:rsidR="00BF56B1">
        <w:t>,</w:t>
      </w:r>
      <w:r>
        <w:t xml:space="preserve"> the vector of direct estimates over time is modeled as a regression mean plus correlated random effects plus sampling errors. Under MFH2 the random effects follow a homoskedastic AR(1) process across periods, </w:t>
      </w:r>
      <m:oMath>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=ρ </m:t>
        </m:r>
        <m:sSub>
          <m:sSubPr>
            <m:ctrlPr>
              <w:rPr>
                <w:rFonts w:ascii="Cambria Math" w:hAnsi="Cambria Math"/>
              </w:rPr>
            </m:ctrlPr>
          </m:sSubPr>
          <m:e>
            <m:r>
              <w:rPr>
                <w:rFonts w:ascii="Cambria Math" w:hAnsi="Cambria Math"/>
              </w:rPr>
              <m:t>u</m:t>
            </m:r>
          </m:e>
          <m:sub>
            <m:r>
              <w:rPr>
                <w:rFonts w:ascii="Cambria Math" w:hAnsi="Cambria Math"/>
              </w:rPr>
              <m:t>d,t-1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dt</m:t>
            </m:r>
          </m:sub>
        </m:sSub>
      </m:oMath>
      <w:r>
        <w:t>, so that estimates in nearby periods share information; MFH1 makes the effects independent across periods, and MFH3 allows the AR(1) innovation variance to vary by period.</w:t>
      </w:r>
    </w:p>
    <w:p w14:paraId="7CA49333" w14:textId="77777777" w:rsidR="00313EA8" w:rsidRDefault="00000000">
      <w:pPr>
        <w:pStyle w:val="BodyText"/>
      </w:pPr>
      <w:r>
        <w:t xml:space="preserve">Benchmarking is applied independently within each region and period. On a common set of domains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oMath>
      <w:r>
        <w:t xml:space="preserve"> (those with a finite direct estimate, EBLUP, and population weight — the </w:t>
      </w:r>
      <w:r>
        <w:rPr>
          <w:rStyle w:val="VerbatimChar"/>
        </w:rPr>
        <w:t>basis_rows</w:t>
      </w:r>
      <w:r>
        <w:t xml:space="preserve"> of the implementation), the routine forms the regional benchmark and the model-side mean and rescales,</w:t>
      </w:r>
    </w:p>
    <w:p w14:paraId="7CA49334" w14:textId="77777777" w:rsidR="00313EA8"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rt</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m:t>
                  </m:r>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dt</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dir</m:t>
                  </m:r>
                </m:sup>
              </m:sSubSup>
            </m:num>
            <m:den>
              <m:nary>
                <m:naryPr>
                  <m:chr m:val="∑"/>
                  <m:limLoc m:val="undOvr"/>
                  <m:supHide m:val="1"/>
                  <m:ctrlPr>
                    <w:rPr>
                      <w:rFonts w:ascii="Cambria Math" w:hAnsi="Cambria Math"/>
                    </w:rPr>
                  </m:ctrlPr>
                </m:naryPr>
                <m:sub>
                  <m:r>
                    <w:rPr>
                      <w:rFonts w:ascii="Cambria Math" w:hAnsi="Cambria Math"/>
                    </w:rPr>
                    <m:t>d∈</m:t>
                  </m:r>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dt</m:t>
                      </m:r>
                    </m:sub>
                  </m:sSub>
                </m:e>
              </m:nary>
            </m:den>
          </m:f>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rt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rt</m:t>
                  </m:r>
                </m:sub>
              </m:sSub>
            </m:num>
            <m:den>
              <m:nary>
                <m:naryPr>
                  <m:chr m:val="∑"/>
                  <m:limLoc m:val="undOvr"/>
                  <m:supHide m:val="1"/>
                  <m:ctrlPr>
                    <w:rPr>
                      <w:rFonts w:ascii="Cambria Math" w:hAnsi="Cambria Math"/>
                    </w:rPr>
                  </m:ctrlPr>
                </m:naryPr>
                <m:sub>
                  <m:r>
                    <w:rPr>
                      <w:rFonts w:ascii="Cambria Math" w:hAnsi="Cambria Math"/>
                    </w:rPr>
                    <m:t>d∈</m:t>
                  </m:r>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r,d,t</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EBLUP</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rt</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EBLUP</m:t>
              </m:r>
            </m:sup>
          </m:sSubSup>
          <m:r>
            <w:rPr>
              <w:rFonts w:ascii="Cambria Math" w:hAnsi="Cambria Math"/>
            </w:rPr>
            <m:t>.</m:t>
          </m:r>
        </m:oMath>
      </m:oMathPara>
    </w:p>
    <w:p w14:paraId="7CA49335" w14:textId="77777777" w:rsidR="00313EA8" w:rsidRDefault="00000000">
      <w:pPr>
        <w:pStyle w:val="FirstParagraph"/>
      </w:pPr>
      <w:r>
        <w:t xml:space="preserve">Using the same domain set for both quantities keeps the benchmark and the model mean on a consistent weighting basis. As implemented, </w:t>
      </w:r>
      <m:oMath>
        <m:sSub>
          <m:sSubPr>
            <m:ctrlPr>
              <w:rPr>
                <w:rFonts w:ascii="Cambria Math" w:hAnsi="Cambria Math"/>
              </w:rPr>
            </m:ctrlPr>
          </m:sSubPr>
          <m:e>
            <m:r>
              <w:rPr>
                <w:rFonts w:ascii="Cambria Math" w:hAnsi="Cambria Math"/>
              </w:rPr>
              <m:t>λ</m:t>
            </m:r>
          </m:e>
          <m:sub>
            <m:r>
              <w:rPr>
                <w:rFonts w:ascii="Cambria Math" w:hAnsi="Cambria Math"/>
              </w:rPr>
              <m:t>rt</m:t>
            </m:r>
          </m:sub>
        </m:sSub>
      </m:oMath>
      <w:r>
        <w:t xml:space="preserve"> is set to </w:t>
      </w:r>
      <m:oMath>
        <m:r>
          <w:rPr>
            <w:rFonts w:ascii="Cambria Math" w:hAnsi="Cambria Math"/>
          </w:rPr>
          <m:t>1</m:t>
        </m:r>
      </m:oMath>
      <w:r>
        <w:t xml:space="preserve"> when the benchmark is missing or the denominator is below </w:t>
      </w:r>
      <w:r>
        <w:rPr>
          <w:rStyle w:val="VerbatimChar"/>
        </w:rPr>
        <w:t>eps_denom</w:t>
      </w:r>
      <w:r>
        <w:t xml:space="preserve">; an external regional benchmark can be supplied directly through </w:t>
      </w:r>
      <w:r>
        <w:rPr>
          <w:rStyle w:val="VerbatimChar"/>
        </w:rPr>
        <w:t>regional_benchmark_mat</w:t>
      </w:r>
      <w:r>
        <w:t xml:space="preserve"> instead of being computed from the survey.</w:t>
      </w:r>
    </w:p>
    <w:p w14:paraId="7CA49336" w14:textId="77777777" w:rsidR="00313EA8" w:rsidRDefault="00000000">
      <w:pPr>
        <w:pStyle w:val="Heading2"/>
      </w:pPr>
      <w:bookmarkStart w:id="12" w:name="mse-by-parametric-bootstrap"/>
      <w:r>
        <w:t>3. MSE by parametric bootstrap</w:t>
      </w:r>
      <w:bookmarkEnd w:id="12"/>
    </w:p>
    <w:p w14:paraId="7CA49337" w14:textId="77777777" w:rsidR="00313EA8" w:rsidRDefault="00000000">
      <w:pPr>
        <w:pStyle w:val="FirstParagraph"/>
      </w:pPr>
      <w:r>
        <w:t xml:space="preserve">As in Part I, the uncertainty of the benchmarked predictor is assessed against the underlying true small-area mean, </w:t>
      </w:r>
      <m:oMath>
        <m:r>
          <m:rPr>
            <m:sty m:val="p"/>
          </m:rPr>
          <w:rPr>
            <w:rFonts w:ascii="Cambria Math" w:hAnsi="Cambria Math"/>
          </w: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bench</m:t>
            </m:r>
          </m:sup>
        </m:sSubSup>
        <m:r>
          <w:rPr>
            <w:rFonts w:ascii="Cambria Math" w:hAnsi="Cambria Math"/>
          </w:rPr>
          <m:t>)=E[(</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t>, and is estimated by re-running the benchmarking step inside each replicate, because the benchmark factor is estimated and the benchmarked predictor is a nonlinear function of the fitted EBLUPs.</w:t>
      </w:r>
    </w:p>
    <w:p w14:paraId="7CA49338" w14:textId="52EA506F" w:rsidR="00313EA8" w:rsidRDefault="00000000">
      <w:pPr>
        <w:pStyle w:val="BodyText"/>
      </w:pPr>
      <w:r>
        <w:t xml:space="preserve">The MFH routine uses a </w:t>
      </w:r>
      <w:r>
        <w:rPr>
          <w:b/>
        </w:rPr>
        <w:t>fully parametric bootstrap</w:t>
      </w:r>
      <w:r>
        <w:t>: it draws the random effects and the sampling errors directly from the fitted normal model rather than resampling fitted residuals. From the fitted object</w:t>
      </w:r>
      <w:r w:rsidR="005D29D4">
        <w:t>,</w:t>
      </w:r>
      <w:r>
        <w:t xml:space="preserve"> it harvests the time-</w:t>
      </w:r>
      <m:oMath>
        <m:r>
          <w:rPr>
            <w:rFonts w:ascii="Cambria Math" w:hAnsi="Cambria Math"/>
          </w:rPr>
          <m:t>t</m:t>
        </m:r>
      </m:oMath>
      <w:r>
        <w:t xml:space="preserve"> coefficients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t</m:t>
            </m:r>
          </m:sub>
        </m:sSub>
      </m:oMath>
      <w:r>
        <w:t xml:space="preserve">, the random-effect variance (a scalar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 xml:space="preserve"> under MFH2, a length-</w:t>
      </w:r>
      <m:oMath>
        <m:r>
          <w:rPr>
            <w:rFonts w:ascii="Cambria Math" w:hAnsi="Cambria Math"/>
          </w:rPr>
          <m:t>T</m:t>
        </m:r>
      </m:oMath>
      <w:r>
        <w:t xml:space="preserve"> vector under MFH1/MFH3), the AR(1) coefficient </w:t>
      </w:r>
      <m:oMath>
        <m:acc>
          <m:accPr>
            <m:ctrlPr>
              <w:rPr>
                <w:rFonts w:ascii="Cambria Math" w:hAnsi="Cambria Math"/>
              </w:rPr>
            </m:ctrlPr>
          </m:accPr>
          <m:e>
            <m:r>
              <w:rPr>
                <w:rFonts w:ascii="Cambria Math" w:hAnsi="Cambria Math"/>
              </w:rPr>
              <m:t>ρ</m:t>
            </m:r>
          </m:e>
        </m:acc>
      </m:oMath>
      <w:r>
        <w:t xml:space="preserve">, and the </w:t>
      </w:r>
      <m:oMath>
        <m:r>
          <w:rPr>
            <w:rFonts w:ascii="Cambria Math" w:hAnsi="Cambria Math"/>
          </w:rPr>
          <m:t>T×T</m:t>
        </m:r>
      </m:oMath>
      <w:r>
        <w:t xml:space="preserve"> sampling-error covariance per domain. For each replicate it simulates random effects according to the variant (the AR(1) recursion for MFH2/MFH3, independent draws for MFH1), draws sampling errors from the fitted covariance, forms a </w:t>
      </w:r>
      <w:r>
        <w:lastRenderedPageBreak/>
        <w:t xml:space="preserve">synthetic truth and observation, refits the chosen </w:t>
      </w:r>
      <w:r>
        <w:rPr>
          <w:rStyle w:val="VerbatimChar"/>
        </w:rPr>
        <w:t>eblupMFH</w:t>
      </w:r>
      <w:r>
        <w:t xml:space="preserve"> variant, re-benchmarks, and scores the deviation from the synthetic truth, </w:t>
      </w:r>
      <m:oMath>
        <m:sSubSup>
          <m:sSubSupPr>
            <m:ctrlPr>
              <w:rPr>
                <w:rFonts w:ascii="Cambria Math" w:hAnsi="Cambria Math"/>
              </w:rPr>
            </m:ctrlPr>
          </m:sSubSupPr>
          <m:e>
            <m:r>
              <w:rPr>
                <w:rFonts w:ascii="Cambria Math" w:hAnsi="Cambria Math"/>
              </w:rPr>
              <m:t>δ</m:t>
            </m:r>
          </m:e>
          <m:sub>
            <m:r>
              <w:rPr>
                <w:rFonts w:ascii="Cambria Math" w:hAnsi="Cambria Math"/>
              </w:rPr>
              <m:t>dt</m:t>
            </m:r>
          </m:sub>
          <m:sup>
            <m:r>
              <w:rPr>
                <w:rFonts w:ascii="Cambria Math" w:hAnsi="Cambria Math"/>
              </w:rPr>
              <m:t>(b)</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bench</m:t>
            </m:r>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dt</m:t>
            </m:r>
          </m:sub>
          <m:sup>
            <m:r>
              <w:rPr>
                <w:rFonts w:ascii="Cambria Math" w:hAnsi="Cambria Math"/>
              </w:rPr>
              <m:t>(b)</m:t>
            </m:r>
          </m:sup>
        </m:sSubSup>
      </m:oMath>
      <w:r>
        <w:t xml:space="preserve">. The default is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=200</m:t>
        </m:r>
      </m:oMath>
      <w:r>
        <w:t xml:space="preserve"> replicates.</w:t>
      </w:r>
    </w:p>
    <w:p w14:paraId="7CA49339" w14:textId="77777777" w:rsidR="00313EA8" w:rsidRDefault="00000000">
      <w:pPr>
        <w:pStyle w:val="BodyText"/>
      </w:pPr>
      <w:r>
        <w:t xml:space="preserve">A replicate whose refit fails to converge is skipped, counted in </w:t>
      </w:r>
      <w:r>
        <w:rPr>
          <w:rStyle w:val="VerbatimChar"/>
        </w:rPr>
        <w:t>fails</w:t>
      </w:r>
      <w:r>
        <w:t xml:space="preserve">, and retried; the loop continues until </w:t>
      </w: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oMath>
      <w:r>
        <w:t xml:space="preserve"> successful replicates are obtained or a hard cap (</w:t>
      </w:r>
      <w:r>
        <w:rPr>
          <w:rStyle w:val="VerbatimChar"/>
        </w:rPr>
        <w:t>max_attempts</w:t>
      </w:r>
      <w:r>
        <w:t xml:space="preserve">) is reached. The squared deviations are divided by the number of </w:t>
      </w:r>
      <w:r>
        <w:rPr>
          <w:i/>
        </w:rPr>
        <w:t>successful</w:t>
      </w:r>
      <w:r>
        <w:t xml:space="preserve"> replicates, not by </w:t>
      </w:r>
      <m:oMath>
        <m:sSub>
          <m:sSubPr>
            <m:ctrlPr>
              <w:rPr>
                <w:rFonts w:ascii="Cambria Math" w:hAnsi="Cambria Math"/>
              </w:rPr>
            </m:ctrlPr>
          </m:sSubPr>
          <m:e>
            <m:r>
              <w:rPr>
                <w:rFonts w:ascii="Cambria Math" w:hAnsi="Cambria Math"/>
              </w:rPr>
              <m:t>n</m:t>
            </m:r>
          </m:e>
          <m:sub>
            <m:r>
              <w:rPr>
                <w:rFonts w:ascii="Cambria Math" w:hAnsi="Cambria Math"/>
              </w:rPr>
              <m:t>B</m:t>
            </m:r>
          </m:sub>
        </m:sSub>
      </m:oMath>
      <w:r>
        <w:t>, so convergence failures do not deflate the estimate:</w:t>
      </w:r>
    </w:p>
    <w:p w14:paraId="7CA4933A" w14:textId="77777777" w:rsidR="00313EA8" w:rsidRDefault="00000000">
      <w:pPr>
        <w:pStyle w:val="BodyText"/>
      </w:pPr>
      <m:oMathPara>
        <m:oMathParaPr>
          <m:jc m:val="center"/>
        </m:oMathParaPr>
        <m:oMath>
          <m:acc>
            <m:accPr>
              <m:ctrlPr>
                <w:rPr>
                  <w:rFonts w:ascii="Cambria Math" w:hAnsi="Cambria Math"/>
                </w:rPr>
              </m:ctrlPr>
            </m:accPr>
            <m:e>
              <m:r>
                <m:rPr>
                  <m:sty m:val="p"/>
                </m:rPr>
                <w:rPr>
                  <w:rFonts w:ascii="Cambria Math" w:hAnsi="Cambria Math"/>
                </w:rPr>
                <m:t>MSE</m:t>
              </m:r>
            </m:e>
          </m:acc>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bench</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valid</m:t>
                  </m:r>
                </m:sub>
              </m:sSub>
            </m:den>
          </m:f>
          <m:nary>
            <m:naryPr>
              <m:chr m:val="∑"/>
              <m:limLoc m:val="undOvr"/>
              <m:ctrlPr>
                <w:rPr>
                  <w:rFonts w:ascii="Cambria Math" w:hAnsi="Cambria Math"/>
                </w:rPr>
              </m:ctrlPr>
            </m:naryPr>
            <m:sub>
              <m:r>
                <w:rPr>
                  <w:rFonts w:ascii="Cambria Math" w:hAnsi="Cambria Math"/>
                </w:rPr>
                <m:t>b=1</m:t>
              </m:r>
            </m:sub>
            <m:sup>
              <m:sSub>
                <m:sSubPr>
                  <m:ctrlPr>
                    <w:rPr>
                      <w:rFonts w:ascii="Cambria Math" w:hAnsi="Cambria Math"/>
                    </w:rPr>
                  </m:ctrlPr>
                </m:sSubPr>
                <m:e>
                  <m:r>
                    <w:rPr>
                      <w:rFonts w:ascii="Cambria Math" w:hAnsi="Cambria Math"/>
                    </w:rPr>
                    <m:t>n</m:t>
                  </m:r>
                </m:e>
                <m:sub>
                  <m:r>
                    <m:rPr>
                      <m:sty m:val="p"/>
                    </m:rPr>
                    <w:rPr>
                      <w:rFonts w:ascii="Cambria Math" w:hAnsi="Cambria Math"/>
                    </w:rPr>
                    <m:t>valid</m:t>
                  </m:r>
                </m:sub>
              </m:sSub>
            </m:sup>
            <m:e>
              <m:r>
                <w:rPr>
                  <w:rFonts w:ascii="Cambria Math" w:hAnsi="Cambria Math"/>
                </w:rPr>
                <m:t>(</m:t>
              </m:r>
            </m:e>
          </m:nary>
          <m:sSubSup>
            <m:sSubSupPr>
              <m:ctrlPr>
                <w:rPr>
                  <w:rFonts w:ascii="Cambria Math" w:hAnsi="Cambria Math"/>
                </w:rPr>
              </m:ctrlPr>
            </m:sSubSupPr>
            <m:e>
              <m:r>
                <w:rPr>
                  <w:rFonts w:ascii="Cambria Math" w:hAnsi="Cambria Math"/>
                </w:rPr>
                <m:t>δ</m:t>
              </m:r>
            </m:e>
            <m:sub>
              <m:r>
                <w:rPr>
                  <w:rFonts w:ascii="Cambria Math" w:hAnsi="Cambria Math"/>
                </w:rPr>
                <m:t>dt</m:t>
              </m:r>
            </m:sub>
            <m:sup>
              <m:r>
                <w:rPr>
                  <w:rFonts w:ascii="Cambria Math" w:hAnsi="Cambria Math"/>
                </w:rPr>
                <m:t>(b)</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7CA4933B" w14:textId="77777777" w:rsidR="00313EA8" w:rsidRDefault="00000000">
      <w:pPr>
        <w:pStyle w:val="Heading2"/>
      </w:pPr>
      <w:bookmarkStart w:id="13" w:name="mcpe-and-inference-on-changes-over-time"/>
      <w:r>
        <w:t>4. MCPE and inference on changes over time</w:t>
      </w:r>
      <w:bookmarkEnd w:id="13"/>
    </w:p>
    <w:p w14:paraId="7CA4933C" w14:textId="7504A9AA" w:rsidR="00313EA8" w:rsidRDefault="00000000">
      <w:pPr>
        <w:pStyle w:val="FirstParagraph"/>
      </w:pPr>
      <w:r>
        <w:t xml:space="preserve">A central use of small-area poverty estimates is to test whether poverty has changed between two periods. The error of an estimated change depends not only on the MSE in each period but also on how the </w:t>
      </w:r>
      <w:r w:rsidR="00517F75">
        <w:t>errors in the two periods</w:t>
      </w:r>
      <w:r>
        <w:t xml:space="preserve"> move together. The mean cross-product error (MCPE) captures that across-time covariance within a domain. Computed from the same replicates as the MSE,</w:t>
      </w:r>
    </w:p>
    <w:p w14:paraId="7CA4933D" w14:textId="77777777" w:rsidR="00313EA8"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MCPE</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valid</m:t>
                  </m:r>
                </m:sub>
              </m:sSub>
            </m:den>
          </m:f>
          <m:nary>
            <m:naryPr>
              <m:chr m:val="∑"/>
              <m:limLoc m:val="undOvr"/>
              <m:ctrlPr>
                <w:rPr>
                  <w:rFonts w:ascii="Cambria Math" w:hAnsi="Cambria Math"/>
                </w:rPr>
              </m:ctrlPr>
            </m:naryPr>
            <m:sub>
              <m:r>
                <w:rPr>
                  <w:rFonts w:ascii="Cambria Math" w:hAnsi="Cambria Math"/>
                </w:rPr>
                <m:t>b=1</m:t>
              </m:r>
            </m:sub>
            <m:sup>
              <m:sSub>
                <m:sSubPr>
                  <m:ctrlPr>
                    <w:rPr>
                      <w:rFonts w:ascii="Cambria Math" w:hAnsi="Cambria Math"/>
                    </w:rPr>
                  </m:ctrlPr>
                </m:sSubPr>
                <m:e>
                  <m:r>
                    <w:rPr>
                      <w:rFonts w:ascii="Cambria Math" w:hAnsi="Cambria Math"/>
                    </w:rPr>
                    <m:t>n</m:t>
                  </m:r>
                </m:e>
                <m:sub>
                  <m:r>
                    <m:rPr>
                      <m:sty m:val="p"/>
                    </m:rPr>
                    <w:rPr>
                      <w:rFonts w:ascii="Cambria Math" w:hAnsi="Cambria Math"/>
                    </w:rPr>
                    <m:t>valid</m:t>
                  </m:r>
                </m:sub>
              </m:sSub>
            </m:sup>
            <m:e>
              <m:sSubSup>
                <m:sSubSupPr>
                  <m:ctrlPr>
                    <w:rPr>
                      <w:rFonts w:ascii="Cambria Math" w:hAnsi="Cambria Math"/>
                    </w:rPr>
                  </m:ctrlPr>
                </m:sSubSupPr>
                <m:e>
                  <m:r>
                    <w:rPr>
                      <w:rFonts w:ascii="Cambria Math" w:hAnsi="Cambria Math"/>
                    </w:rPr>
                    <m:t>δ</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(b)</m:t>
                  </m:r>
                </m:sup>
              </m:sSubSup>
            </m:e>
          </m:nary>
          <m:r>
            <w:rPr>
              <w:rFonts w:ascii="Cambria Math" w:hAnsi="Cambria Math"/>
            </w:rPr>
            <m:t> </m:t>
          </m:r>
          <m:sSubSup>
            <m:sSubSupPr>
              <m:ctrlPr>
                <w:rPr>
                  <w:rFonts w:ascii="Cambria Math" w:hAnsi="Cambria Math"/>
                </w:rPr>
              </m:ctrlPr>
            </m:sSubSupPr>
            <m:e>
              <m:r>
                <w:rPr>
                  <w:rFonts w:ascii="Cambria Math" w:hAnsi="Cambria Math"/>
                </w:rPr>
                <m:t>δ</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(b)</m:t>
              </m:r>
            </m:sup>
          </m:sSubSup>
          <m:r>
            <w:rPr>
              <w:rFonts w:ascii="Cambria Math" w:hAnsi="Cambria Math"/>
            </w:rPr>
            <m:t>.</m:t>
          </m:r>
        </m:oMath>
      </m:oMathPara>
    </w:p>
    <w:p w14:paraId="7CA4933E" w14:textId="77777777" w:rsidR="00313EA8" w:rsidRDefault="00000000">
      <w:pPr>
        <w:pStyle w:val="FirstParagraph"/>
      </w:pPr>
      <w:r>
        <w:t>The MSE fills the diagonal and the MCPE the off-diagonals of each domain’s prediction-error covariance matrix over time. The operational payoff is the variance of an estimated change between two periods:</w:t>
      </w:r>
    </w:p>
    <w:p w14:paraId="7CA4933F" w14:textId="77777777" w:rsidR="00313EA8" w:rsidRDefault="00000000">
      <w:pPr>
        <w:pStyle w:val="BodyText"/>
      </w:pPr>
      <m:oMathPara>
        <m:oMathParaPr>
          <m:jc m:val="center"/>
        </m:oMathParaPr>
        <m:oMath>
          <m:r>
            <m:rPr>
              <m:sty m:val="p"/>
            </m:rPr>
            <w:rPr>
              <w:rFonts w:ascii="Cambria Math" w:hAnsi="Cambria Math"/>
            </w:rPr>
            <m:t>Var</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 </m:t>
              </m:r>
              <m:r>
                <m:rPr>
                  <m:sty m:val="p"/>
                </m:rPr>
                <w:rPr>
                  <w:rFonts w:ascii="Cambria Math" w:hAnsi="Cambria Math"/>
                </w:rPr>
                <m:t>bench</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m:rPr>
                  <m:sty m:val="p"/>
                </m:rPr>
                <w:rPr>
                  <w:rFonts w:ascii="Cambria Math" w:hAnsi="Cambria Math"/>
                </w:rPr>
                <m:t>MSE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m:rPr>
                  <m:sty m:val="p"/>
                </m:rPr>
                <w:rPr>
                  <w:rFonts w:ascii="Cambria Math" w:hAnsi="Cambria Math"/>
                </w:rPr>
                <m:t>MSE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-2 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MCPE</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oMath>
      </m:oMathPara>
    </w:p>
    <w:p w14:paraId="7CA49340" w14:textId="77777777" w:rsidR="00313EA8" w:rsidRDefault="00000000">
      <w:pPr>
        <w:pStyle w:val="FirstParagraph"/>
      </w:pPr>
      <w:r>
        <w:t xml:space="preserve">Because the two periods’ errors are usually positively correlated (the same auxiliary data and random effect feed both), the MCPE term is positive and </w:t>
      </w:r>
      <w:r>
        <w:rPr>
          <w:i/>
        </w:rPr>
        <w:t>reduces</w:t>
      </w:r>
      <w:r>
        <w:t xml:space="preserve"> the variance of the change. Ignoring it — using </w:t>
      </w:r>
      <m:oMath>
        <m:sSub>
          <m:sSubPr>
            <m:ctrlPr>
              <w:rPr>
                <w:rFonts w:ascii="Cambria Math" w:hAnsi="Cambria Math"/>
              </w:rPr>
            </m:ctrlPr>
          </m:sSubPr>
          <m:e>
            <m:r>
              <m:rPr>
                <m:sty m:val="p"/>
              </m:rPr>
              <w:rPr>
                <w:rFonts w:ascii="Cambria Math" w:hAnsi="Cambria Math"/>
              </w:rPr>
              <m:t>MSE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m:rPr>
                <m:sty m:val="p"/>
              </m:rPr>
              <w:rPr>
                <w:rFonts w:ascii="Cambria Math" w:hAnsi="Cambria Math"/>
              </w:rPr>
              <m:t>MSE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oMath>
      <w:r>
        <w:t xml:space="preserve"> alone — overstates the uncertainty of the change and makes real movements in poverty harder to detect. The MCPE is therefore essential for valid significance testing of changes over time. When </w:t>
      </w:r>
      <m:oMath>
        <m:r>
          <w:rPr>
            <w:rFonts w:ascii="Cambria Math" w:hAnsi="Cambria Math"/>
          </w:rPr>
          <m:t>T=1</m:t>
        </m:r>
      </m:oMath>
      <w:r>
        <w:t xml:space="preserve"> no cross-time term exists and </w:t>
      </w:r>
      <w:r>
        <w:rPr>
          <w:rStyle w:val="VerbatimChar"/>
        </w:rPr>
        <w:t>mcpe_bench</w:t>
      </w:r>
      <w:r>
        <w:t xml:space="preserve"> is returned as </w:t>
      </w:r>
      <w:r>
        <w:rPr>
          <w:rStyle w:val="VerbatimChar"/>
        </w:rPr>
        <w:t>NULL</w:t>
      </w:r>
      <w:r>
        <w:t>.</w:t>
      </w:r>
    </w:p>
    <w:p w14:paraId="7CA49341" w14:textId="77777777" w:rsidR="00313EA8" w:rsidRDefault="00000000">
      <w:pPr>
        <w:pStyle w:val="Heading2"/>
      </w:pPr>
      <w:bookmarkStart w:id="14" w:name="how-mfh1-and-mfh3-differ"/>
      <w:r>
        <w:t>5. How MFH1 and MFH3 differ</w:t>
      </w:r>
      <w:bookmarkEnd w:id="14"/>
    </w:p>
    <w:p w14:paraId="7CA49342" w14:textId="77777777" w:rsidR="00313EA8" w:rsidRDefault="00000000">
      <w:pPr>
        <w:pStyle w:val="FirstParagraph"/>
      </w:pPr>
      <w:r>
        <w:t xml:space="preserve">Only the random-effect data-generating process changes between variants; the sampling-error draws, refit, re-benchmarking, and division by </w:t>
      </w: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oMath>
      <w:r>
        <w:t xml:space="preserve"> are identical. MFH1 replaces the AR(1) recursion with independent draws and refits with </w:t>
      </w:r>
      <w:r>
        <w:rPr>
          <w:rStyle w:val="VerbatimChar"/>
        </w:rPr>
        <w:t>eblupMFH1</w:t>
      </w:r>
      <w:r>
        <w:t xml:space="preserve">. MFH3 keeps the AR(1) recursion but with a time-varying innovation variance and a non-stationary first period (a stationary initialization does not strictly exist in the heteroskedastic case), and refits with </w:t>
      </w:r>
      <w:r>
        <w:rPr>
          <w:rStyle w:val="VerbatimChar"/>
        </w:rPr>
        <w:t>eblupMFH3</w:t>
      </w:r>
      <w:r>
        <w:t xml:space="preserve">. The </w:t>
      </w:r>
      <w:r>
        <w:rPr>
          <w:rStyle w:val="VerbatimChar"/>
        </w:rPr>
        <w:t>model_type</w:t>
      </w:r>
      <w:r>
        <w:t xml:space="preserve"> argument selects both the simulation and the refit function.</w:t>
      </w:r>
    </w:p>
    <w:p w14:paraId="7CA49343" w14:textId="77777777" w:rsidR="00313EA8" w:rsidRDefault="00000000">
      <w:pPr>
        <w:pStyle w:val="Heading2"/>
      </w:pPr>
      <w:bookmarkStart w:id="15" w:name="function-interface-and-returned-object"/>
      <w:r>
        <w:t>6. Function interface and returned object</w:t>
      </w:r>
      <w:bookmarkEnd w:id="15"/>
    </w:p>
    <w:p w14:paraId="7CA49344" w14:textId="77777777" w:rsidR="00313EA8" w:rsidRDefault="00000000">
      <w:pPr>
        <w:pStyle w:val="FirstParagraph"/>
      </w:pPr>
      <w:r>
        <w:rPr>
          <w:rStyle w:val="VerbatimChar"/>
        </w:rPr>
        <w:t>bench_regional_mfh()</w:t>
      </w:r>
      <w:r>
        <w:t xml:space="preserve"> accepts the EBLUP matrix, the direct-estimate matrix, domain and region identifiers, population sizes (</w:t>
      </w:r>
      <w:r>
        <w:rPr>
          <w:rStyle w:val="VerbatimChar"/>
        </w:rPr>
        <w:t>Nd_vec</w:t>
      </w:r>
      <w:r>
        <w:t xml:space="preserve">, or the optional time-varying </w:t>
      </w:r>
      <w:r>
        <w:rPr>
          <w:rStyle w:val="VerbatimChar"/>
        </w:rPr>
        <w:t>Nd_mat</w:t>
      </w:r>
      <w:r>
        <w:t xml:space="preserve">), an optional </w:t>
      </w:r>
      <w:r>
        <w:rPr>
          <w:rStyle w:val="VerbatimChar"/>
        </w:rPr>
        <w:t>regional_benchmark_mat</w:t>
      </w:r>
      <w:r>
        <w:t xml:space="preserve">, the fitted </w:t>
      </w:r>
      <w:r>
        <w:rPr>
          <w:rStyle w:val="VerbatimChar"/>
        </w:rPr>
        <w:t>model_obj</w:t>
      </w:r>
      <w:r>
        <w:t xml:space="preserve">, the </w:t>
      </w:r>
      <w:r>
        <w:rPr>
          <w:rStyle w:val="VerbatimChar"/>
        </w:rPr>
        <w:t>model_type</w:t>
      </w:r>
      <w:r>
        <w:t>, the formula/</w:t>
      </w:r>
      <w:r>
        <w:rPr>
          <w:rStyle w:val="VerbatimChar"/>
        </w:rPr>
        <w:t>vardir</w:t>
      </w:r>
      <w:r>
        <w:t xml:space="preserve">/data </w:t>
      </w:r>
      <w:r>
        <w:lastRenderedPageBreak/>
        <w:t xml:space="preserve">needed to refit, and the bootstrap controls </w:t>
      </w:r>
      <w:r>
        <w:rPr>
          <w:rStyle w:val="VerbatimChar"/>
        </w:rPr>
        <w:t>MSE</w:t>
      </w:r>
      <w:r>
        <w:t xml:space="preserve">, </w:t>
      </w:r>
      <w:r>
        <w:rPr>
          <w:rStyle w:val="VerbatimChar"/>
        </w:rPr>
        <w:t>nB</w:t>
      </w:r>
      <w:r>
        <w:t xml:space="preserve">, </w:t>
      </w:r>
      <w:r>
        <w:rPr>
          <w:rStyle w:val="VerbatimChar"/>
        </w:rPr>
        <w:t>seed</w:t>
      </w:r>
      <w:r>
        <w:t xml:space="preserve">, and </w:t>
      </w:r>
      <w:r>
        <w:rPr>
          <w:rStyle w:val="VerbatimChar"/>
        </w:rPr>
        <w:t>max_attempts</w:t>
      </w:r>
      <w:r>
        <w:t xml:space="preserve">. Two implementation safeguards are worth noting: population sizes may vary by period through </w:t>
      </w:r>
      <w:r>
        <w:rPr>
          <w:rStyle w:val="VerbatimChar"/>
        </w:rPr>
        <w:t>Nd_mat</w:t>
      </w:r>
      <w:r>
        <w:t xml:space="preserve"> (falling back to a constant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when absent), and the routine checks that the direct and EBLUP matrices share domain and time ordering before computing anything, so a misaligned input raises an error rather than producing silently wrong results.</w:t>
      </w:r>
    </w:p>
    <w:p w14:paraId="7CA49345" w14:textId="77777777" w:rsidR="00313EA8" w:rsidRDefault="00000000">
      <w:pPr>
        <w:pStyle w:val="BodyText"/>
      </w:pPr>
      <w:r>
        <w:t xml:space="preserve">Table 2. Returned components of </w:t>
      </w:r>
      <w:r>
        <w:rPr>
          <w:rStyle w:val="VerbatimChar"/>
        </w:rPr>
        <w:t>bench_regional_mfh()</w:t>
      </w:r>
      <w:r>
        <w:t>.</w:t>
      </w:r>
    </w:p>
    <w:tbl>
      <w:tblPr>
        <w:tblStyle w:val="Table"/>
        <w:tblW w:w="5000" w:type="pct"/>
        <w:tblLook w:val="07E0" w:firstRow="1" w:lastRow="1" w:firstColumn="1" w:lastColumn="1" w:noHBand="1" w:noVBand="1"/>
      </w:tblPr>
      <w:tblGrid>
        <w:gridCol w:w="1550"/>
        <w:gridCol w:w="1533"/>
        <w:gridCol w:w="6493"/>
      </w:tblGrid>
      <w:tr w:rsidR="00313EA8" w14:paraId="7CA49349" w14:textId="77777777">
        <w:tc>
          <w:tcPr>
            <w:tcW w:w="0" w:type="auto"/>
            <w:tcBorders>
              <w:bottom w:val="single" w:sz="0" w:space="0" w:color="auto"/>
            </w:tcBorders>
            <w:vAlign w:val="bottom"/>
          </w:tcPr>
          <w:p w14:paraId="7CA49346" w14:textId="77777777" w:rsidR="00313EA8" w:rsidRDefault="00000000">
            <w:pPr>
              <w:pStyle w:val="Compact"/>
            </w:pPr>
            <w:r>
              <w:t>Element</w:t>
            </w:r>
          </w:p>
        </w:tc>
        <w:tc>
          <w:tcPr>
            <w:tcW w:w="0" w:type="auto"/>
            <w:tcBorders>
              <w:bottom w:val="single" w:sz="0" w:space="0" w:color="auto"/>
            </w:tcBorders>
            <w:vAlign w:val="bottom"/>
          </w:tcPr>
          <w:p w14:paraId="7CA49347" w14:textId="77777777" w:rsidR="00313EA8" w:rsidRDefault="00000000">
            <w:pPr>
              <w:pStyle w:val="Compact"/>
            </w:pPr>
            <w:r>
              <w:t>Dimension</w:t>
            </w:r>
          </w:p>
        </w:tc>
        <w:tc>
          <w:tcPr>
            <w:tcW w:w="0" w:type="auto"/>
            <w:tcBorders>
              <w:bottom w:val="single" w:sz="0" w:space="0" w:color="auto"/>
            </w:tcBorders>
            <w:vAlign w:val="bottom"/>
          </w:tcPr>
          <w:p w14:paraId="7CA49348" w14:textId="77777777" w:rsidR="00313EA8" w:rsidRDefault="00000000">
            <w:pPr>
              <w:pStyle w:val="Compact"/>
            </w:pPr>
            <w:r>
              <w:t>Description</w:t>
            </w:r>
          </w:p>
        </w:tc>
      </w:tr>
      <w:tr w:rsidR="00313EA8" w14:paraId="7CA4934D" w14:textId="77777777">
        <w:tc>
          <w:tcPr>
            <w:tcW w:w="0" w:type="auto"/>
          </w:tcPr>
          <w:p w14:paraId="7CA4934A" w14:textId="77777777" w:rsidR="00313EA8" w:rsidRDefault="00000000">
            <w:pPr>
              <w:pStyle w:val="Compact"/>
            </w:pPr>
            <w:r>
              <w:rPr>
                <w:rStyle w:val="VerbatimChar"/>
              </w:rPr>
              <w:t>eblup_bench</w:t>
            </w:r>
          </w:p>
        </w:tc>
        <w:tc>
          <w:tcPr>
            <w:tcW w:w="0" w:type="auto"/>
          </w:tcPr>
          <w:p w14:paraId="7CA4934B" w14:textId="77777777" w:rsidR="00313EA8" w:rsidRDefault="00000000">
            <w:pPr>
              <w:pStyle w:val="Compact"/>
            </w:pPr>
            <m:oMathPara>
              <m:oMath>
                <m:r>
                  <w:rPr>
                    <w:rFonts w:ascii="Cambria Math" w:hAnsi="Cambria Math"/>
                  </w:rPr>
                  <m:t>D×T</m:t>
                </m:r>
              </m:oMath>
            </m:oMathPara>
          </w:p>
        </w:tc>
        <w:tc>
          <w:tcPr>
            <w:tcW w:w="0" w:type="auto"/>
          </w:tcPr>
          <w:p w14:paraId="7CA4934C" w14:textId="77777777" w:rsidR="00313EA8" w:rsidRDefault="00000000">
            <w:pPr>
              <w:pStyle w:val="Compact"/>
            </w:pPr>
            <w:r>
              <w:t xml:space="preserve">Benchmarked EBLUPs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 </m:t>
                  </m:r>
                  <m:r>
                    <m:rPr>
                      <m:sty m:val="p"/>
                    </m:rPr>
                    <w:rPr>
                      <w:rFonts w:ascii="Cambria Math" w:hAnsi="Cambria Math"/>
                    </w:rPr>
                    <m:t>bench</m:t>
                  </m:r>
                </m:sup>
              </m:sSubSup>
            </m:oMath>
          </w:p>
        </w:tc>
      </w:tr>
      <w:tr w:rsidR="00313EA8" w14:paraId="7CA49351" w14:textId="77777777">
        <w:tc>
          <w:tcPr>
            <w:tcW w:w="0" w:type="auto"/>
          </w:tcPr>
          <w:p w14:paraId="7CA4934E" w14:textId="77777777" w:rsidR="00313EA8" w:rsidRDefault="00000000">
            <w:pPr>
              <w:pStyle w:val="Compact"/>
            </w:pPr>
            <w:r>
              <w:rPr>
                <w:rStyle w:val="VerbatimChar"/>
              </w:rPr>
              <w:t>mse_bench</w:t>
            </w:r>
          </w:p>
        </w:tc>
        <w:tc>
          <w:tcPr>
            <w:tcW w:w="0" w:type="auto"/>
          </w:tcPr>
          <w:p w14:paraId="7CA4934F" w14:textId="77777777" w:rsidR="00313EA8" w:rsidRDefault="00000000">
            <w:pPr>
              <w:pStyle w:val="Compact"/>
            </w:pPr>
            <m:oMathPara>
              <m:oMath>
                <m:r>
                  <w:rPr>
                    <w:rFonts w:ascii="Cambria Math" w:hAnsi="Cambria Math"/>
                  </w:rPr>
                  <m:t>D×T</m:t>
                </m:r>
              </m:oMath>
            </m:oMathPara>
          </w:p>
        </w:tc>
        <w:tc>
          <w:tcPr>
            <w:tcW w:w="0" w:type="auto"/>
          </w:tcPr>
          <w:p w14:paraId="7CA49350" w14:textId="77777777" w:rsidR="00313EA8" w:rsidRDefault="00000000">
            <w:pPr>
              <w:pStyle w:val="Compact"/>
            </w:pPr>
            <w:r>
              <w:t>Bootstrap MSE of the benchmarked EBLUPs (</w:t>
            </w:r>
            <w:r>
              <w:rPr>
                <w:rStyle w:val="VerbatimChar"/>
              </w:rPr>
              <w:t>NULL</w:t>
            </w:r>
            <w:r>
              <w:t xml:space="preserve"> if </w:t>
            </w:r>
            <w:r>
              <w:rPr>
                <w:rStyle w:val="VerbatimChar"/>
              </w:rPr>
              <w:t>MSE = FALSE</w:t>
            </w:r>
            <w:r>
              <w:t>)</w:t>
            </w:r>
          </w:p>
        </w:tc>
      </w:tr>
      <w:tr w:rsidR="00313EA8" w14:paraId="7CA49355" w14:textId="77777777">
        <w:tc>
          <w:tcPr>
            <w:tcW w:w="0" w:type="auto"/>
          </w:tcPr>
          <w:p w14:paraId="7CA49352" w14:textId="77777777" w:rsidR="00313EA8" w:rsidRDefault="00000000">
            <w:pPr>
              <w:pStyle w:val="Compact"/>
            </w:pPr>
            <w:r>
              <w:rPr>
                <w:rStyle w:val="VerbatimChar"/>
              </w:rPr>
              <w:t>mcpe_bench</w:t>
            </w:r>
          </w:p>
        </w:tc>
        <w:tc>
          <w:tcPr>
            <w:tcW w:w="0" w:type="auto"/>
          </w:tcPr>
          <w:p w14:paraId="7CA49353" w14:textId="77777777" w:rsidR="00313EA8" w:rsidRDefault="00000000">
            <w:pPr>
              <w:pStyle w:val="Compact"/>
            </w:pPr>
            <w:r>
              <w:t>per period-pair</w:t>
            </w:r>
          </w:p>
        </w:tc>
        <w:tc>
          <w:tcPr>
            <w:tcW w:w="0" w:type="auto"/>
          </w:tcPr>
          <w:p w14:paraId="7CA49354" w14:textId="77777777" w:rsidR="00313EA8" w:rsidRDefault="00000000">
            <w:pPr>
              <w:pStyle w:val="Compact"/>
            </w:pPr>
            <w:r>
              <w:t>Bootstrap MCPE of the benchmarked EBLUPs (</w:t>
            </w:r>
            <w:r>
              <w:rPr>
                <w:rStyle w:val="VerbatimChar"/>
              </w:rPr>
              <w:t>NULL</w:t>
            </w:r>
            <w:r>
              <w:t xml:space="preserve"> if </w:t>
            </w:r>
            <m:oMath>
              <m:r>
                <w:rPr>
                  <w:rFonts w:ascii="Cambria Math" w:hAnsi="Cambria Math"/>
                </w:rPr>
                <m:t>T&lt;2</m:t>
              </m:r>
            </m:oMath>
            <w:r>
              <w:t>)</w:t>
            </w:r>
          </w:p>
        </w:tc>
      </w:tr>
      <w:tr w:rsidR="00313EA8" w14:paraId="7CA49359" w14:textId="77777777" w:rsidTr="00517F75">
        <w:tc>
          <w:tcPr>
            <w:tcW w:w="0" w:type="auto"/>
          </w:tcPr>
          <w:p w14:paraId="7CA49356" w14:textId="77777777" w:rsidR="00313EA8" w:rsidRDefault="00000000">
            <w:pPr>
              <w:pStyle w:val="Compact"/>
            </w:pPr>
            <w:r>
              <w:rPr>
                <w:rStyle w:val="VerbatimChar"/>
              </w:rPr>
              <w:t>lambda</w:t>
            </w:r>
          </w:p>
        </w:tc>
        <w:tc>
          <w:tcPr>
            <w:tcW w:w="0" w:type="auto"/>
          </w:tcPr>
          <w:p w14:paraId="7CA49357" w14:textId="77777777" w:rsidR="00313EA8" w:rsidRDefault="00000000">
            <w:pPr>
              <w:pStyle w:val="Compact"/>
            </w:pPr>
            <m:oMathPara>
              <m:oMath>
                <m:r>
                  <w:rPr>
                    <w:rFonts w:ascii="Cambria Math" w:hAnsi="Cambria Math"/>
                  </w:rPr>
                  <m:t>D×T</m:t>
                </m:r>
              </m:oMath>
            </m:oMathPara>
          </w:p>
        </w:tc>
        <w:tc>
          <w:tcPr>
            <w:tcW w:w="0" w:type="auto"/>
          </w:tcPr>
          <w:p w14:paraId="7CA49358" w14:textId="77777777" w:rsidR="00313EA8" w:rsidRDefault="00000000">
            <w:pPr>
              <w:pStyle w:val="Compact"/>
            </w:pPr>
            <w:r>
              <w:t xml:space="preserve">Ratio adjustment factors </w:t>
            </w:r>
            <m:oMath>
              <m:sSub>
                <m:sSubPr>
                  <m:ctrlPr>
                    <w:rPr>
                      <w:rFonts w:ascii="Cambria Math" w:hAnsi="Cambria Math"/>
                    </w:rPr>
                  </m:ctrlPr>
                </m:sSubPr>
                <m:e>
                  <m:r>
                    <w:rPr>
                      <w:rFonts w:ascii="Cambria Math" w:hAnsi="Cambria Math"/>
                    </w:rPr>
                    <m:t>λ</m:t>
                  </m:r>
                </m:e>
                <m:sub>
                  <m:r>
                    <w:rPr>
                      <w:rFonts w:ascii="Cambria Math" w:hAnsi="Cambria Math"/>
                    </w:rPr>
                    <m:t>rt</m:t>
                  </m:r>
                </m:sub>
              </m:sSub>
            </m:oMath>
            <w:r>
              <w:t xml:space="preserve"> broadcast to domain rows</w:t>
            </w:r>
          </w:p>
        </w:tc>
      </w:tr>
      <w:tr w:rsidR="00313EA8" w14:paraId="7CA4935D" w14:textId="77777777" w:rsidTr="00517F75">
        <w:tc>
          <w:tcPr>
            <w:tcW w:w="0" w:type="auto"/>
            <w:tcBorders>
              <w:bottom w:val="single" w:sz="4" w:space="0" w:color="auto"/>
            </w:tcBorders>
          </w:tcPr>
          <w:p w14:paraId="7CA4935A" w14:textId="77777777" w:rsidR="00313EA8" w:rsidRDefault="00000000">
            <w:pPr>
              <w:pStyle w:val="Compact"/>
            </w:pPr>
            <w:r>
              <w:rPr>
                <w:rStyle w:val="VerbatimChar"/>
              </w:rPr>
              <w:t>fails</w:t>
            </w:r>
          </w:p>
        </w:tc>
        <w:tc>
          <w:tcPr>
            <w:tcW w:w="0" w:type="auto"/>
            <w:tcBorders>
              <w:bottom w:val="single" w:sz="4" w:space="0" w:color="auto"/>
            </w:tcBorders>
          </w:tcPr>
          <w:p w14:paraId="7CA4935B" w14:textId="77777777" w:rsidR="00313EA8" w:rsidRDefault="00000000">
            <w:pPr>
              <w:pStyle w:val="Compact"/>
            </w:pPr>
            <w:r>
              <w:t>scalar</w:t>
            </w:r>
          </w:p>
        </w:tc>
        <w:tc>
          <w:tcPr>
            <w:tcW w:w="0" w:type="auto"/>
            <w:tcBorders>
              <w:bottom w:val="single" w:sz="4" w:space="0" w:color="auto"/>
            </w:tcBorders>
          </w:tcPr>
          <w:p w14:paraId="7CA4935C" w14:textId="77777777" w:rsidR="00313EA8" w:rsidRDefault="00000000">
            <w:pPr>
              <w:pStyle w:val="Compact"/>
            </w:pPr>
            <w:r>
              <w:t>Number of bootstrap refits that failed to converge</w:t>
            </w:r>
          </w:p>
        </w:tc>
      </w:tr>
    </w:tbl>
    <w:p w14:paraId="7CA4935E" w14:textId="77777777" w:rsidR="00313EA8" w:rsidRDefault="00000000">
      <w:pPr>
        <w:pStyle w:val="Heading2"/>
      </w:pPr>
      <w:bookmarkStart w:id="16" w:name="practical-notes-1"/>
      <w:r>
        <w:t>7. Practical notes</w:t>
      </w:r>
      <w:bookmarkEnd w:id="16"/>
    </w:p>
    <w:p w14:paraId="7CA4935F" w14:textId="62B8464F" w:rsidR="00313EA8" w:rsidRDefault="00000000">
      <w:pPr>
        <w:pStyle w:val="FirstParagraph"/>
      </w:pPr>
      <w:r>
        <w:t>The cautions in Part I carry over: benchmarking redistributes rather than creates information, and it helps only when the regional benchmark is more reliable than the model estimates. In the multivariate setting</w:t>
      </w:r>
      <w:r w:rsidR="009709BD">
        <w:t>, the benchmark is formed separately for each region and period, so a thin region–period cell — few sampled domains in a given year — can propagate noise from the direct benchmark to</w:t>
      </w:r>
      <w:r>
        <w:t xml:space="preserve"> every domain in that cell. Because the adjustment factors </w:t>
      </w:r>
      <m:oMath>
        <m:sSub>
          <m:sSubPr>
            <m:ctrlPr>
              <w:rPr>
                <w:rFonts w:ascii="Cambria Math" w:hAnsi="Cambria Math"/>
              </w:rPr>
            </m:ctrlPr>
          </m:sSubPr>
          <m:e>
            <m:r>
              <w:rPr>
                <w:rFonts w:ascii="Cambria Math" w:hAnsi="Cambria Math"/>
              </w:rPr>
              <m:t>λ</m:t>
            </m:r>
          </m:e>
          <m:sub>
            <m:r>
              <w:rPr>
                <w:rFonts w:ascii="Cambria Math" w:hAnsi="Cambria Math"/>
              </w:rPr>
              <m:t>rt</m:t>
            </m:r>
          </m:sub>
        </m:sSub>
      </m:oMath>
      <w:r>
        <w:t xml:space="preserve"> are computed independently across periods, volatile direct regional aggregates can make the factors jump from one year to the next and inject artificial volatility into the estimated trend, even when the underlying model estimates are stable.</w:t>
      </w:r>
    </w:p>
    <w:p w14:paraId="7CA49360" w14:textId="526E32B1" w:rsidR="00313EA8" w:rsidRDefault="00000000">
      <w:pPr>
        <w:pStyle w:val="BodyText"/>
      </w:pPr>
      <w:r>
        <w:t>Two points are specific to the uncertainty estimates. First, the bootstrap MSE and MCPE are only as good as the assumption that the fitted MFH model — its coefficients, variances, AR(1) coefficient, and sampling covariances — is a good approximation to the data-generating process; the AR(1) specification in particular is an approximation of the true temporal dependence, and for MFH3</w:t>
      </w:r>
      <w:r w:rsidR="009709BD">
        <w:t>,</w:t>
      </w:r>
      <w:r>
        <w:t xml:space="preserve"> the first period is initialized non-stationarily. Second, convergence failures should be reported transparently: the routine counts them in </w:t>
      </w:r>
      <w:r>
        <w:rPr>
          <w:rStyle w:val="VerbatimChar"/>
        </w:rPr>
        <w:t>fails</w:t>
      </w:r>
      <w:r>
        <w:t xml:space="preserve"> and divides by the number of successful replicates, but a region or period in which refits fail systematically deserves scrutiny rather than a silently smaller effective sample of replicates. Comparable-over-time small-area estimation is an active area of methodological work (Molina and Romero, 2025).</w:t>
      </w:r>
    </w:p>
    <w:p w14:paraId="7CA49361" w14:textId="77777777" w:rsidR="00313EA8" w:rsidRDefault="00000000">
      <w:pPr>
        <w:pStyle w:val="Heading1"/>
      </w:pPr>
      <w:bookmarkStart w:id="17" w:name="references"/>
      <w:r>
        <w:t>References</w:t>
      </w:r>
      <w:bookmarkEnd w:id="17"/>
    </w:p>
    <w:p w14:paraId="7CA49362" w14:textId="77777777" w:rsidR="00313EA8" w:rsidRDefault="00000000">
      <w:pPr>
        <w:pStyle w:val="FirstParagraph"/>
      </w:pPr>
      <w:r>
        <w:t xml:space="preserve">Bell, W. R., Datta, G. S., and Ghosh, M. (2013). Benchmarking small area estimators. </w:t>
      </w:r>
      <w:r>
        <w:rPr>
          <w:i/>
        </w:rPr>
        <w:t>Biometrika</w:t>
      </w:r>
      <w:r>
        <w:t>, 100(1), 189–202.</w:t>
      </w:r>
    </w:p>
    <w:p w14:paraId="7CA49363" w14:textId="77777777" w:rsidR="00313EA8" w:rsidRDefault="00000000">
      <w:pPr>
        <w:pStyle w:val="BodyText"/>
      </w:pPr>
      <w:r>
        <w:t xml:space="preserve">Benavent, R. and Morales, D. (2016). Multivariate Fay–Herriot models for small area estimation. </w:t>
      </w:r>
      <w:r>
        <w:rPr>
          <w:i/>
        </w:rPr>
        <w:t>Computational Statistics &amp; Data Analysis</w:t>
      </w:r>
      <w:r>
        <w:t>, 94, 372–390.</w:t>
      </w:r>
    </w:p>
    <w:p w14:paraId="7CA49364" w14:textId="77777777" w:rsidR="00313EA8" w:rsidRDefault="00000000">
      <w:pPr>
        <w:pStyle w:val="BodyText"/>
      </w:pPr>
      <w:r>
        <w:t xml:space="preserve">Datta, G. S., Ghosh, M., Steorts, R., and Maples, J. (2011). Bayesian benchmarking with applications to small area estimation. </w:t>
      </w:r>
      <w:r>
        <w:rPr>
          <w:i/>
        </w:rPr>
        <w:t>Test</w:t>
      </w:r>
      <w:r>
        <w:t>, 20(3), 574–588.</w:t>
      </w:r>
    </w:p>
    <w:p w14:paraId="7CA49365" w14:textId="77777777" w:rsidR="00313EA8" w:rsidRDefault="00000000">
      <w:pPr>
        <w:pStyle w:val="BodyText"/>
      </w:pPr>
      <w:r>
        <w:lastRenderedPageBreak/>
        <w:t xml:space="preserve">Datta, G. S. and Lahiri, P. (2000). A unified measure of uncertainty of estimated best linear unbiased predictors in small area estimation problems. </w:t>
      </w:r>
      <w:r>
        <w:rPr>
          <w:i/>
        </w:rPr>
        <w:t>Statistica Sinica</w:t>
      </w:r>
      <w:r>
        <w:t>, 10(2), 613–627.</w:t>
      </w:r>
    </w:p>
    <w:p w14:paraId="7CA49366" w14:textId="77777777" w:rsidR="00313EA8" w:rsidRDefault="00000000">
      <w:pPr>
        <w:pStyle w:val="BodyText"/>
      </w:pPr>
      <w:r>
        <w:t xml:space="preserve">Duan, N. (1983). Smearing estimate: a nonparametric retransformation method. </w:t>
      </w:r>
      <w:r>
        <w:rPr>
          <w:i/>
        </w:rPr>
        <w:t>Journal of the American Statistical Association</w:t>
      </w:r>
      <w:r>
        <w:t>, 78(383), 605–610.</w:t>
      </w:r>
    </w:p>
    <w:p w14:paraId="7CA49367" w14:textId="77777777" w:rsidR="00313EA8" w:rsidRDefault="00000000">
      <w:pPr>
        <w:pStyle w:val="BodyText"/>
      </w:pPr>
      <w:r>
        <w:t xml:space="preserve">Fay, R. E. and Herriot, R. A. (1979). Estimates of income for small places: an application of James–Stein procedures to census data. </w:t>
      </w:r>
      <w:r>
        <w:rPr>
          <w:i/>
        </w:rPr>
        <w:t>Journal of the American Statistical Association</w:t>
      </w:r>
      <w:r>
        <w:t>, 74(366), 269–277.</w:t>
      </w:r>
    </w:p>
    <w:p w14:paraId="7CA49368" w14:textId="77777777" w:rsidR="00313EA8" w:rsidRDefault="00000000">
      <w:pPr>
        <w:pStyle w:val="BodyText"/>
      </w:pPr>
      <w:r>
        <w:t xml:space="preserve">Harmening, S., Kreutzmann, A.-K., Schmidt, S., Salvati, N., and Schmid, T. (2023). A Framework for Producing Small Area Estimates Based on Area-Level Models in R. </w:t>
      </w:r>
      <w:r>
        <w:rPr>
          <w:i/>
        </w:rPr>
        <w:t>The R Journal</w:t>
      </w:r>
      <w:r>
        <w:t>, 15(1), 316–341.</w:t>
      </w:r>
    </w:p>
    <w:p w14:paraId="7CA49369" w14:textId="77777777" w:rsidR="00313EA8" w:rsidRDefault="00000000">
      <w:pPr>
        <w:pStyle w:val="BodyText"/>
      </w:pPr>
      <w:r>
        <w:t xml:space="preserve">Kreutzmann, A.-K., Pannier, S., Rojas-Perilla, N., Schmid, T., Templ, M., and Tzavidis, N. (2019). The R package emdi for estimating and mapping regionally disaggregated indicators. </w:t>
      </w:r>
      <w:r>
        <w:rPr>
          <w:i/>
        </w:rPr>
        <w:t>Journal of Statistical Software</w:t>
      </w:r>
      <w:r>
        <w:t>, 91(7), 1–33.</w:t>
      </w:r>
    </w:p>
    <w:p w14:paraId="7CA4936A" w14:textId="77777777" w:rsidR="00313EA8" w:rsidRDefault="00000000">
      <w:pPr>
        <w:pStyle w:val="BodyText"/>
      </w:pPr>
      <w:r>
        <w:t>Molina, I. and Romero, E. (2025). Comparable Small Area Estimates over Time. Working document.</w:t>
      </w:r>
    </w:p>
    <w:p w14:paraId="7CA4936B" w14:textId="77777777" w:rsidR="00313EA8" w:rsidRDefault="00000000">
      <w:pPr>
        <w:pStyle w:val="BodyText"/>
      </w:pPr>
      <w:r>
        <w:t xml:space="preserve">Permatasari, N. and Ubaidillah, A. (2021). msae: an R package of multivariate Fay–Herriot models for small area estimation. </w:t>
      </w:r>
      <w:r>
        <w:rPr>
          <w:i/>
        </w:rPr>
        <w:t>The R Journal</w:t>
      </w:r>
      <w:r>
        <w:t>, 13(2), 111–122.</w:t>
      </w:r>
    </w:p>
    <w:p w14:paraId="7CA4936C" w14:textId="77777777" w:rsidR="00313EA8" w:rsidRDefault="00000000">
      <w:pPr>
        <w:pStyle w:val="BodyText"/>
      </w:pPr>
      <w:r>
        <w:t xml:space="preserve">Prasad, N. G. N. and Rao, J. N. K. (1990). The estimation of the mean squared error of small-area estimators. </w:t>
      </w:r>
      <w:r>
        <w:rPr>
          <w:i/>
        </w:rPr>
        <w:t>Journal of the American Statistical Association</w:t>
      </w:r>
      <w:r>
        <w:t>, 85(409), 163–171.</w:t>
      </w:r>
    </w:p>
    <w:p w14:paraId="7CA4936D" w14:textId="77777777" w:rsidR="00313EA8" w:rsidRDefault="00000000">
      <w:pPr>
        <w:pStyle w:val="BodyText"/>
      </w:pPr>
      <w:r>
        <w:t>Rao, J. N. K. and Molina, I. (2015). Small Area Estimation, 2nd edition. Wiley, Hoboken.</w:t>
      </w:r>
    </w:p>
    <w:sectPr w:rsidR="00313EA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6040" w14:textId="77777777" w:rsidR="00C855C0" w:rsidRDefault="00C855C0">
      <w:pPr>
        <w:spacing w:after="0" w:line="240" w:lineRule="auto"/>
      </w:pPr>
      <w:r>
        <w:separator/>
      </w:r>
    </w:p>
  </w:endnote>
  <w:endnote w:type="continuationSeparator" w:id="0">
    <w:p w14:paraId="0174DA5C" w14:textId="77777777" w:rsidR="00C855C0" w:rsidRDefault="00C85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7F69" w14:textId="77777777" w:rsidR="00C855C0" w:rsidRDefault="00C855C0">
      <w:r>
        <w:separator/>
      </w:r>
    </w:p>
  </w:footnote>
  <w:footnote w:type="continuationSeparator" w:id="0">
    <w:p w14:paraId="20A5BE17" w14:textId="77777777" w:rsidR="00C855C0" w:rsidRDefault="00C85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729058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7297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A0DB8"/>
    <w:rsid w:val="001B6BB2"/>
    <w:rsid w:val="002C5C57"/>
    <w:rsid w:val="00313EA8"/>
    <w:rsid w:val="004E29B3"/>
    <w:rsid w:val="00517F75"/>
    <w:rsid w:val="005829D2"/>
    <w:rsid w:val="00590D07"/>
    <w:rsid w:val="005D29D4"/>
    <w:rsid w:val="00784D58"/>
    <w:rsid w:val="008D6863"/>
    <w:rsid w:val="009709BD"/>
    <w:rsid w:val="00B86B75"/>
    <w:rsid w:val="00BA27AF"/>
    <w:rsid w:val="00BC48D5"/>
    <w:rsid w:val="00BF56B1"/>
    <w:rsid w:val="00C36279"/>
    <w:rsid w:val="00C855C0"/>
    <w:rsid w:val="00D639A4"/>
    <w:rsid w:val="00DA7712"/>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92E7"/>
  <w15:docId w15:val="{3F2A6FE3-A5B5-4F20-AB1B-86E2D801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spacing w:before="480" w:after="240" w:line="240" w:lineRule="auto"/>
      <w:jc w:val="center"/>
      <w:outlineLvl w:val="0"/>
    </w:pPr>
    <w:rPr>
      <w:rFonts w:cs="Times New Roman"/>
      <w:b/>
      <w:sz w:val="24"/>
    </w:rPr>
  </w:style>
  <w:style w:type="paragraph" w:styleId="Heading2">
    <w:name w:val="heading 2"/>
    <w:basedOn w:val="Normal"/>
    <w:next w:val="BodyText"/>
    <w:uiPriority w:val="9"/>
    <w:unhideWhenUsed/>
    <w:qFormat/>
    <w:pPr>
      <w:keepNext/>
      <w:spacing w:before="280" w:line="240" w:lineRule="auto"/>
      <w:jc w:val="left"/>
      <w:outlineLvl w:val="1"/>
    </w:pPr>
    <w:rPr>
      <w:rFonts w:cs="Times New Roman"/>
      <w:b/>
      <w:i/>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3150</Words>
  <Characters>18556</Characters>
  <Application>Microsoft Office Word</Application>
  <DocSecurity>0</DocSecurity>
  <Lines>299</Lines>
  <Paragraphs>147</Paragraphs>
  <ScaleCrop>false</ScaleCrop>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Fay–Herriot Small-Area Estimates: Univariate and Multivariate Models</dc:title>
  <dc:creator>Ifeanyi Edochie and Nobuo Yoshida, World Bank Group</dc:creator>
  <cp:keywords/>
  <cp:lastModifiedBy>Marialuz Moreno Badia</cp:lastModifiedBy>
  <cp:revision>11</cp:revision>
  <dcterms:created xsi:type="dcterms:W3CDTF">2026-06-05T02:53:00Z</dcterms:created>
  <dcterms:modified xsi:type="dcterms:W3CDTF">2026-06-05T03:04:00Z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Region-level ratio adjustment, bootstrap MSE, and cross-time MCPE in bench_regional() (UFH) and bench_regional_mfh() (MFH)</vt:lpwstr>
  </property>
  <property fmtid="{D5CDD505-2E9C-101B-9397-08002B2CF9AE}" pid="4" name="GrammarlyDocumentId">
    <vt:lpwstr>b36541f4-8917-455f-bfcb-ae6e9458314e</vt:lpwstr>
  </property>
</Properties>
</file>