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A471" w14:textId="77777777" w:rsidR="00742F56" w:rsidRDefault="00000000">
      <w:pPr>
        <w:pStyle w:val="Title"/>
      </w:pPr>
      <w:bookmarkStart w:id="0" w:name="Xc1c66b86dd0d301f475ec4ffb862b99636e2627"/>
      <w:r>
        <w:t>Estimating the Sampling-Error Covariance Matrix over Time for Multivariate Fay–Herriot Poverty Mapping</w:t>
      </w:r>
    </w:p>
    <w:p w14:paraId="3022A472" w14:textId="77777777" w:rsidR="00742F56" w:rsidRDefault="00000000">
      <w:pPr>
        <w:pStyle w:val="Subtitle"/>
      </w:pPr>
      <w:r>
        <w:t>Cross-time covariances of the direct estimators and how the EU SAE package estimates them</w:t>
      </w:r>
    </w:p>
    <w:p w14:paraId="3022A473" w14:textId="77777777" w:rsidR="00742F56" w:rsidRDefault="00000000">
      <w:pPr>
        <w:pStyle w:val="Author"/>
      </w:pPr>
      <w:r>
        <w:t>Nobuo Yoshida, World Bank Group</w:t>
      </w:r>
    </w:p>
    <w:p w14:paraId="3022A474" w14:textId="77777777" w:rsidR="00742F56" w:rsidRDefault="00000000">
      <w:pPr>
        <w:pStyle w:val="Date"/>
      </w:pPr>
      <w:r>
        <w:t>June 2026</w:t>
      </w:r>
    </w:p>
    <w:p w14:paraId="3022A475" w14:textId="77777777" w:rsidR="00742F56" w:rsidRDefault="00000000">
      <w:pPr>
        <w:pStyle w:val="Heading1"/>
      </w:pPr>
      <w:bookmarkStart w:id="1" w:name="purpose-and-motivation"/>
      <w:r>
        <w:t>1. Purpose and motivation</w:t>
      </w:r>
    </w:p>
    <w:p w14:paraId="3022A476" w14:textId="77777777" w:rsidR="00742F56" w:rsidRDefault="00000000">
      <w:pPr>
        <w:pStyle w:val="FirstParagraph"/>
      </w:pPr>
      <w:r>
        <w:t>Multivariate Fay–Herriot (MFH) models extend the original area-level Fay–Herriot model (Fay and Herriot, 1979) by modeling several related direct estimators jointly. For poverty mapping over time, those related estimators are usually direct estimates for the same area in different survey years. For each area or domain, the model needs a sampling-error variance-covariance matrix for those direct estimates across time. The diagonal elements are the sampling variances of the direct estimates in each year. The off-diagonal elements are the cross-time covariances of the direct estimators.</w:t>
      </w:r>
    </w:p>
    <w:p w14:paraId="3022A477" w14:textId="77777777" w:rsidR="00742F56" w:rsidRDefault="00000000">
      <w:pPr>
        <w:pStyle w:val="BodyText"/>
      </w:pPr>
      <w:r>
        <w:t>For two years, the area-level sampling-error matrix supplied to the MFH model has the form</w:t>
      </w:r>
    </w:p>
    <w:p w14:paraId="3022A478" w14:textId="77777777" w:rsidR="00742F56"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j1</m:t>
                            </m:r>
                          </m:sub>
                        </m:sSub>
                      </m:e>
                    </m:d>
                  </m:e>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j2</m:t>
                            </m:r>
                          </m:sub>
                        </m:sSub>
                      </m:e>
                    </m:d>
                  </m:e>
                </m:mr>
                <m:m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j1</m:t>
                            </m:r>
                          </m:sub>
                        </m:sSub>
                      </m:e>
                    </m:d>
                  </m:e>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j2</m:t>
                            </m:r>
                          </m:sub>
                        </m:sSub>
                      </m:e>
                    </m:d>
                  </m:e>
                </m:mr>
              </m:m>
            </m:e>
          </m:d>
          <m:r>
            <m:rPr>
              <m:sty m:val="p"/>
            </m:rPr>
            <w:rPr>
              <w:rFonts w:ascii="Cambria Math" w:hAnsi="Cambria Math"/>
            </w:rPr>
            <m:t>,</m:t>
          </m:r>
        </m:oMath>
      </m:oMathPara>
    </w:p>
    <w:p w14:paraId="3022A479" w14:textId="39172D3D" w:rsidR="00742F56" w:rsidRDefault="00000000">
      <w:pPr>
        <w:pStyle w:val="FirstParagraph"/>
      </w:pPr>
      <w:r>
        <w:t xml:space="preserve">where </w:t>
      </w:r>
      <m:oMath>
        <m:r>
          <w:rPr>
            <w:rFonts w:ascii="Cambria Math" w:hAnsi="Cambria Math"/>
          </w:rPr>
          <m:t>j</m:t>
        </m:r>
      </m:oMath>
      <w:r>
        <w:t xml:space="preserve"> indexes the area and </w:t>
      </w:r>
      <m:oMath>
        <m:sSub>
          <m:sSubPr>
            <m:ctrlPr>
              <w:rPr>
                <w:rFonts w:ascii="Cambria Math" w:hAnsi="Cambria Math"/>
              </w:rPr>
            </m:ctrlPr>
          </m:sSubPr>
          <m:e>
            <m:r>
              <w:rPr>
                <w:rFonts w:ascii="Cambria Math" w:hAnsi="Cambria Math"/>
              </w:rPr>
              <m:t>e</m:t>
            </m:r>
          </m:e>
          <m:sub>
            <m:r>
              <w:rPr>
                <w:rFonts w:ascii="Cambria Math" w:hAnsi="Cambria Math"/>
              </w:rPr>
              <m:t>jt</m:t>
            </m:r>
          </m:sub>
        </m:sSub>
      </m:oMath>
      <w:r>
        <w:t xml:space="preserve"> is the sampling error of the direct estimator in year </w:t>
      </w:r>
      <m:oMath>
        <m:r>
          <w:rPr>
            <w:rFonts w:ascii="Cambria Math" w:hAnsi="Cambria Math"/>
          </w:rPr>
          <m:t>t</m:t>
        </m:r>
      </m:oMath>
      <w:r>
        <w:t xml:space="preserve">. Benavent and Morales (2016) </w:t>
      </w:r>
      <w:r w:rsidR="002702B5">
        <w:t>present the multivariate Fay–Herriot framework, in which the sampling-error covariance matrix is treated as a known model input, while Rao and Molina (2015) present</w:t>
      </w:r>
      <w:r>
        <w:t xml:space="preserve"> the broader small area estimation framework for using direct estimators, sampling variances, EBLUPs, and MSEs in area-level SAE.</w:t>
      </w:r>
    </w:p>
    <w:p w14:paraId="3022A47A" w14:textId="77777777" w:rsidR="00742F56" w:rsidRDefault="00000000">
      <w:pPr>
        <w:pStyle w:val="BodyText"/>
      </w:pPr>
      <w:r>
        <w:t>The off-diagonal covariance matters because the same survey design features that create dependence across years also affect the uncertainty of estimated changes over time. Cross-time covariance is especially relevant when surveys reuse primary sampling units (PSUs), use rotating panels, contain panel household components, or otherwise overlap clusters across waves. Ignoring such covariance can distort uncertainty measures for both direct changes and MFH-based change estimates.</w:t>
      </w:r>
    </w:p>
    <w:p w14:paraId="3022A47B" w14:textId="77777777" w:rsidR="00742F56" w:rsidRDefault="00000000">
      <w:pPr>
        <w:pStyle w:val="Heading1"/>
      </w:pPr>
      <w:bookmarkStart w:id="2" w:name="two-covariance-matrices-in-mfh"/>
      <w:bookmarkEnd w:id="1"/>
      <w:r>
        <w:t>2. Two covariance matrices in MFH</w:t>
      </w:r>
    </w:p>
    <w:p w14:paraId="3022A47C" w14:textId="77777777" w:rsidR="00742F56" w:rsidRDefault="00000000">
      <w:pPr>
        <w:pStyle w:val="FirstParagraph"/>
      </w:pPr>
      <w:r>
        <w:t>MFH models contain two conceptually different covariance matrices.</w:t>
      </w:r>
    </w:p>
    <w:p w14:paraId="3022A47D" w14:textId="77777777" w:rsidR="00742F56" w:rsidRDefault="00000000">
      <w:pPr>
        <w:pStyle w:val="BodyText"/>
      </w:pPr>
      <w:r>
        <w:t xml:space="preserve">The first is the random-effects covariance matrix. This matrix is estimated by the MFH model and describes the relationship among area-level random effects across outcomes or time periods. Different structures for this matrix define model variants such as MFH1, MFH2, and MFH3. Benavent and Morales (2016) provide the methodological basis for these multivariate FH model structures. Permatasari and Ubaidillah (2021) document their implementation in the R package </w:t>
      </w:r>
      <w:r>
        <w:rPr>
          <w:rStyle w:val="VerbatimChar"/>
        </w:rPr>
        <w:t>msae</w:t>
      </w:r>
      <w:r>
        <w:t>.</w:t>
      </w:r>
    </w:p>
    <w:p w14:paraId="3022A47E" w14:textId="77777777" w:rsidR="00742F56" w:rsidRDefault="00000000">
      <w:pPr>
        <w:pStyle w:val="BodyText"/>
      </w:pPr>
      <w:r>
        <w:lastRenderedPageBreak/>
        <w:t>The second is the sampling-error covariance matrix of the direct estimators. This matrix is treated as known by the MFH model and supplied as part of the input data. It describes uncertainty from the survey design, not unexplained area heterogeneity.</w:t>
      </w:r>
    </w:p>
    <w:p w14:paraId="3022A47F" w14:textId="77777777" w:rsidR="00742F56" w:rsidRDefault="00000000">
      <w:pPr>
        <w:pStyle w:val="BodyText"/>
      </w:pPr>
      <w:r>
        <w:t>This note concerns the second object: the sampling-error covariance matrix of the direct survey estimators.</w:t>
      </w:r>
    </w:p>
    <w:p w14:paraId="3022A480" w14:textId="77777777" w:rsidR="00742F56" w:rsidRDefault="00000000">
      <w:pPr>
        <w:pStyle w:val="Heading1"/>
      </w:pPr>
      <w:bookmarkStart w:id="3" w:name="object-to-be-estimated"/>
      <w:bookmarkEnd w:id="2"/>
      <w:r>
        <w:t>3. Object to be estimated</w:t>
      </w:r>
    </w:p>
    <w:p w14:paraId="3022A481" w14:textId="77777777" w:rsidR="00742F56" w:rsidRDefault="00000000">
      <w:pPr>
        <w:pStyle w:val="FirstParagraph"/>
      </w:pPr>
      <w:r>
        <w:t xml:space="preserve">For area </w:t>
      </w:r>
      <m:oMath>
        <m:r>
          <w:rPr>
            <w:rFonts w:ascii="Cambria Math" w:hAnsi="Cambria Math"/>
          </w:rPr>
          <m:t>j</m:t>
        </m:r>
      </m:oMath>
      <w:r>
        <w:t xml:space="preserve"> and period </w:t>
      </w:r>
      <m:oMath>
        <m:r>
          <w:rPr>
            <w:rFonts w:ascii="Cambria Math" w:hAnsi="Cambria Math"/>
          </w:rPr>
          <m:t>t</m:t>
        </m:r>
      </m:oMath>
      <w:r>
        <w:t>, define the Fay–Herriot sampling error as</w:t>
      </w:r>
    </w:p>
    <w:p w14:paraId="3022A482" w14:textId="77777777" w:rsidR="00742F56"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jt</m:t>
              </m:r>
            </m:sub>
          </m:sSub>
          <m:r>
            <m:rPr>
              <m:sty m:val="p"/>
            </m:rPr>
            <w:rPr>
              <w:rFonts w:ascii="Cambria Math" w:hAnsi="Cambria Math"/>
            </w:rPr>
            <m:t>,</m:t>
          </m:r>
        </m:oMath>
      </m:oMathPara>
    </w:p>
    <w:p w14:paraId="3022A483" w14:textId="77777777" w:rsidR="00742F56" w:rsidRDefault="00000000">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oMath>
      <w:r>
        <w:t xml:space="preserve"> is the direct survey estimate and </w:t>
      </w:r>
      <m:oMath>
        <m:sSub>
          <m:sSubPr>
            <m:ctrlPr>
              <w:rPr>
                <w:rFonts w:ascii="Cambria Math" w:hAnsi="Cambria Math"/>
              </w:rPr>
            </m:ctrlPr>
          </m:sSubPr>
          <m:e>
            <m:r>
              <w:rPr>
                <w:rFonts w:ascii="Cambria Math" w:hAnsi="Cambria Math"/>
              </w:rPr>
              <m:t>θ</m:t>
            </m:r>
          </m:e>
          <m:sub>
            <m:r>
              <w:rPr>
                <w:rFonts w:ascii="Cambria Math" w:hAnsi="Cambria Math"/>
              </w:rPr>
              <m:t>jt</m:t>
            </m:r>
          </m:sub>
        </m:sSub>
      </m:oMath>
      <w:r>
        <w:t xml:space="preserve"> is the true area value. For two adjacent periods, the off-diagonal target is</w:t>
      </w:r>
    </w:p>
    <w:p w14:paraId="3022A484" w14:textId="77777777" w:rsidR="00742F56"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3022A485" w14:textId="77777777" w:rsidR="00742F56" w:rsidRDefault="00000000">
      <w:pPr>
        <w:pStyle w:val="FirstParagraph"/>
      </w:pPr>
      <w:r>
        <w:t xml:space="preserve">From a design-based survey-sampling perspective, </w:t>
      </w:r>
      <m:oMath>
        <m:sSub>
          <m:sSubPr>
            <m:ctrlPr>
              <w:rPr>
                <w:rFonts w:ascii="Cambria Math" w:hAnsi="Cambria Math"/>
              </w:rPr>
            </m:ctrlPr>
          </m:sSubPr>
          <m:e>
            <m:r>
              <w:rPr>
                <w:rFonts w:ascii="Cambria Math" w:hAnsi="Cambria Math"/>
              </w:rPr>
              <m:t>θ</m:t>
            </m:r>
          </m:e>
          <m:sub>
            <m:r>
              <w:rPr>
                <w:rFonts w:ascii="Cambria Math" w:hAnsi="Cambria Math"/>
              </w:rPr>
              <m:t>jt</m:t>
            </m:r>
          </m:sub>
        </m:sSub>
      </m:oMath>
      <w:r>
        <w:t xml:space="preserve"> is fixed. Therefore,</w:t>
      </w:r>
    </w:p>
    <w:p w14:paraId="3022A486" w14:textId="77777777" w:rsidR="00742F56"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3022A487" w14:textId="77777777" w:rsidR="00742F56" w:rsidRDefault="00000000">
      <w:pPr>
        <w:pStyle w:val="FirstParagraph"/>
      </w:pPr>
      <w:r>
        <w:t>The MFH sampling-error covariance is therefore the design-based covariance of the direct survey estimators. Särndal, Swensson, and Wretman (1992) provide the general survey-sampling basis for weighted direct estimators and their variances and covariances; Binder (1983) provides the basis for Taylor-linearized variance estimation for estimators from complex surveys.</w:t>
      </w:r>
    </w:p>
    <w:p w14:paraId="3022A488" w14:textId="77777777" w:rsidR="00742F56" w:rsidRDefault="00000000">
      <w:pPr>
        <w:pStyle w:val="Heading1"/>
      </w:pPr>
      <w:bookmarkStart w:id="4" w:name="household-level-intuition"/>
      <w:bookmarkEnd w:id="3"/>
      <w:r>
        <w:t>4. Household-level intuition</w:t>
      </w:r>
    </w:p>
    <w:p w14:paraId="3022A489" w14:textId="77777777" w:rsidR="00742F56" w:rsidRDefault="00000000">
      <w:pPr>
        <w:pStyle w:val="FirstParagraph"/>
      </w:pPr>
      <w:r>
        <w:t>The attached internal notes motivate the covariance using the household-level model</w:t>
      </w:r>
    </w:p>
    <w:p w14:paraId="3022A48A" w14:textId="77777777" w:rsidR="00742F56"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hjkt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hjkt</m:t>
              </m:r>
            </m:sub>
          </m:s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hjkt</m:t>
              </m:r>
            </m:sub>
          </m:sSub>
          <m:r>
            <m:rPr>
              <m:sty m:val="p"/>
            </m:rPr>
            <w:rPr>
              <w:rFonts w:ascii="Cambria Math" w:hAnsi="Cambria Math"/>
            </w:rPr>
            <m:t>,</m:t>
          </m:r>
        </m:oMath>
      </m:oMathPara>
    </w:p>
    <w:p w14:paraId="3022A48B" w14:textId="77777777" w:rsidR="00742F56" w:rsidRDefault="00000000">
      <w:pPr>
        <w:pStyle w:val="FirstParagraph"/>
      </w:pPr>
      <w:r>
        <w:t xml:space="preserve">where </w:t>
      </w:r>
      <m:oMath>
        <m:r>
          <w:rPr>
            <w:rFonts w:ascii="Cambria Math" w:hAnsi="Cambria Math"/>
          </w:rPr>
          <m:t>h</m:t>
        </m:r>
      </m:oMath>
      <w:r>
        <w:t xml:space="preserve"> indexes households, </w:t>
      </w:r>
      <m:oMath>
        <m:r>
          <w:rPr>
            <w:rFonts w:ascii="Cambria Math" w:hAnsi="Cambria Math"/>
          </w:rPr>
          <m:t>k</m:t>
        </m:r>
      </m:oMath>
      <w:r>
        <w:t xml:space="preserve"> indexes PSUs, </w:t>
      </w:r>
      <m:oMath>
        <m:r>
          <w:rPr>
            <w:rFonts w:ascii="Cambria Math" w:hAnsi="Cambria Math"/>
          </w:rPr>
          <m:t>j</m:t>
        </m:r>
      </m:oMath>
      <w:r>
        <w:t xml:space="preserve"> indexes areas, and </w:t>
      </w:r>
      <m:oMath>
        <m:r>
          <w:rPr>
            <w:rFonts w:ascii="Cambria Math" w:hAnsi="Cambria Math"/>
          </w:rPr>
          <m:t>t</m:t>
        </m:r>
      </m:oMath>
      <w:r>
        <w:t xml:space="preserve"> indexes time. In this representation:</w:t>
      </w:r>
    </w:p>
    <w:p w14:paraId="3022A48C" w14:textId="77777777" w:rsidR="00742F56" w:rsidRDefault="00000000">
      <w:pPr>
        <w:pStyle w:val="Compact"/>
        <w:numPr>
          <w:ilvl w:val="0"/>
          <w:numId w:val="2"/>
        </w:numPr>
      </w:pPr>
      <m:oMath>
        <m:sSub>
          <m:sSubPr>
            <m:ctrlPr>
              <w:rPr>
                <w:rFonts w:ascii="Cambria Math" w:hAnsi="Cambria Math"/>
              </w:rPr>
            </m:ctrlPr>
          </m:sSubPr>
          <m:e>
            <m:r>
              <w:rPr>
                <w:rFonts w:ascii="Cambria Math" w:hAnsi="Cambria Math"/>
              </w:rPr>
              <m:t>u</m:t>
            </m:r>
          </m:e>
          <m:sub>
            <m:r>
              <w:rPr>
                <w:rFonts w:ascii="Cambria Math" w:hAnsi="Cambria Math"/>
              </w:rPr>
              <m:t>jk</m:t>
            </m:r>
          </m:sub>
        </m:sSub>
      </m:oMath>
      <w:r>
        <w:t xml:space="preserve"> is a persistent PSU or cluster effect;</w:t>
      </w:r>
    </w:p>
    <w:p w14:paraId="3022A48D" w14:textId="77777777" w:rsidR="00742F56" w:rsidRDefault="00000000">
      <w:pPr>
        <w:pStyle w:val="Compact"/>
        <w:numPr>
          <w:ilvl w:val="0"/>
          <w:numId w:val="2"/>
        </w:numPr>
      </w:pPr>
      <w:r>
        <w:t>household-level idiosyncratic errors are not serially correlated;</w:t>
      </w:r>
    </w:p>
    <w:p w14:paraId="3022A48E" w14:textId="77777777" w:rsidR="00742F56" w:rsidRDefault="00000000">
      <w:pPr>
        <w:pStyle w:val="Compact"/>
        <w:numPr>
          <w:ilvl w:val="0"/>
          <w:numId w:val="2"/>
        </w:numPr>
      </w:pPr>
      <w:r>
        <w:t>covariates are assumed not to create cross-time covariance;</w:t>
      </w:r>
    </w:p>
    <w:p w14:paraId="3022A48F" w14:textId="77777777" w:rsidR="00742F56" w:rsidRDefault="00000000">
      <w:pPr>
        <w:pStyle w:val="Compact"/>
        <w:numPr>
          <w:ilvl w:val="0"/>
          <w:numId w:val="2"/>
        </w:numPr>
      </w:pPr>
      <w:r>
        <w:t>the persistent cluster effect is what generates sampling-error covariance across years.</w:t>
      </w:r>
    </w:p>
    <w:p w14:paraId="3022A490" w14:textId="77777777" w:rsidR="00742F56" w:rsidRDefault="00000000">
      <w:pPr>
        <w:pStyle w:val="FirstParagraph"/>
      </w:pPr>
      <w:r>
        <w:t>The implication is practical. If the same PSU appears in two survey waves, households in that PSU share a persistent cluster component. Therefore, even different households in the same repeated PSU can contribute to cross-time covariance. This project-specific derivation is from Yoshida (2025a, 2025b), not from Benavent and Morales (2016).</w:t>
      </w:r>
    </w:p>
    <w:p w14:paraId="3022A491" w14:textId="77777777" w:rsidR="00742F56" w:rsidRDefault="00000000">
      <w:pPr>
        <w:pStyle w:val="Heading1"/>
      </w:pPr>
      <w:bookmarkStart w:id="5" w:name="three-equivalent-covariance-expressions"/>
      <w:bookmarkEnd w:id="4"/>
      <w:r>
        <w:lastRenderedPageBreak/>
        <w:t>5. Three equivalent covariance expressions</w:t>
      </w:r>
    </w:p>
    <w:p w14:paraId="3022A492" w14:textId="7CBCA656" w:rsidR="00742F56" w:rsidRDefault="00000000">
      <w:pPr>
        <w:pStyle w:val="FirstParagraph"/>
      </w:pPr>
      <w:r>
        <w:t xml:space="preserve">The following three expressions summarize the derivation in Yoshida (2025a). For readability, area </w:t>
      </w:r>
      <m:oMath>
        <m:r>
          <w:rPr>
            <w:rFonts w:ascii="Cambria Math" w:hAnsi="Cambria Math"/>
          </w:rPr>
          <m:t>j</m:t>
        </m:r>
      </m:oMath>
      <w:r>
        <w:t xml:space="preserve"> is suppressed in the notation</w:t>
      </w:r>
      <w:r w:rsidR="002702B5">
        <w:t>,</w:t>
      </w:r>
      <w:r>
        <w:t xml:space="preserve"> and the two waves are labeled 1 and 2.</w:t>
      </w:r>
    </w:p>
    <w:p w14:paraId="3022A493" w14:textId="77777777" w:rsidR="00742F56" w:rsidRDefault="00000000">
      <w:pPr>
        <w:pStyle w:val="Heading2"/>
      </w:pPr>
      <w:bookmarkStart w:id="6" w:name="a.-household-form"/>
      <w:r>
        <w:t>A. Household form</w:t>
      </w:r>
    </w:p>
    <w:p w14:paraId="3022A494" w14:textId="6C463890" w:rsidR="00742F56" w:rsidRDefault="00000000">
      <w:pPr>
        <w:pStyle w:val="FirstParagraph"/>
      </w:pPr>
      <w:r>
        <w:t xml:space="preserve">Let </w:t>
      </w:r>
      <m:oMath>
        <m:sSub>
          <m:sSubPr>
            <m:ctrlPr>
              <w:rPr>
                <w:rFonts w:ascii="Cambria Math" w:hAnsi="Cambria Math"/>
              </w:rPr>
            </m:ctrlPr>
          </m:sSubPr>
          <m:e>
            <m:r>
              <w:rPr>
                <w:rFonts w:ascii="Cambria Math" w:hAnsi="Cambria Math"/>
              </w:rPr>
              <m:t>S</m:t>
            </m:r>
          </m:e>
          <m:sub>
            <m:r>
              <w:rPr>
                <w:rFonts w:ascii="Cambria Math" w:hAnsi="Cambria Math"/>
              </w:rPr>
              <m:t>12</m:t>
            </m:r>
          </m:sub>
        </m:sSub>
      </m:oMath>
      <w:r>
        <w:t xml:space="preserve"> be the set of </w:t>
      </w:r>
      <m:oMath>
        <m:r>
          <w:rPr>
            <w:rFonts w:ascii="Cambria Math" w:hAnsi="Cambria Math"/>
          </w:rPr>
          <m:t>m</m:t>
        </m:r>
      </m:oMath>
      <w:r>
        <w:t xml:space="preserve"> PSUs appearing in both waves. Let </w:t>
      </w:r>
      <m:oMath>
        <m:sSub>
          <m:sSubPr>
            <m:ctrlPr>
              <w:rPr>
                <w:rFonts w:ascii="Cambria Math" w:hAnsi="Cambria Math"/>
              </w:rPr>
            </m:ctrlPr>
          </m:sSubPr>
          <m:e>
            <m:r>
              <w:rPr>
                <w:rFonts w:ascii="Cambria Math" w:hAnsi="Cambria Math"/>
              </w:rPr>
              <m:t>H</m:t>
            </m:r>
          </m:e>
          <m:sub>
            <m:r>
              <w:rPr>
                <w:rFonts w:ascii="Cambria Math" w:hAnsi="Cambria Math"/>
              </w:rPr>
              <m:t>k1</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k2</m:t>
            </m:r>
          </m:sub>
        </m:sSub>
      </m:oMath>
      <w:r>
        <w:t xml:space="preserve"> be the sampled households in PSU </w:t>
      </w:r>
      <m:oMath>
        <m:r>
          <w:rPr>
            <w:rFonts w:ascii="Cambria Math" w:hAnsi="Cambria Math"/>
          </w:rPr>
          <m:t>k</m:t>
        </m:r>
      </m:oMath>
      <w:r>
        <w:t xml:space="preserve"> in waves 1 and 2. Let </w:t>
      </w:r>
      <m:oMath>
        <m:sSub>
          <m:sSubPr>
            <m:ctrlPr>
              <w:rPr>
                <w:rFonts w:ascii="Cambria Math" w:hAnsi="Cambria Math"/>
              </w:rPr>
            </m:ctrlPr>
          </m:sSubPr>
          <m:e>
            <m:r>
              <w:rPr>
                <w:rFonts w:ascii="Cambria Math" w:hAnsi="Cambria Math"/>
              </w:rPr>
              <m:t>w</m:t>
            </m:r>
          </m:e>
          <m:sub>
            <m:r>
              <w:rPr>
                <w:rFonts w:ascii="Cambria Math" w:hAnsi="Cambria Math"/>
              </w:rPr>
              <m:t>hk1</m:t>
            </m:r>
          </m:sub>
        </m:sSub>
      </m:oMath>
      <w:r>
        <w:t xml:space="preserve"> and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k2</m:t>
            </m:r>
          </m:sub>
        </m:sSub>
      </m:oMath>
      <w:r>
        <w:t xml:space="preserve"> be </w:t>
      </w:r>
      <w:r w:rsidR="002702B5">
        <w:t xml:space="preserve">the </w:t>
      </w:r>
      <w:r>
        <w:t xml:space="preserve">final survey weights, and let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be the population totals implied by the weights. Then</w:t>
      </w:r>
    </w:p>
    <w:p w14:paraId="3022A495" w14:textId="77777777" w:rsidR="00742F56"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k1</m:t>
                      </m:r>
                    </m:sub>
                  </m:sSub>
                </m:sub>
                <m:sup>
                  <m:r>
                    <w:rPr>
                      <w:rFonts w:ascii="Cambria Math" w:hAnsi="Cambria Math"/>
                    </w:rPr>
                    <m:t>​</m:t>
                  </m:r>
                </m:sup>
                <m:e>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k2</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hk1</m:t>
                          </m:r>
                        </m:sub>
                      </m:sSub>
                    </m:e>
                  </m:nary>
                </m:e>
              </m:nary>
            </m:e>
          </m:nary>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k2</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hk1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k2</m:t>
                  </m:r>
                </m:sub>
              </m:sSub>
            </m:e>
          </m:d>
          <m:r>
            <m:rPr>
              <m:sty m:val="p"/>
            </m:rPr>
            <w:rPr>
              <w:rFonts w:ascii="Cambria Math" w:hAnsi="Cambria Math"/>
            </w:rPr>
            <m:t>.</m:t>
          </m:r>
        </m:oMath>
      </m:oMathPara>
    </w:p>
    <w:p w14:paraId="3022A496" w14:textId="77777777" w:rsidR="00742F56" w:rsidRDefault="00000000">
      <w:pPr>
        <w:pStyle w:val="FirstParagraph"/>
      </w:pPr>
      <w:r>
        <w:t>This expression makes clear that the covariance is not limited to households observed in both waves. Under a persistent PSU effect, cross-household pairs inside a repeated PSU also contribute.</w:t>
      </w:r>
    </w:p>
    <w:p w14:paraId="3022A497" w14:textId="77777777" w:rsidR="00742F56" w:rsidRDefault="00000000">
      <w:pPr>
        <w:pStyle w:val="Heading2"/>
      </w:pPr>
      <w:bookmarkStart w:id="7" w:name="b.-psu-population-form"/>
      <w:bookmarkEnd w:id="6"/>
      <w:r>
        <w:t>B. PSU-population form</w:t>
      </w:r>
    </w:p>
    <w:p w14:paraId="3022A498" w14:textId="77777777" w:rsidR="00742F56" w:rsidRDefault="00000000">
      <w:pPr>
        <w:pStyle w:val="FirstParagraph"/>
      </w:pPr>
      <w:r>
        <w:t>Define weighted PSU totals:</w:t>
      </w:r>
    </w:p>
    <w:p w14:paraId="3022A499" w14:textId="77777777" w:rsidR="00742F56"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k1</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hk1</m:t>
                  </m:r>
                </m:sub>
              </m:sSub>
            </m:e>
          </m:nary>
          <m:sSub>
            <m:sSubPr>
              <m:ctrlPr>
                <w:rPr>
                  <w:rFonts w:ascii="Cambria Math" w:hAnsi="Cambria Math"/>
                </w:rPr>
              </m:ctrlPr>
            </m:sSubPr>
            <m:e>
              <m:r>
                <w:rPr>
                  <w:rFonts w:ascii="Cambria Math" w:hAnsi="Cambria Math"/>
                </w:rPr>
                <m:t>Y</m:t>
              </m:r>
            </m:e>
            <m:sub>
              <m:r>
                <w:rPr>
                  <w:rFonts w:ascii="Cambria Math" w:hAnsi="Cambria Math"/>
                </w:rPr>
                <m:t>hk1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k2</m:t>
              </m:r>
            </m:sub>
          </m:sSub>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k2</m:t>
                  </m:r>
                </m:sub>
              </m:sSub>
            </m:sub>
            <m:sup>
              <m:r>
                <w:rPr>
                  <w:rFonts w:ascii="Cambria Math" w:hAnsi="Cambria Math"/>
                </w:rPr>
                <m:t>​</m:t>
              </m:r>
            </m:sup>
            <m:e>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k2</m:t>
                  </m:r>
                </m:sub>
              </m:sSub>
            </m:e>
          </m:nary>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k2</m:t>
              </m:r>
            </m:sub>
          </m:sSub>
          <m:r>
            <m:rPr>
              <m:sty m:val="p"/>
            </m:rPr>
            <w:rPr>
              <w:rFonts w:ascii="Cambria Math" w:hAnsi="Cambria Math"/>
            </w:rPr>
            <m:t>.</m:t>
          </m:r>
        </m:oMath>
      </m:oMathPara>
    </w:p>
    <w:p w14:paraId="3022A49A" w14:textId="77777777" w:rsidR="00742F56" w:rsidRDefault="00000000">
      <w:pPr>
        <w:pStyle w:val="FirstParagraph"/>
      </w:pPr>
      <w:r>
        <w:t xml:space="preserve">Grouping the household terms within PSU </w:t>
      </w:r>
      <m:oMath>
        <m:r>
          <w:rPr>
            <w:rFonts w:ascii="Cambria Math" w:hAnsi="Cambria Math"/>
          </w:rPr>
          <m:t>k</m:t>
        </m:r>
      </m:oMath>
      <w:r>
        <w:t xml:space="preserve"> gives</w:t>
      </w:r>
    </w:p>
    <w:p w14:paraId="3022A49B" w14:textId="77777777" w:rsidR="00742F56"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k1</m:t>
                  </m:r>
                </m:sub>
              </m:sSub>
            </m:sub>
            <m:sup>
              <m:r>
                <w:rPr>
                  <w:rFonts w:ascii="Cambria Math" w:hAnsi="Cambria Math"/>
                </w:rPr>
                <m:t>​</m:t>
              </m:r>
            </m:sup>
            <m:e>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k2</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hk1</m:t>
                      </m:r>
                    </m:sub>
                  </m:sSub>
                </m:e>
              </m:nary>
            </m:e>
          </m:nary>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k2</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hk1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k2</m:t>
                  </m:r>
                </m:sub>
              </m:sSub>
            </m:e>
          </m:d>
          <m:r>
            <m:rPr>
              <m:sty m:val="p"/>
            </m:rPr>
            <w:rPr>
              <w:rFonts w:ascii="Cambria Math" w:hAnsi="Cambria Math"/>
            </w:rPr>
            <m:t>.</m:t>
          </m:r>
        </m:oMath>
      </m:oMathPara>
    </w:p>
    <w:p w14:paraId="3022A49C" w14:textId="77777777" w:rsidR="00742F56" w:rsidRDefault="00000000">
      <w:pPr>
        <w:pStyle w:val="FirstParagraph"/>
      </w:pPr>
      <w:r>
        <w:t>Thus the covariance of the two direct means can be written as a covariance of PSU totals:</w:t>
      </w:r>
    </w:p>
    <w:p w14:paraId="3022A49D" w14:textId="77777777" w:rsidR="00742F56"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sSub>
            <m:sSubPr>
              <m:ctrlPr>
                <w:rPr>
                  <w:rFonts w:ascii="Cambria Math" w:hAnsi="Cambria Math"/>
                </w:rPr>
              </m:ctrlPr>
            </m:sSubPr>
            <m:e>
              <m:r>
                <m:rPr>
                  <m:sty m:val="p"/>
                </m:rPr>
                <w:rPr>
                  <w:rFonts w:ascii="Cambria Math" w:hAnsi="Cambria Math"/>
                </w:rPr>
                <m:t>Cov</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k2</m:t>
                  </m:r>
                </m:sub>
              </m:sSub>
            </m:e>
          </m:d>
          <m:r>
            <m:rPr>
              <m:sty m:val="p"/>
            </m:rPr>
            <w:rPr>
              <w:rFonts w:ascii="Cambria Math" w:hAnsi="Cambria Math"/>
            </w:rPr>
            <m:t>.</m:t>
          </m:r>
        </m:oMath>
      </m:oMathPara>
    </w:p>
    <w:p w14:paraId="3022A49E" w14:textId="77777777" w:rsidR="00742F56" w:rsidRDefault="00000000">
      <w:pPr>
        <w:pStyle w:val="Heading2"/>
      </w:pPr>
      <w:bookmarkStart w:id="8" w:name="c.-psu-sample-form"/>
      <w:bookmarkEnd w:id="7"/>
      <w:r>
        <w:t>C. PSU-sample form</w:t>
      </w:r>
    </w:p>
    <w:p w14:paraId="3022A49F" w14:textId="77777777" w:rsidR="00742F56" w:rsidRDefault="00000000">
      <w:pPr>
        <w:pStyle w:val="FirstParagraph"/>
      </w:pPr>
      <w:r>
        <w:t>Replacing the PSU-population covariance with its unbiased sample estimator yields</w:t>
      </w:r>
    </w:p>
    <w:p w14:paraId="3022A4A0" w14:textId="77777777" w:rsidR="00742F56" w:rsidRDefault="00000000">
      <w:pPr>
        <w:pStyle w:val="BodyText"/>
      </w:pPr>
      <m:oMathPara>
        <m:oMathParaPr>
          <m:jc m:val="center"/>
        </m:oMathParaPr>
        <m:oMath>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r>
                <m:rPr>
                  <m:sty m:val="p"/>
                </m:rPr>
                <w:rPr>
                  <w:rFonts w:ascii="Cambria Math" w:hAnsi="Cambria Math"/>
                </w:rPr>
                <m:t>-</m:t>
              </m:r>
              <m:r>
                <w:rPr>
                  <w:rFonts w:ascii="Cambria Math" w:hAnsi="Cambria Math"/>
                </w:rPr>
                <m:t>1</m:t>
              </m:r>
            </m:den>
          </m:f>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1</m:t>
                      </m:r>
                    </m:sub>
                  </m:sSub>
                </m:e>
              </m:d>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2</m:t>
                  </m:r>
                </m:sub>
              </m:sSub>
            </m:e>
          </m:d>
          <m:r>
            <m:rPr>
              <m:sty m:val="p"/>
            </m:rPr>
            <w:rPr>
              <w:rFonts w:ascii="Cambria Math" w:hAnsi="Cambria Math"/>
            </w:rPr>
            <m:t>,</m:t>
          </m:r>
        </m:oMath>
      </m:oMathPara>
    </w:p>
    <w:p w14:paraId="3022A4A1" w14:textId="77777777" w:rsidR="00742F56" w:rsidRDefault="00000000">
      <w:pPr>
        <w:pStyle w:val="FirstParagraph"/>
      </w:pPr>
      <w:r>
        <w:t>where</w:t>
      </w:r>
    </w:p>
    <w:p w14:paraId="3022A4A2" w14:textId="77777777" w:rsidR="00742F56"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kt</m:t>
                  </m:r>
                </m:sub>
              </m:sSub>
            </m:e>
          </m:nary>
          <m:r>
            <m:rPr>
              <m:sty m:val="p"/>
            </m:rPr>
            <w:rPr>
              <w:rFonts w:ascii="Cambria Math" w:hAnsi="Cambria Math"/>
            </w:rPr>
            <m:t>.</m:t>
          </m:r>
        </m:oMath>
      </m:oMathPara>
    </w:p>
    <w:p w14:paraId="3022A4A3" w14:textId="6BD16938" w:rsidR="00742F56" w:rsidRDefault="00000000">
      <w:pPr>
        <w:pStyle w:val="FirstParagraph"/>
      </w:pPr>
      <w:r>
        <w:t xml:space="preserve">The household form becomes the PSU form by grouping all household-pair covariance terms within each PSU and using </w:t>
      </w:r>
      <w:r w:rsidR="00F9258C">
        <w:t xml:space="preserve">the </w:t>
      </w:r>
      <w:r>
        <w:t xml:space="preserve">bilinearity of covariance. The PSU-population form becomes the PSU-sample form by replacing the PSU covariance with its finite-sample estimator. Yoshida (2025a) provides these three </w:t>
      </w:r>
      <w:r>
        <w:lastRenderedPageBreak/>
        <w:t>equivalent expressions. Särndal, Swensson, and Wretman (1992) and Binder (1983) are the general survey-sampling references for the underlying design-based variance and covariance logic.</w:t>
      </w:r>
    </w:p>
    <w:p w14:paraId="3022A4A4" w14:textId="77777777" w:rsidR="00742F56" w:rsidRDefault="00000000">
      <w:pPr>
        <w:pStyle w:val="Heading1"/>
      </w:pPr>
      <w:bookmarkStart w:id="9" w:name="X35e6c614eff894b330ccb72c8b5dfbfd8d511aa"/>
      <w:bookmarkEnd w:id="5"/>
      <w:bookmarkEnd w:id="8"/>
      <w:r>
        <w:t xml:space="preserve">6. Why R’s </w:t>
      </w:r>
      <w:r>
        <w:rPr>
          <w:rStyle w:val="VerbatimChar"/>
        </w:rPr>
        <w:t>survey</w:t>
      </w:r>
      <w:r>
        <w:t xml:space="preserve"> package estimates the right quantity</w:t>
      </w:r>
    </w:p>
    <w:p w14:paraId="3022A4A5" w14:textId="5F416BCC" w:rsidR="00742F56" w:rsidRDefault="00000000">
      <w:pPr>
        <w:pStyle w:val="FirstParagraph"/>
      </w:pPr>
      <w:r>
        <w:t xml:space="preserve">When the survey design is </w:t>
      </w:r>
      <w:r w:rsidR="00F9258C">
        <w:t>specified with ids = ~</w:t>
      </w:r>
      <w:proofErr w:type="spellStart"/>
      <w:r w:rsidR="00F9258C">
        <w:t>psu</w:t>
      </w:r>
      <w:proofErr w:type="spellEnd"/>
      <w:r w:rsidR="00F9258C">
        <w:t>, Taylor linearization treats each PSU total as a single</w:t>
      </w:r>
      <w:r>
        <w:t xml:space="preserve"> first-stage observation. The covariance returned by</w:t>
      </w:r>
    </w:p>
    <w:p w14:paraId="3022A4A6" w14:textId="77777777" w:rsidR="00742F56" w:rsidRDefault="00000000" w:rsidP="000912E5">
      <w:pPr>
        <w:pStyle w:val="SourceCode"/>
        <w:jc w:val="left"/>
      </w:pPr>
      <w:r>
        <w:rPr>
          <w:rStyle w:val="FunctionTok"/>
        </w:rPr>
        <w:t>svyby</w:t>
      </w:r>
      <w:r>
        <w:rPr>
          <w:rStyle w:val="NormalTok"/>
        </w:rPr>
        <w:t xml:space="preserve">(..., </w:t>
      </w:r>
      <w:r>
        <w:rPr>
          <w:rStyle w:val="AttributeTok"/>
        </w:rPr>
        <w:t>covmat =</w:t>
      </w:r>
      <w:r>
        <w:rPr>
          <w:rStyle w:val="NormalTok"/>
        </w:rPr>
        <w:t xml:space="preserve"> </w:t>
      </w:r>
      <w:r>
        <w:rPr>
          <w:rStyle w:val="ConstantTok"/>
        </w:rPr>
        <w:t>TRUE</w:t>
      </w:r>
      <w:r>
        <w:rPr>
          <w:rStyle w:val="NormalTok"/>
        </w:rPr>
        <w:t>)</w:t>
      </w:r>
      <w:r>
        <w:br/>
      </w:r>
      <w:r>
        <w:rPr>
          <w:rStyle w:val="FunctionTok"/>
        </w:rPr>
        <w:t>vcov</w:t>
      </w:r>
      <w:r>
        <w:rPr>
          <w:rStyle w:val="NormalTok"/>
        </w:rPr>
        <w:t>(...)</w:t>
      </w:r>
    </w:p>
    <w:p w14:paraId="3022A4A7" w14:textId="77777777" w:rsidR="00742F56" w:rsidRDefault="00000000">
      <w:pPr>
        <w:pStyle w:val="FirstParagraph"/>
      </w:pPr>
      <w:r>
        <w:t>therefore corresponds to the PSU-sample covariance expression above, after scaling totals to means. In operational terms:</w:t>
      </w:r>
    </w:p>
    <w:p w14:paraId="3022A4A8" w14:textId="77777777" w:rsidR="00742F56" w:rsidRDefault="00000000">
      <w:pPr>
        <w:pStyle w:val="BlockText"/>
      </w:pPr>
      <w:r>
        <w:t xml:space="preserve">With PSUs declared as first-stage units, the ordinary design-based covariance returned by R’s </w:t>
      </w:r>
      <w:r>
        <w:rPr>
          <w:rStyle w:val="VerbatimChar"/>
        </w:rPr>
        <w:t>survey</w:t>
      </w:r>
      <w:r>
        <w:t xml:space="preserve"> package estimates the Fay–Herriot sampling-error covariance needed by the MFH model. No special household-level covariance estimator is required.</w:t>
      </w:r>
    </w:p>
    <w:p w14:paraId="3022A4A9" w14:textId="77777777" w:rsidR="00742F56" w:rsidRDefault="00000000">
      <w:pPr>
        <w:pStyle w:val="FirstParagraph"/>
      </w:pPr>
      <w:r>
        <w:t xml:space="preserve">Binder (1983) supports the use of Taylor-linearized variance estimation for estimators from complex surveys. Lumley (2004, 2010) documents the R </w:t>
      </w:r>
      <w:r>
        <w:rPr>
          <w:rStyle w:val="VerbatimChar"/>
        </w:rPr>
        <w:t>survey</w:t>
      </w:r>
      <w:r>
        <w:t xml:space="preserve"> package and its implementation of complex-survey analysis. Yoshida (2025a, 2025b) provides the specific link between the </w:t>
      </w:r>
      <w:r>
        <w:rPr>
          <w:rStyle w:val="VerbatimChar"/>
        </w:rPr>
        <w:t>survey</w:t>
      </w:r>
      <w:r>
        <w:t xml:space="preserve"> package output and the MFH sampling-error covariance in this package context.</w:t>
      </w:r>
    </w:p>
    <w:p w14:paraId="3022A4AA" w14:textId="77777777" w:rsidR="00742F56" w:rsidRDefault="00000000">
      <w:pPr>
        <w:pStyle w:val="BodyText"/>
      </w:pPr>
      <w:r>
        <w:t>The same principle applies in Stata or other survey software when the survey design is correctly specified and PSUs are treated as first-stage sampling units.</w:t>
      </w:r>
    </w:p>
    <w:p w14:paraId="3022A4AB" w14:textId="77777777" w:rsidR="00742F56" w:rsidRDefault="00000000">
      <w:pPr>
        <w:pStyle w:val="Heading1"/>
      </w:pPr>
      <w:bookmarkStart w:id="10" w:name="warning-against-the-panel-only-shortcut"/>
      <w:bookmarkEnd w:id="9"/>
      <w:r>
        <w:t>7. Warning against the panel-only shortcut</w:t>
      </w:r>
    </w:p>
    <w:p w14:paraId="3022A4AC" w14:textId="77777777" w:rsidR="00742F56" w:rsidRDefault="00000000">
      <w:pPr>
        <w:pStyle w:val="FirstParagraph"/>
      </w:pPr>
      <w:r>
        <w:t>Estimating covariance using only re-interviewed households is generally wrong.</w:t>
      </w:r>
    </w:p>
    <w:p w14:paraId="3022A4AD" w14:textId="77777777" w:rsidR="00742F56" w:rsidRDefault="00000000">
      <w:pPr>
        <w:pStyle w:val="BodyText"/>
      </w:pPr>
      <w:r>
        <w:t>The panel-only shortcut implicitly assumes</w:t>
      </w:r>
    </w:p>
    <w:p w14:paraId="3022A4AE" w14:textId="77777777" w:rsidR="00742F56"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hk1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k2</m:t>
                  </m:r>
                </m:sub>
              </m:sSub>
            </m:e>
          </m:d>
          <m:r>
            <m:rPr>
              <m:sty m:val="p"/>
            </m:rPr>
            <w:rPr>
              <w:rFonts w:ascii="Cambria Math" w:hAnsi="Cambria Math"/>
            </w:rPr>
            <m:t>=</m:t>
          </m:r>
          <m:r>
            <w:rPr>
              <w:rFonts w:ascii="Cambria Math" w:hAnsi="Cambria Math"/>
            </w:rPr>
            <m:t>0 </m:t>
          </m:r>
          <m:r>
            <m:rPr>
              <m:nor/>
            </m:rPr>
            <m:t xml:space="preserve">for all </m:t>
          </m:r>
          <m:r>
            <w:rPr>
              <w:rFonts w:ascii="Cambria Math" w:hAnsi="Cambria Math"/>
            </w:rPr>
            <m:t>h</m:t>
          </m:r>
          <m:r>
            <m:rPr>
              <m:scr m:val="script"/>
              <m:sty m:val="p"/>
            </m:rPr>
            <w:rPr>
              <w:rFonts w:ascii="Cambria Math" w:hAnsi="Cambria Math"/>
            </w:rPr>
            <m:t>≠l.</m:t>
          </m:r>
        </m:oMath>
      </m:oMathPara>
    </w:p>
    <w:p w14:paraId="3022A4AF" w14:textId="77777777" w:rsidR="00742F56" w:rsidRDefault="00000000">
      <w:pPr>
        <w:pStyle w:val="FirstParagraph"/>
      </w:pPr>
      <w:r>
        <w:t>But under the persistent PSU-effect model, households in the same PSU share the same cluster effect. For households in the same repeated PSU,</w:t>
      </w:r>
    </w:p>
    <w:p w14:paraId="3022A4B0" w14:textId="77777777" w:rsidR="00742F56"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hk1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k2</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m:oMathPara>
    </w:p>
    <w:p w14:paraId="3022A4B1" w14:textId="77777777" w:rsidR="00742F56" w:rsidRDefault="00000000">
      <w:pPr>
        <w:pStyle w:val="FirstParagraph"/>
      </w:pPr>
      <w:r>
        <w:t xml:space="preserve">whether </w:t>
      </w:r>
      <m:oMath>
        <m:r>
          <w:rPr>
            <w:rFonts w:ascii="Cambria Math" w:hAnsi="Cambria Math"/>
          </w:rPr>
          <m:t>h</m:t>
        </m:r>
        <m:r>
          <m:rPr>
            <m:scr m:val="script"/>
            <m:sty m:val="p"/>
          </m:rPr>
          <w:rPr>
            <w:rFonts w:ascii="Cambria Math" w:hAnsi="Cambria Math"/>
          </w:rPr>
          <m:t>=l</m:t>
        </m:r>
      </m:oMath>
      <w:r>
        <w:t xml:space="preserve"> or </w:t>
      </w:r>
      <m:oMath>
        <m:r>
          <w:rPr>
            <w:rFonts w:ascii="Cambria Math" w:hAnsi="Cambria Math"/>
          </w:rPr>
          <m:t>h</m:t>
        </m:r>
        <m:r>
          <m:rPr>
            <m:scr m:val="script"/>
            <m:sty m:val="p"/>
          </m:rPr>
          <w:rPr>
            <w:rFonts w:ascii="Cambria Math" w:hAnsi="Cambria Math"/>
          </w:rPr>
          <m:t>≠l</m:t>
        </m:r>
      </m:oMath>
      <w:r>
        <w:t>. Therefore, all cross-household pairs within a repeated PSU contribute to covariance, not only households observed in both waves. Dropping non-panel households discards most of the covariance contribution whenever the persistent PSU effect is material.</w:t>
      </w:r>
    </w:p>
    <w:p w14:paraId="3022A4B2" w14:textId="2B50D2BA" w:rsidR="00742F56" w:rsidRDefault="00000000">
      <w:pPr>
        <w:pStyle w:val="BodyText"/>
      </w:pPr>
      <w:r>
        <w:t xml:space="preserve">The covariance should be estimated using the full sample </w:t>
      </w:r>
      <w:r w:rsidR="00F9258C">
        <w:t>across both waves, with PSUs correctly declared</w:t>
      </w:r>
      <w:r>
        <w:t>, not only the linked panel households.</w:t>
      </w:r>
    </w:p>
    <w:p w14:paraId="3022A4B3" w14:textId="77777777" w:rsidR="00742F56" w:rsidRDefault="00000000">
      <w:pPr>
        <w:pStyle w:val="BodyText"/>
      </w:pPr>
      <w:r>
        <w:t>This warning follows Yoshida (2025a, 2025b). It should not be attributed to Benavent and Morales (2016), whose role here is the MFH model requiring a sampling-error covariance input.</w:t>
      </w:r>
    </w:p>
    <w:p w14:paraId="3022A4B4" w14:textId="77777777" w:rsidR="00742F56" w:rsidRDefault="00000000">
      <w:pPr>
        <w:pStyle w:val="Heading1"/>
      </w:pPr>
      <w:bookmarkStart w:id="11" w:name="X602903b0e7d2d12302fffd334373280c2cc79cf"/>
      <w:bookmarkEnd w:id="10"/>
      <w:r>
        <w:lastRenderedPageBreak/>
        <w:t>8. Practical implementation in the EU SAE package</w:t>
      </w:r>
    </w:p>
    <w:p w14:paraId="3022A4B5" w14:textId="77777777" w:rsidR="00742F56" w:rsidRDefault="00000000">
      <w:pPr>
        <w:pStyle w:val="FirstParagraph"/>
      </w:pPr>
      <w:r>
        <w:t xml:space="preserve">The EU SAE package operationalizes the two-year sampling-error covariance input in </w:t>
      </w:r>
      <w:r>
        <w:rPr>
          <w:rStyle w:val="VerbatimChar"/>
        </w:rPr>
        <w:t>scripts/02_mfh.R</w:t>
      </w:r>
      <w:r>
        <w:t xml:space="preserve">. Direct estimates and sampling variances are computed using a </w:t>
      </w:r>
      <w:r>
        <w:rPr>
          <w:rStyle w:val="VerbatimChar"/>
        </w:rPr>
        <w:t>survey</w:t>
      </w:r>
      <w:r>
        <w:t xml:space="preserve"> design with </w:t>
      </w:r>
      <w:r>
        <w:rPr>
          <w:rStyle w:val="VerbatimChar"/>
        </w:rPr>
        <w:t>ids = ~psu</w:t>
      </w:r>
      <w:r>
        <w:t xml:space="preserve"> and </w:t>
      </w:r>
      <w:r>
        <w:rPr>
          <w:rStyle w:val="VerbatimChar"/>
        </w:rPr>
        <w:t>weights = ~weight</w:t>
      </w:r>
      <w:r>
        <w:t xml:space="preserve">. Domain-level covariance is obtained from </w:t>
      </w:r>
      <w:r>
        <w:rPr>
          <w:rStyle w:val="VerbatimChar"/>
        </w:rPr>
        <w:t>svyby(..., covmat = TRUE)</w:t>
      </w:r>
      <w:r>
        <w:t xml:space="preserve"> and extracted with </w:t>
      </w:r>
      <w:r>
        <w:rPr>
          <w:rStyle w:val="VerbatimChar"/>
        </w:rPr>
        <w:t>vcov()</w:t>
      </w:r>
      <w:r>
        <w:t xml:space="preserve">. A national cross-time correlation is also computed from a national </w:t>
      </w:r>
      <w:r>
        <w:rPr>
          <w:rStyle w:val="VerbatimChar"/>
        </w:rPr>
        <w:t>svyby(..., covmat = TRUE)</w:t>
      </w:r>
      <w:r>
        <w:t xml:space="preserve"> result and applied to domain-level variance choices.</w:t>
      </w:r>
    </w:p>
    <w:p w14:paraId="3022A4B6" w14:textId="77777777" w:rsidR="00742F56" w:rsidRDefault="00000000">
      <w:pPr>
        <w:pStyle w:val="BodyText"/>
      </w:pPr>
      <w:r>
        <w:t>The package exposes five covariance options:</w:t>
      </w:r>
    </w:p>
    <w:p w14:paraId="3022A4B7" w14:textId="77777777" w:rsidR="00742F56" w:rsidRDefault="00000000">
      <w:pPr>
        <w:pStyle w:val="Compact"/>
        <w:numPr>
          <w:ilvl w:val="0"/>
          <w:numId w:val="3"/>
        </w:numPr>
      </w:pPr>
      <w:r>
        <w:rPr>
          <w:rStyle w:val="VerbatimChar"/>
        </w:rPr>
        <w:t>direct</w:t>
      </w:r>
      <w:r>
        <w:t>: use direct design-based domain-level covariance from the survey variance-covariance matrix.</w:t>
      </w:r>
    </w:p>
    <w:p w14:paraId="3022A4B8" w14:textId="77777777" w:rsidR="00742F56" w:rsidRDefault="00000000">
      <w:pPr>
        <w:pStyle w:val="Compact"/>
        <w:numPr>
          <w:ilvl w:val="0"/>
          <w:numId w:val="3"/>
        </w:numPr>
      </w:pPr>
      <w:r>
        <w:rPr>
          <w:rStyle w:val="VerbatimChar"/>
        </w:rPr>
        <w:t>rho_dir</w:t>
      </w:r>
      <w:r>
        <w:t>: estimate a national cross-time correlation and apply it to raw direct domain variances.</w:t>
      </w:r>
    </w:p>
    <w:p w14:paraId="3022A4B9" w14:textId="77777777" w:rsidR="00742F56" w:rsidRDefault="00000000">
      <w:pPr>
        <w:pStyle w:val="Compact"/>
        <w:numPr>
          <w:ilvl w:val="0"/>
          <w:numId w:val="3"/>
        </w:numPr>
      </w:pPr>
      <w:r>
        <w:rPr>
          <w:rStyle w:val="VerbatimChar"/>
        </w:rPr>
        <w:t>rho_sm_out</w:t>
      </w:r>
      <w:r>
        <w:t>: estimate a national cross-time correlation and apply it to outlier-smoothed domain variances.</w:t>
      </w:r>
    </w:p>
    <w:p w14:paraId="3022A4BA" w14:textId="77777777" w:rsidR="00742F56" w:rsidRDefault="00000000">
      <w:pPr>
        <w:pStyle w:val="Compact"/>
        <w:numPr>
          <w:ilvl w:val="0"/>
          <w:numId w:val="3"/>
        </w:numPr>
      </w:pPr>
      <w:r>
        <w:rPr>
          <w:rStyle w:val="VerbatimChar"/>
        </w:rPr>
        <w:t>rho_sm_all</w:t>
      </w:r>
      <w:r>
        <w:t>: estimate a national cross-time correlation and apply it to fully smoothed domain variances.</w:t>
      </w:r>
    </w:p>
    <w:p w14:paraId="3022A4BB" w14:textId="77777777" w:rsidR="00742F56" w:rsidRDefault="00000000">
      <w:pPr>
        <w:pStyle w:val="Compact"/>
        <w:numPr>
          <w:ilvl w:val="0"/>
          <w:numId w:val="3"/>
        </w:numPr>
      </w:pPr>
      <w:r>
        <w:rPr>
          <w:rStyle w:val="VerbatimChar"/>
        </w:rPr>
        <w:t>zero</w:t>
      </w:r>
      <w:r>
        <w:t>: assume zero cross-time covariance.</w:t>
      </w:r>
    </w:p>
    <w:p w14:paraId="3022A4BC" w14:textId="77777777" w:rsidR="00742F56" w:rsidRDefault="00000000">
      <w:pPr>
        <w:pStyle w:val="FirstParagraph"/>
      </w:pPr>
      <w:r>
        <w:t>Recommended use:</w:t>
      </w:r>
    </w:p>
    <w:p w14:paraId="3022A4BD" w14:textId="77777777" w:rsidR="00742F56" w:rsidRDefault="00000000">
      <w:pPr>
        <w:pStyle w:val="Compact"/>
        <w:numPr>
          <w:ilvl w:val="0"/>
          <w:numId w:val="4"/>
        </w:numPr>
      </w:pPr>
      <w:r>
        <w:t xml:space="preserve">Use </w:t>
      </w:r>
      <w:r>
        <w:rPr>
          <w:rStyle w:val="VerbatimChar"/>
        </w:rPr>
        <w:t>direct</w:t>
      </w:r>
      <w:r>
        <w:t xml:space="preserve"> when domain-level covariance estimates are stable and there are enough PSUs per area.</w:t>
      </w:r>
    </w:p>
    <w:p w14:paraId="3022A4BE" w14:textId="77777777" w:rsidR="00742F56" w:rsidRDefault="00000000">
      <w:pPr>
        <w:pStyle w:val="Compact"/>
        <w:numPr>
          <w:ilvl w:val="0"/>
          <w:numId w:val="4"/>
        </w:numPr>
      </w:pPr>
      <w:r>
        <w:t xml:space="preserve">Use </w:t>
      </w:r>
      <w:r>
        <w:rPr>
          <w:rStyle w:val="VerbatimChar"/>
        </w:rPr>
        <w:t>rho_sm_out</w:t>
      </w:r>
      <w:r>
        <w:t xml:space="preserve"> as the practical default when sample overlap is plausible but domain-level covariances are noisy.</w:t>
      </w:r>
    </w:p>
    <w:p w14:paraId="3022A4BF" w14:textId="77777777" w:rsidR="00742F56" w:rsidRDefault="00000000">
      <w:pPr>
        <w:pStyle w:val="Compact"/>
        <w:numPr>
          <w:ilvl w:val="0"/>
          <w:numId w:val="4"/>
        </w:numPr>
      </w:pPr>
      <w:r>
        <w:t xml:space="preserve">Use </w:t>
      </w:r>
      <w:r>
        <w:rPr>
          <w:rStyle w:val="VerbatimChar"/>
        </w:rPr>
        <w:t>rho_sm_all</w:t>
      </w:r>
      <w:r>
        <w:t xml:space="preserve"> when many domain-level variances are unstable.</w:t>
      </w:r>
    </w:p>
    <w:p w14:paraId="3022A4C0" w14:textId="77777777" w:rsidR="00742F56" w:rsidRDefault="00000000">
      <w:pPr>
        <w:pStyle w:val="Compact"/>
        <w:numPr>
          <w:ilvl w:val="0"/>
          <w:numId w:val="4"/>
        </w:numPr>
      </w:pPr>
      <w:r>
        <w:t xml:space="preserve">Use </w:t>
      </w:r>
      <w:r>
        <w:rPr>
          <w:rStyle w:val="VerbatimChar"/>
        </w:rPr>
        <w:t>rho_dir</w:t>
      </w:r>
      <w:r>
        <w:t xml:space="preserve"> when raw direct variances are trusted.</w:t>
      </w:r>
    </w:p>
    <w:p w14:paraId="3022A4C1" w14:textId="77777777" w:rsidR="00742F56" w:rsidRDefault="00000000">
      <w:pPr>
        <w:pStyle w:val="Compact"/>
        <w:numPr>
          <w:ilvl w:val="0"/>
          <w:numId w:val="4"/>
        </w:numPr>
      </w:pPr>
      <w:r>
        <w:t xml:space="preserve">Use </w:t>
      </w:r>
      <w:r>
        <w:rPr>
          <w:rStyle w:val="VerbatimChar"/>
        </w:rPr>
        <w:t>zero</w:t>
      </w:r>
      <w:r>
        <w:t xml:space="preserve"> only when samples are genuinely independent across years, or as a documented sensitivity scenario.</w:t>
      </w:r>
    </w:p>
    <w:p w14:paraId="3022A4C2" w14:textId="77777777" w:rsidR="00742F56" w:rsidRDefault="00000000">
      <w:pPr>
        <w:pStyle w:val="FirstParagraph"/>
      </w:pPr>
      <w:r>
        <w:t>These options are EU SAE package implementation choices informed by the attached internal notes. They are not direct prescriptions from Benavent and Morales (2016), Lumley (2004), or Särndal, Swensson, and Wretman (1992).</w:t>
      </w:r>
    </w:p>
    <w:p w14:paraId="3022A4C3" w14:textId="77777777" w:rsidR="00742F56" w:rsidRDefault="00000000">
      <w:pPr>
        <w:pStyle w:val="BodyText"/>
      </w:pPr>
      <w:r>
        <w:t xml:space="preserve">The covariance option should be consistent with the variance option used on the diagonal of the sampling-error covariance matrix. For example, </w:t>
      </w:r>
      <w:r>
        <w:rPr>
          <w:rStyle w:val="VerbatimChar"/>
        </w:rPr>
        <w:t>rho_sm_out</w:t>
      </w:r>
      <w:r>
        <w:t xml:space="preserve"> uses the national cross-time correlation with the outlier-smoothed diagonal variances, while </w:t>
      </w:r>
      <w:r>
        <w:rPr>
          <w:rStyle w:val="VerbatimChar"/>
        </w:rPr>
        <w:t>rho_sm_all</w:t>
      </w:r>
      <w:r>
        <w:t xml:space="preserve"> uses the fully smoothed diagonal variances. This consistency helps avoid covariance matrices where the off-diagonal was built from one variance concept while the diagonal uses another.</w:t>
      </w:r>
    </w:p>
    <w:p w14:paraId="3022A4C4" w14:textId="77777777" w:rsidR="00742F56" w:rsidRDefault="00000000">
      <w:pPr>
        <w:pStyle w:val="Heading1"/>
      </w:pPr>
      <w:bookmarkStart w:id="12" w:name="convergence-and-stability"/>
      <w:bookmarkEnd w:id="11"/>
      <w:r>
        <w:t>9. Convergence and stability</w:t>
      </w:r>
    </w:p>
    <w:p w14:paraId="3022A4C5" w14:textId="77777777" w:rsidR="00742F56" w:rsidRDefault="00000000">
      <w:pPr>
        <w:pStyle w:val="FirstParagraph"/>
      </w:pPr>
      <w:r>
        <w:t>Including non-zero covariance can create convergence difficulties in MFH estimation, especially when domain-level covariance estimates are noisy, outlying, or lead to near-singular sampling-error covariance matrices. This is a numerical and diagnostic issue, not an automatic reason to ignore covariance.</w:t>
      </w:r>
    </w:p>
    <w:p w14:paraId="3022A4C6" w14:textId="77777777" w:rsidR="00742F56" w:rsidRDefault="00000000">
      <w:pPr>
        <w:pStyle w:val="BodyText"/>
      </w:pPr>
      <w:r>
        <w:lastRenderedPageBreak/>
        <w:t>Practical remedies include:</w:t>
      </w:r>
    </w:p>
    <w:p w14:paraId="3022A4C7" w14:textId="77777777" w:rsidR="00742F56" w:rsidRDefault="00000000">
      <w:pPr>
        <w:pStyle w:val="Compact"/>
        <w:numPr>
          <w:ilvl w:val="0"/>
          <w:numId w:val="5"/>
        </w:numPr>
      </w:pPr>
      <w:r>
        <w:t>using a national-correlation approach rather than noisy domain-specific covariances;</w:t>
      </w:r>
    </w:p>
    <w:p w14:paraId="3022A4C8" w14:textId="77777777" w:rsidR="00742F56" w:rsidRDefault="00000000">
      <w:pPr>
        <w:pStyle w:val="Compact"/>
        <w:numPr>
          <w:ilvl w:val="0"/>
          <w:numId w:val="5"/>
        </w:numPr>
      </w:pPr>
      <w:r>
        <w:t>smoothing variances and covariances consistently;</w:t>
      </w:r>
    </w:p>
    <w:p w14:paraId="3022A4C9" w14:textId="77777777" w:rsidR="00742F56" w:rsidRDefault="00000000">
      <w:pPr>
        <w:pStyle w:val="Compact"/>
        <w:numPr>
          <w:ilvl w:val="0"/>
          <w:numId w:val="5"/>
        </w:numPr>
      </w:pPr>
      <w:r>
        <w:t>replacing only clear covariance outliers with smoothed values;</w:t>
      </w:r>
    </w:p>
    <w:p w14:paraId="3022A4CA" w14:textId="77777777" w:rsidR="00742F56" w:rsidRDefault="00000000">
      <w:pPr>
        <w:pStyle w:val="Compact"/>
        <w:numPr>
          <w:ilvl w:val="0"/>
          <w:numId w:val="5"/>
        </w:numPr>
      </w:pPr>
      <w:r>
        <w:t>applying small discounting to covariances only as a numerical sensitivity check, not as a substantive assumption;</w:t>
      </w:r>
    </w:p>
    <w:p w14:paraId="3022A4CB" w14:textId="77777777" w:rsidR="00742F56" w:rsidRDefault="00000000">
      <w:pPr>
        <w:pStyle w:val="Compact"/>
        <w:numPr>
          <w:ilvl w:val="0"/>
          <w:numId w:val="5"/>
        </w:numPr>
      </w:pPr>
      <w:r>
        <w:t>using zero covariance only when justified by the survey design or as a sensitivity scenario;</w:t>
      </w:r>
    </w:p>
    <w:p w14:paraId="3022A4CC" w14:textId="77777777" w:rsidR="00742F56" w:rsidRDefault="00000000">
      <w:pPr>
        <w:pStyle w:val="Compact"/>
        <w:numPr>
          <w:ilvl w:val="0"/>
          <w:numId w:val="5"/>
        </w:numPr>
      </w:pPr>
      <w:r>
        <w:t>documenting any adjustment to the covariance matrix.</w:t>
      </w:r>
    </w:p>
    <w:p w14:paraId="3022A4CD" w14:textId="77777777" w:rsidR="00742F56" w:rsidRDefault="00000000">
      <w:pPr>
        <w:pStyle w:val="FirstParagraph"/>
      </w:pPr>
      <w:r>
        <w:t>For a two-year matrix, analysts should check that</w:t>
      </w:r>
    </w:p>
    <w:p w14:paraId="3022A4CE" w14:textId="77777777" w:rsidR="00742F56" w:rsidRDefault="00000000">
      <w:pPr>
        <w:pStyle w:val="BodyText"/>
      </w:pPr>
      <m:oMathPara>
        <m:oMathParaPr>
          <m:jc m:val="center"/>
        </m:oMathParaPr>
        <m:oMath>
          <m:d>
            <m:dPr>
              <m:begChr m:val="|"/>
              <m:endChr m:val="|"/>
              <m:ctrlPr>
                <w:rPr>
                  <w:rFonts w:ascii="Cambria Math" w:hAnsi="Cambria Math"/>
                </w:rPr>
              </m:ctrlPr>
            </m:dP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j2</m:t>
                      </m:r>
                    </m:sub>
                  </m:sSub>
                </m:e>
              </m:d>
            </m:e>
          </m:d>
          <m:r>
            <m:rPr>
              <m:sty m:val="p"/>
            </m:rPr>
            <w:rPr>
              <w:rFonts w:ascii="Cambria Math" w:hAnsi="Cambria Math"/>
            </w:rPr>
            <m:t>&lt;</m:t>
          </m:r>
          <m:rad>
            <m:radPr>
              <m:degHide m:val="1"/>
              <m:ctrlPr>
                <w:rPr>
                  <w:rFonts w:ascii="Cambria Math" w:hAnsi="Cambria Math"/>
                </w:rPr>
              </m:ctrlPr>
            </m:radPr>
            <m:deg/>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j2</m:t>
                      </m:r>
                    </m:sub>
                  </m:sSub>
                </m:e>
              </m:d>
            </m:e>
          </m:rad>
        </m:oMath>
      </m:oMathPara>
    </w:p>
    <w:p w14:paraId="3022A4CF" w14:textId="77777777" w:rsidR="00742F56" w:rsidRDefault="00000000">
      <w:pPr>
        <w:pStyle w:val="FirstParagraph"/>
      </w:pPr>
      <w:r>
        <w:t>apart from small numerical tolerances. Otherwise, the supplied sampling-error matrix is not positive definite. When a covariance estimate violates this condition, the analyst should treat it as a diagnostic problem, not silently force the model to run.</w:t>
      </w:r>
    </w:p>
    <w:p w14:paraId="3022A4D0" w14:textId="77777777" w:rsidR="00742F56" w:rsidRDefault="00000000">
      <w:pPr>
        <w:pStyle w:val="BodyText"/>
      </w:pPr>
      <w:r>
        <w:t>This section is practical implementation guidance from the EU SAE package and Yoshida (2025a, 2025b). It is not a direct conclusion of the published MFH literature.</w:t>
      </w:r>
    </w:p>
    <w:p w14:paraId="3022A4D1" w14:textId="77777777" w:rsidR="00742F56" w:rsidRDefault="00000000">
      <w:pPr>
        <w:pStyle w:val="Heading1"/>
      </w:pPr>
      <w:bookmarkStart w:id="13" w:name="implications-for-change-over-time"/>
      <w:bookmarkEnd w:id="12"/>
      <w:r>
        <w:t>10. Implications for change over time</w:t>
      </w:r>
    </w:p>
    <w:p w14:paraId="3022A4D2" w14:textId="7EFD989C" w:rsidR="00742F56" w:rsidRDefault="00000000">
      <w:pPr>
        <w:pStyle w:val="FirstParagraph"/>
      </w:pPr>
      <w:r>
        <w:t xml:space="preserve">The covariance of direct estimators affects the variance of </w:t>
      </w:r>
      <w:r w:rsidR="000912E5">
        <w:t xml:space="preserve">the </w:t>
      </w:r>
      <w:r>
        <w:t>estimated change. For two years,</w:t>
      </w:r>
    </w:p>
    <w:p w14:paraId="3022A4D3" w14:textId="77777777" w:rsidR="00742F56" w:rsidRDefault="00000000">
      <w:pPr>
        <w:pStyle w:val="BodyText"/>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m:t>
          </m:r>
          <m:r>
            <w:rPr>
              <w:rFonts w:ascii="Cambria Math" w:hAnsi="Cambria Math"/>
            </w:rPr>
            <m:t>2</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m:t>
          </m:r>
        </m:oMath>
      </m:oMathPara>
    </w:p>
    <w:p w14:paraId="3022A4D4" w14:textId="350AAEE9" w:rsidR="00742F56" w:rsidRDefault="00000000">
      <w:pPr>
        <w:pStyle w:val="FirstParagraph"/>
      </w:pPr>
      <w:r>
        <w:t xml:space="preserve">Ignoring relevant covariance can produce misleading confidence intervals for changes. If the covariance is positive, ignoring it usually overstates the </w:t>
      </w:r>
      <w:r w:rsidR="000912E5">
        <w:t>direct estimator</w:t>
      </w:r>
      <w:r>
        <w:t xml:space="preserve"> variance of a difference. If a package or analyst later propagates uncertainty through an MFH model, the effect also depends on the MFH fitted model, the supplied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matrices, and the prediction-error covariance of the final estimates.</w:t>
      </w:r>
    </w:p>
    <w:p w14:paraId="3022A4D5" w14:textId="77777777" w:rsidR="00742F56" w:rsidRDefault="00000000">
      <w:pPr>
        <w:pStyle w:val="BodyText"/>
      </w:pPr>
      <w:r>
        <w:t>For MFH-based changes, valid inference requires attention to two layers:</w:t>
      </w:r>
    </w:p>
    <w:p w14:paraId="3022A4D6" w14:textId="77777777" w:rsidR="00742F56" w:rsidRDefault="00000000">
      <w:pPr>
        <w:pStyle w:val="Compact"/>
        <w:numPr>
          <w:ilvl w:val="0"/>
          <w:numId w:val="6"/>
        </w:numPr>
      </w:pPr>
      <w:r>
        <w:t>the sampling-error covariance matrix supplied to the MFH model;</w:t>
      </w:r>
    </w:p>
    <w:p w14:paraId="3022A4D7" w14:textId="77777777" w:rsidR="00742F56" w:rsidRDefault="00000000">
      <w:pPr>
        <w:pStyle w:val="Compact"/>
        <w:numPr>
          <w:ilvl w:val="0"/>
          <w:numId w:val="6"/>
        </w:numPr>
      </w:pPr>
      <w:r>
        <w:t>the prediction-error covariance or MCPE of the final model-based estimates.</w:t>
      </w:r>
    </w:p>
    <w:p w14:paraId="3022A4D8" w14:textId="6D41CF04" w:rsidR="00742F56" w:rsidRDefault="00000000">
      <w:pPr>
        <w:pStyle w:val="FirstParagraph"/>
      </w:pPr>
      <w:r>
        <w:t xml:space="preserve">Benavent and Morales (2016) </w:t>
      </w:r>
      <w:r w:rsidR="000912E5">
        <w:t>present the concepts of multivariate FH MSE and MCPE</w:t>
      </w:r>
      <w:r>
        <w:t>. Yoshida (2025a, 2025b) motivates the role of the cross-time sampling-error covariance in the EU SAE implementation.</w:t>
      </w:r>
    </w:p>
    <w:p w14:paraId="3022A4D9" w14:textId="77777777" w:rsidR="00742F56" w:rsidRDefault="00000000">
      <w:pPr>
        <w:pStyle w:val="Heading1"/>
      </w:pPr>
      <w:bookmarkStart w:id="14" w:name="practical-checklist"/>
      <w:bookmarkEnd w:id="13"/>
      <w:r>
        <w:t>11. Practical checklist</w:t>
      </w:r>
    </w:p>
    <w:p w14:paraId="3022A4DA" w14:textId="77777777" w:rsidR="00742F56" w:rsidRDefault="00000000">
      <w:pPr>
        <w:pStyle w:val="FirstParagraph"/>
      </w:pPr>
      <w:r>
        <w:t>Before estimating an MFH model, analysts should confirm that:</w:t>
      </w:r>
    </w:p>
    <w:p w14:paraId="3022A4DB" w14:textId="77777777" w:rsidR="00742F56" w:rsidRDefault="00000000">
      <w:pPr>
        <w:pStyle w:val="Compact"/>
        <w:numPr>
          <w:ilvl w:val="0"/>
          <w:numId w:val="7"/>
        </w:numPr>
      </w:pPr>
      <w:r>
        <w:t>PSU identifiers are available and consistently coded across years;</w:t>
      </w:r>
    </w:p>
    <w:p w14:paraId="3022A4DC" w14:textId="77777777" w:rsidR="00742F56" w:rsidRDefault="00000000">
      <w:pPr>
        <w:pStyle w:val="Compact"/>
        <w:numPr>
          <w:ilvl w:val="0"/>
          <w:numId w:val="7"/>
        </w:numPr>
      </w:pPr>
      <w:r>
        <w:t>the survey design object includes the full sample from both waves;</w:t>
      </w:r>
    </w:p>
    <w:p w14:paraId="3022A4DD" w14:textId="77777777" w:rsidR="00742F56" w:rsidRDefault="00000000">
      <w:pPr>
        <w:pStyle w:val="Compact"/>
        <w:numPr>
          <w:ilvl w:val="0"/>
          <w:numId w:val="7"/>
        </w:numPr>
      </w:pPr>
      <w:r>
        <w:lastRenderedPageBreak/>
        <w:t>panel-only households are not used as the sole basis for covariance estimation;</w:t>
      </w:r>
    </w:p>
    <w:p w14:paraId="3022A4DE" w14:textId="77777777" w:rsidR="00742F56" w:rsidRDefault="00000000">
      <w:pPr>
        <w:pStyle w:val="Compact"/>
        <w:numPr>
          <w:ilvl w:val="0"/>
          <w:numId w:val="7"/>
        </w:numPr>
      </w:pPr>
      <w:r>
        <w:t>direct estimates and variances have been computed by area and year;</w:t>
      </w:r>
    </w:p>
    <w:p w14:paraId="3022A4DF" w14:textId="77777777" w:rsidR="00742F56" w:rsidRDefault="00000000">
      <w:pPr>
        <w:pStyle w:val="Compact"/>
        <w:numPr>
          <w:ilvl w:val="0"/>
          <w:numId w:val="7"/>
        </w:numPr>
      </w:pPr>
      <w:r>
        <w:t>the cross-time covariance option matches the survey design;</w:t>
      </w:r>
    </w:p>
    <w:p w14:paraId="3022A4E0" w14:textId="77777777" w:rsidR="00742F56" w:rsidRDefault="00000000">
      <w:pPr>
        <w:pStyle w:val="Compact"/>
        <w:numPr>
          <w:ilvl w:val="0"/>
          <w:numId w:val="7"/>
        </w:numPr>
      </w:pPr>
      <w:r>
        <w:t>diagonal variances and off-diagonal covariances are based on consistent variance choices;</w:t>
      </w:r>
    </w:p>
    <w:p w14:paraId="3022A4E1" w14:textId="77777777" w:rsidR="00742F56" w:rsidRDefault="00000000">
      <w:pPr>
        <w:pStyle w:val="Compact"/>
        <w:numPr>
          <w:ilvl w:val="0"/>
          <w:numId w:val="7"/>
        </w:numPr>
      </w:pPr>
      <w:r>
        <w:t>resulting covariance matrices are positive definite or adjusted transparently;</w:t>
      </w:r>
    </w:p>
    <w:p w14:paraId="3022A4E2" w14:textId="77777777" w:rsidR="00742F56" w:rsidRDefault="00000000">
      <w:pPr>
        <w:pStyle w:val="Compact"/>
        <w:numPr>
          <w:ilvl w:val="0"/>
          <w:numId w:val="7"/>
        </w:numPr>
      </w:pPr>
      <w:r>
        <w:t>sensitivity checks have been run using plausible alternative covariance assumptions;</w:t>
      </w:r>
    </w:p>
    <w:p w14:paraId="3022A4E3" w14:textId="77777777" w:rsidR="00742F56" w:rsidRDefault="00000000">
      <w:pPr>
        <w:pStyle w:val="Compact"/>
        <w:numPr>
          <w:ilvl w:val="0"/>
          <w:numId w:val="7"/>
        </w:numPr>
      </w:pPr>
      <w:r>
        <w:t>the selected covariance option is documented in the final report.</w:t>
      </w:r>
    </w:p>
    <w:p w14:paraId="3022A4E4" w14:textId="77777777" w:rsidR="00742F56" w:rsidRDefault="00000000">
      <w:pPr>
        <w:pStyle w:val="Heading1"/>
      </w:pPr>
      <w:bookmarkStart w:id="15" w:name="r-pseudo-code"/>
      <w:bookmarkEnd w:id="14"/>
      <w:r>
        <w:t>12. R pseudo-code</w:t>
      </w:r>
    </w:p>
    <w:p w14:paraId="3022A4E5" w14:textId="77777777" w:rsidR="00742F56" w:rsidRDefault="00000000">
      <w:pPr>
        <w:pStyle w:val="FirstParagraph"/>
      </w:pPr>
      <w:r>
        <w:t>The following pseudo-code illustrates the intended workflow. It is schematic; actual package code handles transformation choices, poverty indicators, smoothing, diagnostics, and output formatting.</w:t>
      </w:r>
    </w:p>
    <w:p w14:paraId="3022A4E6" w14:textId="77777777" w:rsidR="00742F56" w:rsidRDefault="00000000" w:rsidP="00546C85">
      <w:pPr>
        <w:pStyle w:val="SourceCode"/>
        <w:jc w:val="left"/>
      </w:pPr>
      <w:r>
        <w:rPr>
          <w:rStyle w:val="FunctionTok"/>
        </w:rPr>
        <w:t>library</w:t>
      </w:r>
      <w:r>
        <w:rPr>
          <w:rStyle w:val="NormalTok"/>
        </w:rPr>
        <w:t>(survey)</w:t>
      </w:r>
      <w:r>
        <w:br/>
      </w:r>
      <w:r>
        <w:br/>
      </w:r>
      <w:r>
        <w:rPr>
          <w:rStyle w:val="CommentTok"/>
        </w:rPr>
        <w:t># 1. Stack the two waves and declare the complex survey design.</w:t>
      </w:r>
      <w:r>
        <w:br/>
      </w:r>
      <w:r>
        <w:rPr>
          <w:rStyle w:val="NormalTok"/>
        </w:rPr>
        <w:t xml:space="preserve">des </w:t>
      </w:r>
      <w:r>
        <w:rPr>
          <w:rStyle w:val="OtherTok"/>
        </w:rPr>
        <w:t>&lt;-</w:t>
      </w:r>
      <w:r>
        <w:rPr>
          <w:rStyle w:val="NormalTok"/>
        </w:rPr>
        <w:t xml:space="preserve"> </w:t>
      </w:r>
      <w:r>
        <w:rPr>
          <w:rStyle w:val="FunctionTok"/>
        </w:rPr>
        <w:t>svydesign</w:t>
      </w:r>
      <w:r>
        <w:rPr>
          <w:rStyle w:val="NormalTok"/>
        </w:rPr>
        <w:t>(</w:t>
      </w:r>
      <w:r>
        <w:br/>
      </w:r>
      <w:r>
        <w:rPr>
          <w:rStyle w:val="NormalTok"/>
        </w:rPr>
        <w:t xml:space="preserve">  </w:t>
      </w:r>
      <w:r>
        <w:rPr>
          <w:rStyle w:val="AttributeTok"/>
        </w:rPr>
        <w:t>ids     =</w:t>
      </w:r>
      <w:r>
        <w:rPr>
          <w:rStyle w:val="NormalTok"/>
        </w:rPr>
        <w:t xml:space="preserve"> </w:t>
      </w:r>
      <w:r>
        <w:rPr>
          <w:rStyle w:val="SpecialCharTok"/>
        </w:rPr>
        <w:t>~</w:t>
      </w:r>
      <w:r>
        <w:rPr>
          <w:rStyle w:val="NormalTok"/>
        </w:rPr>
        <w:t>psu,</w:t>
      </w:r>
      <w:r>
        <w:br/>
      </w:r>
      <w:r>
        <w:rPr>
          <w:rStyle w:val="NormalTok"/>
        </w:rPr>
        <w:t xml:space="preserve">  </w:t>
      </w:r>
      <w:r>
        <w:rPr>
          <w:rStyle w:val="AttributeTok"/>
        </w:rPr>
        <w:t>weights =</w:t>
      </w:r>
      <w:r>
        <w:rPr>
          <w:rStyle w:val="NormalTok"/>
        </w:rPr>
        <w:t xml:space="preserve"> </w:t>
      </w:r>
      <w:r>
        <w:rPr>
          <w:rStyle w:val="SpecialCharTok"/>
        </w:rPr>
        <w:t>~</w:t>
      </w:r>
      <w:r>
        <w:rPr>
          <w:rStyle w:val="NormalTok"/>
        </w:rPr>
        <w:t>weight,</w:t>
      </w:r>
      <w:r>
        <w:br/>
      </w:r>
      <w:r>
        <w:rPr>
          <w:rStyle w:val="NormalTok"/>
        </w:rPr>
        <w:t xml:space="preserve">  </w:t>
      </w:r>
      <w:r>
        <w:rPr>
          <w:rStyle w:val="AttributeTok"/>
        </w:rPr>
        <w:t>data    =</w:t>
      </w:r>
      <w:r>
        <w:rPr>
          <w:rStyle w:val="NormalTok"/>
        </w:rPr>
        <w:t xml:space="preserve"> survey_data_two_waves</w:t>
      </w:r>
      <w:r>
        <w:br/>
      </w:r>
      <w:r>
        <w:rPr>
          <w:rStyle w:val="NormalTok"/>
        </w:rPr>
        <w:t>)</w:t>
      </w:r>
      <w:r>
        <w:br/>
      </w:r>
      <w:r>
        <w:br/>
      </w:r>
      <w:r>
        <w:rPr>
          <w:rStyle w:val="CommentTok"/>
        </w:rPr>
        <w:t># 2. Compute direct estimates by area and year.</w:t>
      </w:r>
      <w:r>
        <w:br/>
      </w:r>
      <w:r>
        <w:rPr>
          <w:rStyle w:val="NormalTok"/>
        </w:rPr>
        <w:t xml:space="preserve">direct_by_area_year </w:t>
      </w:r>
      <w:r>
        <w:rPr>
          <w:rStyle w:val="OtherTok"/>
        </w:rPr>
        <w:t>&lt;-</w:t>
      </w:r>
      <w:r>
        <w:rPr>
          <w:rStyle w:val="NormalTok"/>
        </w:rPr>
        <w:t xml:space="preserve"> </w:t>
      </w:r>
      <w:r>
        <w:rPr>
          <w:rStyle w:val="FunctionTok"/>
        </w:rPr>
        <w:t>svyby</w:t>
      </w:r>
      <w:r>
        <w:rPr>
          <w:rStyle w:val="NormalTok"/>
        </w:rPr>
        <w:t>(</w:t>
      </w:r>
      <w:r>
        <w:br/>
      </w:r>
      <w:r>
        <w:rPr>
          <w:rStyle w:val="NormalTok"/>
        </w:rPr>
        <w:t xml:space="preserve">  </w:t>
      </w:r>
      <w:r>
        <w:rPr>
          <w:rStyle w:val="AttributeTok"/>
        </w:rPr>
        <w:t>formula  =</w:t>
      </w:r>
      <w:r>
        <w:rPr>
          <w:rStyle w:val="NormalTok"/>
        </w:rPr>
        <w:t xml:space="preserve"> </w:t>
      </w:r>
      <w:r>
        <w:rPr>
          <w:rStyle w:val="SpecialCharTok"/>
        </w:rPr>
        <w:t>~</w:t>
      </w:r>
      <w:r>
        <w:rPr>
          <w:rStyle w:val="NormalTok"/>
        </w:rPr>
        <w:t>poor,</w:t>
      </w:r>
      <w:r>
        <w:br/>
      </w:r>
      <w:r>
        <w:rPr>
          <w:rStyle w:val="NormalTok"/>
        </w:rPr>
        <w:t xml:space="preserve">  </w:t>
      </w:r>
      <w:r>
        <w:rPr>
          <w:rStyle w:val="AttributeTok"/>
        </w:rPr>
        <w:t>by       =</w:t>
      </w:r>
      <w:r>
        <w:rPr>
          <w:rStyle w:val="NormalTok"/>
        </w:rPr>
        <w:t xml:space="preserve"> </w:t>
      </w:r>
      <w:r>
        <w:rPr>
          <w:rStyle w:val="SpecialCharTok"/>
        </w:rPr>
        <w:t>~</w:t>
      </w:r>
      <w:r>
        <w:rPr>
          <w:rStyle w:val="NormalTok"/>
        </w:rPr>
        <w:t xml:space="preserve">area </w:t>
      </w:r>
      <w:r>
        <w:rPr>
          <w:rStyle w:val="SpecialCharTok"/>
        </w:rPr>
        <w:t>+</w:t>
      </w:r>
      <w:r>
        <w:rPr>
          <w:rStyle w:val="NormalTok"/>
        </w:rPr>
        <w:t xml:space="preserve"> year,</w:t>
      </w:r>
      <w:r>
        <w:br/>
      </w:r>
      <w:r>
        <w:rPr>
          <w:rStyle w:val="NormalTok"/>
        </w:rPr>
        <w:t xml:space="preserve">  </w:t>
      </w:r>
      <w:r>
        <w:rPr>
          <w:rStyle w:val="AttributeTok"/>
        </w:rPr>
        <w:t>design   =</w:t>
      </w:r>
      <w:r>
        <w:rPr>
          <w:rStyle w:val="NormalTok"/>
        </w:rPr>
        <w:t xml:space="preserve"> des,</w:t>
      </w:r>
      <w:r>
        <w:br/>
      </w:r>
      <w:r>
        <w:rPr>
          <w:rStyle w:val="NormalTok"/>
        </w:rPr>
        <w:t xml:space="preserve">  </w:t>
      </w:r>
      <w:r>
        <w:rPr>
          <w:rStyle w:val="AttributeTok"/>
        </w:rPr>
        <w:t>FUN      =</w:t>
      </w:r>
      <w:r>
        <w:rPr>
          <w:rStyle w:val="NormalTok"/>
        </w:rPr>
        <w:t xml:space="preserve"> svymean,</w:t>
      </w:r>
      <w:r>
        <w:br/>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keep.var =</w:t>
      </w:r>
      <w:r>
        <w:rPr>
          <w:rStyle w:val="NormalTok"/>
        </w:rPr>
        <w:t xml:space="preserve"> </w:t>
      </w:r>
      <w:r>
        <w:rPr>
          <w:rStyle w:val="ConstantTok"/>
        </w:rPr>
        <w:t>TRUE</w:t>
      </w:r>
      <w:r>
        <w:br/>
      </w:r>
      <w:r>
        <w:rPr>
          <w:rStyle w:val="NormalTok"/>
        </w:rPr>
        <w:t>)</w:t>
      </w:r>
      <w:r>
        <w:br/>
      </w:r>
      <w:r>
        <w:br/>
      </w:r>
      <w:r>
        <w:rPr>
          <w:rStyle w:val="CommentTok"/>
        </w:rPr>
        <w:t># 3. For each area, compute the design-based covariance matrix over years.</w:t>
      </w:r>
      <w:r>
        <w:br/>
      </w:r>
      <w:r>
        <w:rPr>
          <w:rStyle w:val="NormalTok"/>
        </w:rPr>
        <w:t xml:space="preserve">V_by_area </w:t>
      </w:r>
      <w:r>
        <w:rPr>
          <w:rStyle w:val="OtherTok"/>
        </w:rPr>
        <w:t>&lt;-</w:t>
      </w:r>
      <w:r>
        <w:rPr>
          <w:rStyle w:val="NormalTok"/>
        </w:rPr>
        <w:t xml:space="preserve"> </w:t>
      </w:r>
      <w:r>
        <w:rPr>
          <w:rStyle w:val="FunctionTok"/>
        </w:rPr>
        <w:t>lapply</w:t>
      </w:r>
      <w:r>
        <w:rPr>
          <w:rStyle w:val="NormalTok"/>
        </w:rPr>
        <w:t>(</w:t>
      </w:r>
      <w:r>
        <w:rPr>
          <w:rStyle w:val="FunctionTok"/>
        </w:rPr>
        <w:t>unique</w:t>
      </w:r>
      <w:r>
        <w:rPr>
          <w:rStyle w:val="NormalTok"/>
        </w:rPr>
        <w:t>(survey_data_two_waves</w:t>
      </w:r>
      <w:r>
        <w:rPr>
          <w:rStyle w:val="SpecialCharTok"/>
        </w:rPr>
        <w:t>$</w:t>
      </w:r>
      <w:r>
        <w:rPr>
          <w:rStyle w:val="NormalTok"/>
        </w:rPr>
        <w:t xml:space="preserve">area), </w:t>
      </w:r>
      <w:r>
        <w:rPr>
          <w:rStyle w:val="ControlFlowTok"/>
        </w:rPr>
        <w:t>function</w:t>
      </w:r>
      <w:r>
        <w:rPr>
          <w:rStyle w:val="NormalTok"/>
        </w:rPr>
        <w:t>(a) {</w:t>
      </w:r>
      <w:r>
        <w:br/>
      </w:r>
      <w:r>
        <w:rPr>
          <w:rStyle w:val="NormalTok"/>
        </w:rPr>
        <w:t xml:space="preserve">  des_a </w:t>
      </w:r>
      <w:r>
        <w:rPr>
          <w:rStyle w:val="OtherTok"/>
        </w:rPr>
        <w:t>&lt;-</w:t>
      </w:r>
      <w:r>
        <w:rPr>
          <w:rStyle w:val="NormalTok"/>
        </w:rPr>
        <w:t xml:space="preserve"> </w:t>
      </w:r>
      <w:r>
        <w:rPr>
          <w:rStyle w:val="FunctionTok"/>
        </w:rPr>
        <w:t>subset</w:t>
      </w:r>
      <w:r>
        <w:rPr>
          <w:rStyle w:val="NormalTok"/>
        </w:rPr>
        <w:t xml:space="preserve">(des, area </w:t>
      </w:r>
      <w:r>
        <w:rPr>
          <w:rStyle w:val="SpecialCharTok"/>
        </w:rPr>
        <w:t>==</w:t>
      </w:r>
      <w:r>
        <w:rPr>
          <w:rStyle w:val="NormalTok"/>
        </w:rPr>
        <w:t xml:space="preserve"> a)</w:t>
      </w:r>
      <w:r>
        <w:br/>
      </w:r>
      <w:r>
        <w:br/>
      </w:r>
      <w:r>
        <w:rPr>
          <w:rStyle w:val="NormalTok"/>
        </w:rPr>
        <w:t xml:space="preserve">  out_a </w:t>
      </w:r>
      <w:r>
        <w:rPr>
          <w:rStyle w:val="OtherTok"/>
        </w:rPr>
        <w:t>&lt;-</w:t>
      </w:r>
      <w:r>
        <w:rPr>
          <w:rStyle w:val="NormalTok"/>
        </w:rPr>
        <w:t xml:space="preserve"> </w:t>
      </w:r>
      <w:r>
        <w:rPr>
          <w:rStyle w:val="FunctionTok"/>
        </w:rPr>
        <w:t>svyby</w:t>
      </w:r>
      <w:r>
        <w:rPr>
          <w:rStyle w:val="NormalTok"/>
        </w:rPr>
        <w:t>(</w:t>
      </w:r>
      <w:r>
        <w:br/>
      </w:r>
      <w:r>
        <w:rPr>
          <w:rStyle w:val="NormalTok"/>
        </w:rPr>
        <w:t xml:space="preserve">    </w:t>
      </w:r>
      <w:r>
        <w:rPr>
          <w:rStyle w:val="AttributeTok"/>
        </w:rPr>
        <w:t>formula =</w:t>
      </w:r>
      <w:r>
        <w:rPr>
          <w:rStyle w:val="NormalTok"/>
        </w:rPr>
        <w:t xml:space="preserve"> </w:t>
      </w:r>
      <w:r>
        <w:rPr>
          <w:rStyle w:val="SpecialCharTok"/>
        </w:rPr>
        <w:t>~</w:t>
      </w:r>
      <w:r>
        <w:rPr>
          <w:rStyle w:val="NormalTok"/>
        </w:rPr>
        <w:t>poor,</w:t>
      </w:r>
      <w:r>
        <w:br/>
      </w:r>
      <w:r>
        <w:rPr>
          <w:rStyle w:val="NormalTok"/>
        </w:rPr>
        <w:t xml:space="preserve">    </w:t>
      </w:r>
      <w:r>
        <w:rPr>
          <w:rStyle w:val="AttributeTok"/>
        </w:rPr>
        <w:t>by      =</w:t>
      </w:r>
      <w:r>
        <w:rPr>
          <w:rStyle w:val="NormalTok"/>
        </w:rPr>
        <w:t xml:space="preserve"> </w:t>
      </w:r>
      <w:r>
        <w:rPr>
          <w:rStyle w:val="SpecialCharTok"/>
        </w:rPr>
        <w:t>~</w:t>
      </w:r>
      <w:r>
        <w:rPr>
          <w:rStyle w:val="NormalTok"/>
        </w:rPr>
        <w:t>year,</w:t>
      </w:r>
      <w:r>
        <w:br/>
      </w:r>
      <w:r>
        <w:rPr>
          <w:rStyle w:val="NormalTok"/>
        </w:rPr>
        <w:t xml:space="preserve">    </w:t>
      </w:r>
      <w:r>
        <w:rPr>
          <w:rStyle w:val="AttributeTok"/>
        </w:rPr>
        <w:t>design  =</w:t>
      </w:r>
      <w:r>
        <w:rPr>
          <w:rStyle w:val="NormalTok"/>
        </w:rPr>
        <w:t xml:space="preserve"> des_a,</w:t>
      </w:r>
      <w:r>
        <w:br/>
      </w:r>
      <w:r>
        <w:rPr>
          <w:rStyle w:val="NormalTok"/>
        </w:rPr>
        <w:t xml:space="preserve">    </w:t>
      </w:r>
      <w:r>
        <w:rPr>
          <w:rStyle w:val="AttributeTok"/>
        </w:rPr>
        <w:t>FUN     =</w:t>
      </w:r>
      <w:r>
        <w:rPr>
          <w:rStyle w:val="NormalTok"/>
        </w:rPr>
        <w:t xml:space="preserve"> svymean,</w:t>
      </w:r>
      <w:r>
        <w:br/>
      </w:r>
      <w:r>
        <w:rPr>
          <w:rStyle w:val="NormalTok"/>
        </w:rPr>
        <w:t xml:space="preserve">    </w:t>
      </w:r>
      <w:r>
        <w:rPr>
          <w:rStyle w:val="AttributeTok"/>
        </w:rPr>
        <w:t>covmat  =</w:t>
      </w:r>
      <w:r>
        <w:rPr>
          <w:rStyle w:val="NormalTok"/>
        </w:rPr>
        <w:t xml:space="preserve"> </w:t>
      </w:r>
      <w:r>
        <w:rPr>
          <w:rStyle w:val="ConstantTok"/>
        </w:rPr>
        <w:t>TRUE</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lastRenderedPageBreak/>
        <w:t xml:space="preserve">  )</w:t>
      </w:r>
      <w:r>
        <w:br/>
      </w:r>
      <w:r>
        <w:br/>
      </w:r>
      <w:r>
        <w:rPr>
          <w:rStyle w:val="NormalTok"/>
        </w:rPr>
        <w:t xml:space="preserve">  </w:t>
      </w:r>
      <w:r>
        <w:rPr>
          <w:rStyle w:val="FunctionTok"/>
        </w:rPr>
        <w:t>vcov</w:t>
      </w:r>
      <w:r>
        <w:rPr>
          <w:rStyle w:val="NormalTok"/>
        </w:rPr>
        <w:t>(out_a)</w:t>
      </w:r>
      <w:r>
        <w:br/>
      </w:r>
      <w:r>
        <w:rPr>
          <w:rStyle w:val="NormalTok"/>
        </w:rPr>
        <w:t>})</w:t>
      </w:r>
      <w:r>
        <w:br/>
      </w:r>
      <w:r>
        <w:br/>
      </w:r>
      <w:r>
        <w:rPr>
          <w:rStyle w:val="CommentTok"/>
        </w:rPr>
        <w:t># 4. Fill the area-specific MFH sampling-error covariance input.</w:t>
      </w:r>
      <w:r>
        <w:br/>
      </w:r>
      <w:r>
        <w:rPr>
          <w:rStyle w:val="CommentTok"/>
        </w:rPr>
        <w:t># For two years, each D_j contains:</w:t>
      </w:r>
      <w:r>
        <w:br/>
      </w:r>
      <w:r>
        <w:rPr>
          <w:rStyle w:val="CommentTok"/>
        </w:rPr>
        <w:t>#   D_j[1,1] = design variance for year 1</w:t>
      </w:r>
      <w:r>
        <w:br/>
      </w:r>
      <w:r>
        <w:rPr>
          <w:rStyle w:val="CommentTok"/>
        </w:rPr>
        <w:t>#   D_j[2,2] = design variance for year 2</w:t>
      </w:r>
      <w:r>
        <w:br/>
      </w:r>
      <w:r>
        <w:rPr>
          <w:rStyle w:val="CommentTok"/>
        </w:rPr>
        <w:t>#   D_j[1,2] = D_j[2,1] = design covariance between years</w:t>
      </w:r>
    </w:p>
    <w:p w14:paraId="3022A4E7" w14:textId="77777777" w:rsidR="00742F56" w:rsidRDefault="00000000" w:rsidP="00546C85">
      <w:pPr>
        <w:pStyle w:val="FirstParagraph"/>
      </w:pPr>
      <w:r>
        <w:t xml:space="preserve">Lumley (2004, 2010) is the software reference for the </w:t>
      </w:r>
      <w:r>
        <w:rPr>
          <w:rStyle w:val="VerbatimChar"/>
        </w:rPr>
        <w:t>survey</w:t>
      </w:r>
      <w:r>
        <w:t xml:space="preserve"> package. Yoshida (2025a, 2025b) provides the project-specific explanation of why this covariance corresponds to the MFH sampling-error covariance.</w:t>
      </w:r>
    </w:p>
    <w:p w14:paraId="3022A4E8" w14:textId="77777777" w:rsidR="00742F56" w:rsidRDefault="00000000">
      <w:pPr>
        <w:pStyle w:val="Heading1"/>
      </w:pPr>
      <w:bookmarkStart w:id="16" w:name="reference-list"/>
      <w:bookmarkEnd w:id="15"/>
      <w:r>
        <w:t>13. Reference list</w:t>
      </w:r>
    </w:p>
    <w:p w14:paraId="3022A4E9" w14:textId="77777777" w:rsidR="00742F56" w:rsidRDefault="00000000">
      <w:pPr>
        <w:pStyle w:val="FirstParagraph"/>
      </w:pPr>
      <w:r>
        <w:t xml:space="preserve">Benavent, R., and Morales, D. (2016). Multivariate Fay–Herriot models for small area estimation. </w:t>
      </w:r>
      <w:r>
        <w:rPr>
          <w:i/>
          <w:iCs/>
        </w:rPr>
        <w:t>Computational Statistics &amp; Data Analysis</w:t>
      </w:r>
      <w:r>
        <w:t>, 94, 372-390. https://doi.org/10.1016/j.csda.2015.07.013</w:t>
      </w:r>
    </w:p>
    <w:p w14:paraId="3022A4EA" w14:textId="77777777" w:rsidR="00742F56" w:rsidRDefault="00000000">
      <w:pPr>
        <w:pStyle w:val="BodyText"/>
      </w:pPr>
      <w:r>
        <w:t xml:space="preserve">Binder, D. A. (1983). On the variances of asymptotically normal estimators from complex surveys. </w:t>
      </w:r>
      <w:r>
        <w:rPr>
          <w:i/>
          <w:iCs/>
        </w:rPr>
        <w:t>International Statistical Review</w:t>
      </w:r>
      <w:r>
        <w:t>, 51(3), 279-292. https://doi.org/10.2307/1402588</w:t>
      </w:r>
    </w:p>
    <w:p w14:paraId="3022A4EB" w14:textId="77777777" w:rsidR="00742F56" w:rsidRDefault="00000000">
      <w:pPr>
        <w:pStyle w:val="BodyText"/>
      </w:pPr>
      <w:r>
        <w:t xml:space="preserve">Fay, R. E., and Herriot, R. A. (1979). Estimates of income for small places: An application of James-Stein procedures to census data. </w:t>
      </w:r>
      <w:r>
        <w:rPr>
          <w:i/>
          <w:iCs/>
        </w:rPr>
        <w:t>Journal of the American Statistical Association</w:t>
      </w:r>
      <w:r>
        <w:t>, 74(366), 269-277. https://doi.org/10.1080/01621459.1979.10482505</w:t>
      </w:r>
    </w:p>
    <w:p w14:paraId="3022A4EC" w14:textId="77777777" w:rsidR="00742F56" w:rsidRDefault="00000000">
      <w:pPr>
        <w:pStyle w:val="BodyText"/>
      </w:pPr>
      <w:r>
        <w:t xml:space="preserve">Lumley, T. (2004). Analysis of complex survey samples. </w:t>
      </w:r>
      <w:r>
        <w:rPr>
          <w:i/>
          <w:iCs/>
        </w:rPr>
        <w:t>Journal of Statistical Software</w:t>
      </w:r>
      <w:r>
        <w:t>, 9(8), 1-19. https://doi.org/10.18637/jss.v009.i08</w:t>
      </w:r>
    </w:p>
    <w:p w14:paraId="3022A4ED" w14:textId="77777777" w:rsidR="00742F56" w:rsidRDefault="00000000">
      <w:pPr>
        <w:pStyle w:val="BodyText"/>
      </w:pPr>
      <w:r>
        <w:t xml:space="preserve">Lumley, T. (2010). </w:t>
      </w:r>
      <w:r>
        <w:rPr>
          <w:i/>
          <w:iCs/>
        </w:rPr>
        <w:t>Complex Surveys: A Guide to Analysis Using R</w:t>
      </w:r>
      <w:r>
        <w:t>. Hoboken, NJ: Wiley.</w:t>
      </w:r>
    </w:p>
    <w:p w14:paraId="3022A4EE" w14:textId="77777777" w:rsidR="00742F56" w:rsidRDefault="00000000">
      <w:pPr>
        <w:pStyle w:val="BodyText"/>
      </w:pPr>
      <w:r>
        <w:t xml:space="preserve">Permatasari, N., and Ubaidillah, A. (2021). msae: An R package of multivariate Fay–Herriot models for small area estimation. </w:t>
      </w:r>
      <w:r>
        <w:rPr>
          <w:i/>
          <w:iCs/>
        </w:rPr>
        <w:t>The R Journal</w:t>
      </w:r>
      <w:r>
        <w:t>, 13(2), 111-122. https://doi.org/10.32614/RJ-2021-096</w:t>
      </w:r>
    </w:p>
    <w:p w14:paraId="3022A4EF" w14:textId="77777777" w:rsidR="00742F56" w:rsidRDefault="00000000">
      <w:pPr>
        <w:pStyle w:val="BodyText"/>
      </w:pPr>
      <w:r>
        <w:t xml:space="preserve">Rao, J. N. K., and Molina, I. (2015). </w:t>
      </w:r>
      <w:r>
        <w:rPr>
          <w:i/>
          <w:iCs/>
        </w:rPr>
        <w:t>Small Area Estimation</w:t>
      </w:r>
      <w:r>
        <w:t>. 2nd ed. Hoboken, NJ: Wiley.</w:t>
      </w:r>
    </w:p>
    <w:p w14:paraId="3022A4F0" w14:textId="77777777" w:rsidR="00742F56" w:rsidRDefault="00000000">
      <w:pPr>
        <w:pStyle w:val="BodyText"/>
      </w:pPr>
      <w:r>
        <w:t xml:space="preserve">Särndal, C.-E., Swensson, B., and Wretman, J. (1992). </w:t>
      </w:r>
      <w:r>
        <w:rPr>
          <w:i/>
          <w:iCs/>
        </w:rPr>
        <w:t>Model Assisted Survey Sampling</w:t>
      </w:r>
      <w:r>
        <w:t>. New York: Springer.</w:t>
      </w:r>
    </w:p>
    <w:p w14:paraId="3022A4F1" w14:textId="77777777" w:rsidR="00742F56" w:rsidRDefault="00000000">
      <w:pPr>
        <w:pStyle w:val="BodyText"/>
      </w:pPr>
      <w:r>
        <w:t xml:space="preserve">Yoshida, N. (2025a). </w:t>
      </w:r>
      <w:r>
        <w:rPr>
          <w:i/>
          <w:iCs/>
        </w:rPr>
        <w:t>Estimation of Sampling Covariance of Two National Means in a Two-Wave Household Survey</w:t>
      </w:r>
      <w:r>
        <w:t>. Internal note.</w:t>
      </w:r>
    </w:p>
    <w:p w14:paraId="3022A4F2" w14:textId="77777777" w:rsidR="00742F56" w:rsidRDefault="00000000">
      <w:pPr>
        <w:pStyle w:val="BodyText"/>
      </w:pPr>
      <w:r>
        <w:t xml:space="preserve">Yoshida, N. (2025b). </w:t>
      </w:r>
      <w:r>
        <w:rPr>
          <w:i/>
          <w:iCs/>
        </w:rPr>
        <w:t>Covariance of Fay–Herriot Sampling Errors and Survey Design Effects</w:t>
      </w:r>
      <w:r>
        <w:t>. Internal note.</w:t>
      </w:r>
    </w:p>
    <w:p w14:paraId="3022A4F3" w14:textId="77777777" w:rsidR="00742F56" w:rsidRDefault="00000000">
      <w:pPr>
        <w:pStyle w:val="Heading1"/>
      </w:pPr>
      <w:bookmarkStart w:id="17" w:name="citation-boundaries"/>
      <w:bookmarkEnd w:id="16"/>
      <w:r>
        <w:lastRenderedPageBreak/>
        <w:t>14. Citation boundaries</w:t>
      </w:r>
    </w:p>
    <w:p w14:paraId="3022A4F4" w14:textId="77777777" w:rsidR="00742F56" w:rsidRDefault="00000000">
      <w:pPr>
        <w:pStyle w:val="FirstParagraph"/>
      </w:pPr>
      <w:r>
        <w:t>This note uses the sources as follows:</w:t>
      </w:r>
    </w:p>
    <w:p w14:paraId="3022A4F5" w14:textId="77777777" w:rsidR="00742F56" w:rsidRDefault="00000000">
      <w:pPr>
        <w:pStyle w:val="Compact"/>
        <w:numPr>
          <w:ilvl w:val="0"/>
          <w:numId w:val="8"/>
        </w:numPr>
      </w:pPr>
      <w:r>
        <w:t>Fay and Herriot (1979): original area-level Fay–Herriot model.</w:t>
      </w:r>
    </w:p>
    <w:p w14:paraId="3022A4F6" w14:textId="77777777" w:rsidR="00742F56" w:rsidRDefault="00000000">
      <w:pPr>
        <w:pStyle w:val="Compact"/>
        <w:numPr>
          <w:ilvl w:val="0"/>
          <w:numId w:val="8"/>
        </w:numPr>
      </w:pPr>
      <w:r>
        <w:t>Rao and Molina (2015): general small area estimation framework, direct estimators, EBLUPs, sampling variances, MSE, and applied interpretation.</w:t>
      </w:r>
    </w:p>
    <w:p w14:paraId="3022A4F7" w14:textId="77777777" w:rsidR="00742F56" w:rsidRDefault="00000000">
      <w:pPr>
        <w:pStyle w:val="Compact"/>
        <w:numPr>
          <w:ilvl w:val="0"/>
          <w:numId w:val="8"/>
        </w:numPr>
      </w:pPr>
      <w:r>
        <w:t>Benavent and Morales (2016): multivariate FH model, sampling-error covariance matrix as a model input, REML/EBLUP fitting, MSE, and MCPE concepts.</w:t>
      </w:r>
    </w:p>
    <w:p w14:paraId="3022A4F8" w14:textId="77777777" w:rsidR="00742F56" w:rsidRDefault="00000000">
      <w:pPr>
        <w:pStyle w:val="Compact"/>
        <w:numPr>
          <w:ilvl w:val="0"/>
          <w:numId w:val="8"/>
        </w:numPr>
      </w:pPr>
      <w:r>
        <w:t xml:space="preserve">Permatasari and Ubaidillah (2021): </w:t>
      </w:r>
      <w:r>
        <w:rPr>
          <w:rStyle w:val="VerbatimChar"/>
        </w:rPr>
        <w:t>msae</w:t>
      </w:r>
      <w:r>
        <w:t xml:space="preserve"> software implementation of MFH model variants.</w:t>
      </w:r>
    </w:p>
    <w:p w14:paraId="3022A4F9" w14:textId="77777777" w:rsidR="00742F56" w:rsidRDefault="00000000">
      <w:pPr>
        <w:pStyle w:val="Compact"/>
        <w:numPr>
          <w:ilvl w:val="0"/>
          <w:numId w:val="8"/>
        </w:numPr>
      </w:pPr>
      <w:r>
        <w:t>Särndal, Swensson, and Wretman (1992): design-based survey sampling theory, weighted estimators, and variance/covariance estimation.</w:t>
      </w:r>
    </w:p>
    <w:p w14:paraId="3022A4FA" w14:textId="77777777" w:rsidR="00742F56" w:rsidRDefault="00000000">
      <w:pPr>
        <w:pStyle w:val="Compact"/>
        <w:numPr>
          <w:ilvl w:val="0"/>
          <w:numId w:val="8"/>
        </w:numPr>
      </w:pPr>
      <w:r>
        <w:t>Binder (1983): Taylor-linearized variance estimation for complex surveys.</w:t>
      </w:r>
    </w:p>
    <w:p w14:paraId="3022A4FB" w14:textId="77777777" w:rsidR="00742F56" w:rsidRDefault="00000000">
      <w:pPr>
        <w:pStyle w:val="Compact"/>
        <w:numPr>
          <w:ilvl w:val="0"/>
          <w:numId w:val="8"/>
        </w:numPr>
      </w:pPr>
      <w:r>
        <w:t xml:space="preserve">Lumley (2004, 2010): R </w:t>
      </w:r>
      <w:r>
        <w:rPr>
          <w:rStyle w:val="VerbatimChar"/>
        </w:rPr>
        <w:t>survey</w:t>
      </w:r>
      <w:r>
        <w:t xml:space="preserve"> package and complex-survey implementation.</w:t>
      </w:r>
    </w:p>
    <w:p w14:paraId="3022A4FC" w14:textId="77777777" w:rsidR="00742F56" w:rsidRDefault="00000000">
      <w:pPr>
        <w:pStyle w:val="Compact"/>
        <w:numPr>
          <w:ilvl w:val="0"/>
          <w:numId w:val="8"/>
        </w:numPr>
      </w:pPr>
      <w:r>
        <w:t>Yoshida (2025a, 2025b): project-specific derivation linking design-based survey covariance to the FH sampling-error covariance, and the warning that panel-only covariance estimation can understate covariance.</w:t>
      </w:r>
      <w:bookmarkEnd w:id="0"/>
      <w:bookmarkEnd w:id="17"/>
    </w:p>
    <w:sectPr w:rsidR="00742F5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4403" w14:textId="77777777" w:rsidR="00502217" w:rsidRDefault="00502217">
      <w:pPr>
        <w:spacing w:after="0" w:line="240" w:lineRule="auto"/>
      </w:pPr>
      <w:r>
        <w:separator/>
      </w:r>
    </w:p>
  </w:endnote>
  <w:endnote w:type="continuationSeparator" w:id="0">
    <w:p w14:paraId="2213A296" w14:textId="77777777" w:rsidR="00502217" w:rsidRDefault="0050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B6847" w14:textId="77777777" w:rsidR="00502217" w:rsidRDefault="00502217">
      <w:r>
        <w:separator/>
      </w:r>
    </w:p>
  </w:footnote>
  <w:footnote w:type="continuationSeparator" w:id="0">
    <w:p w14:paraId="695D60A8" w14:textId="77777777" w:rsidR="00502217" w:rsidRDefault="005022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BC7D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1E73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40810298">
    <w:abstractNumId w:val="0"/>
  </w:num>
  <w:num w:numId="2" w16cid:durableId="1567957991">
    <w:abstractNumId w:val="1"/>
  </w:num>
  <w:num w:numId="3" w16cid:durableId="1085036910">
    <w:abstractNumId w:val="1"/>
  </w:num>
  <w:num w:numId="4" w16cid:durableId="714811394">
    <w:abstractNumId w:val="1"/>
  </w:num>
  <w:num w:numId="5" w16cid:durableId="255670924">
    <w:abstractNumId w:val="1"/>
  </w:num>
  <w:num w:numId="6" w16cid:durableId="434137780">
    <w:abstractNumId w:val="1"/>
  </w:num>
  <w:num w:numId="7" w16cid:durableId="1580401945">
    <w:abstractNumId w:val="1"/>
  </w:num>
  <w:num w:numId="8" w16cid:durableId="190448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2F56"/>
    <w:rsid w:val="000912E5"/>
    <w:rsid w:val="000B3113"/>
    <w:rsid w:val="002702B5"/>
    <w:rsid w:val="00502217"/>
    <w:rsid w:val="00546C85"/>
    <w:rsid w:val="00742F56"/>
    <w:rsid w:val="00F9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A471"/>
  <w15:docId w15:val="{5D6F0DF1-4DE9-4D6B-BA2E-E4C4A3532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spacing w:before="480" w:after="240" w:line="240" w:lineRule="auto"/>
      <w:jc w:val="center"/>
      <w:outlineLvl w:val="0"/>
    </w:pPr>
    <w:rPr>
      <w:rFonts w:cs="Times New Roman"/>
      <w:b/>
      <w:sz w:val="24"/>
    </w:rPr>
  </w:style>
  <w:style w:type="paragraph" w:styleId="Heading2">
    <w:name w:val="heading 2"/>
    <w:basedOn w:val="Normal"/>
    <w:next w:val="BodyText"/>
    <w:uiPriority w:val="9"/>
    <w:unhideWhenUsed/>
    <w:qFormat/>
    <w:pPr>
      <w:keepNext/>
      <w:spacing w:before="280" w:line="240" w:lineRule="auto"/>
      <w:jc w:val="left"/>
      <w:outlineLvl w:val="1"/>
    </w:pPr>
    <w:rPr>
      <w:rFonts w:cs="Times New Roman"/>
      <w:b/>
      <w:i/>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2481</Words>
  <Characters>15335</Characters>
  <Application>Microsoft Office Word</Application>
  <DocSecurity>0</DocSecurity>
  <Lines>289</Lines>
  <Paragraphs>169</Paragraphs>
  <ScaleCrop>false</ScaleCrop>
  <Company/>
  <LinksUpToDate>false</LinksUpToDate>
  <CharactersWithSpaces>17647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Marialuz Moreno Badia</cp:lastModifiedBy>
  <cp:revision>5</cp:revision>
  <dcterms:created xsi:type="dcterms:W3CDTF">2026-06-05T03:22:00Z</dcterms:created>
  <dcterms:modified xsi:type="dcterms:W3CDTF">2026-06-05T03:49:00Z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348bbb67-81df-4b7e-8e57-1c53c99b2355</vt:lpwstr>
  </property>
</Properties>
</file>