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41" w:rsidRDefault="00FC6DFB">
      <w:pPr>
        <w:rPr>
          <w:b/>
          <w:sz w:val="96"/>
          <w:szCs w:val="96"/>
        </w:rPr>
      </w:pPr>
      <w:r>
        <w:rPr>
          <w:b/>
          <w:sz w:val="96"/>
          <w:szCs w:val="96"/>
        </w:rPr>
        <w:t>BackLog</w:t>
      </w:r>
    </w:p>
    <w:p w:rsidR="00B27D41" w:rsidRDefault="00B27D41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B27D41">
        <w:tc>
          <w:tcPr>
            <w:tcW w:w="9062" w:type="dxa"/>
            <w:shd w:val="clear" w:color="auto" w:fill="auto"/>
          </w:tcPr>
          <w:p w:rsidR="00B27D41" w:rsidRDefault="00FC6D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Voraussetzungen</w:t>
            </w:r>
          </w:p>
        </w:tc>
      </w:tr>
      <w:tr w:rsidR="00B27D41">
        <w:tc>
          <w:tcPr>
            <w:tcW w:w="9062" w:type="dxa"/>
            <w:shd w:val="clear" w:color="auto" w:fill="auto"/>
          </w:tcPr>
          <w:p w:rsidR="00B27D41" w:rsidRDefault="00FC6DFB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Python-Entwicklungsumgebung</w:t>
            </w:r>
          </w:p>
          <w:p w:rsidR="00B27D41" w:rsidRDefault="00FC6DFB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Test – siehe Programme zur Erstellung von Zufallsdaten</w:t>
            </w:r>
          </w:p>
          <w:p w:rsidR="00B27D41" w:rsidRDefault="00FC6DFB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Literatur – „Neuronale Netze“ Seite 39 ff.</w:t>
            </w:r>
          </w:p>
          <w:p w:rsidR="00B27D41" w:rsidRDefault="00FC6DFB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Verwendung der Sigmoidfunktion – siehe Litera</w:t>
            </w:r>
            <w:r w:rsidR="004E5CF8">
              <w:t>t</w:t>
            </w:r>
            <w:r>
              <w:t>ur</w:t>
            </w:r>
          </w:p>
        </w:tc>
      </w:tr>
    </w:tbl>
    <w:p w:rsidR="00B27D41" w:rsidRDefault="00B27D41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B27D41">
        <w:tc>
          <w:tcPr>
            <w:tcW w:w="9062" w:type="dxa"/>
            <w:shd w:val="clear" w:color="auto" w:fill="auto"/>
          </w:tcPr>
          <w:p w:rsidR="00B27D41" w:rsidRDefault="00FC6D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Aufgabe</w:t>
            </w:r>
          </w:p>
        </w:tc>
      </w:tr>
      <w:tr w:rsidR="00B27D41">
        <w:tc>
          <w:tcPr>
            <w:tcW w:w="9062" w:type="dxa"/>
            <w:shd w:val="clear" w:color="auto" w:fill="auto"/>
          </w:tcPr>
          <w:p w:rsidR="00B27D41" w:rsidRDefault="00FC6DFB" w:rsidP="00977D5F">
            <w:pPr>
              <w:spacing w:after="0" w:line="240" w:lineRule="auto"/>
            </w:pPr>
            <w:r>
              <w:t>Erstellung eines Prototyp</w:t>
            </w:r>
            <w:r w:rsidR="00977D5F">
              <w:t>s</w:t>
            </w:r>
            <w:r>
              <w:t xml:space="preserve"> für ein neuronales Netz unter Verwendung der Sigmoidfunktion zur Analyse von Eingangswerten (2 Schichten) unter Berücksichtigung von gewichteten Verbindungen unter den Knoten. Werte der Wichtungen kommen aus ökonomischen Kennziffern.</w:t>
            </w:r>
          </w:p>
        </w:tc>
      </w:tr>
    </w:tbl>
    <w:p w:rsidR="00B27D41" w:rsidRDefault="00B27D41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6614"/>
        <w:gridCol w:w="960"/>
        <w:gridCol w:w="1488"/>
      </w:tblGrid>
      <w:tr w:rsidR="00B27D41">
        <w:tc>
          <w:tcPr>
            <w:tcW w:w="6614" w:type="dxa"/>
            <w:shd w:val="clear" w:color="auto" w:fill="auto"/>
          </w:tcPr>
          <w:p w:rsidR="00B27D41" w:rsidRDefault="00FC6D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</w:t>
            </w:r>
            <w:r w:rsidR="004E5CF8">
              <w:rPr>
                <w:b/>
              </w:rPr>
              <w:t xml:space="preserve"> </w:t>
            </w:r>
            <w:r>
              <w:rPr>
                <w:b/>
              </w:rPr>
              <w:t>Do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88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Zeit/Aufwand (min)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>
            <w:pPr>
              <w:spacing w:after="0" w:line="240" w:lineRule="auto"/>
            </w:pPr>
            <w:r>
              <w:t>Grundgerüst für das Programm erstellen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443452">
            <w:pPr>
              <w:spacing w:after="0" w:line="240" w:lineRule="auto"/>
              <w:jc w:val="center"/>
            </w:pPr>
            <w:r>
              <w:t>30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>
            <w:pPr>
              <w:spacing w:after="0" w:line="240" w:lineRule="auto"/>
            </w:pPr>
            <w:r>
              <w:t>Daten aus Testdatei – CSV-Format einlesen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  <w:rPr>
                <w:rFonts w:eastAsiaTheme="minorEastAsia"/>
                <w:lang w:eastAsia="ja-JP"/>
              </w:rPr>
            </w:pPr>
            <w:r>
              <w:t>30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 w:rsidP="00977D5F">
            <w:pPr>
              <w:spacing w:after="0" w:line="240" w:lineRule="auto"/>
            </w:pPr>
            <w:r>
              <w:t xml:space="preserve">Gewichte einbauen bzw. Funktion zum Ändern  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120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 w:rsidP="00977D5F">
            <w:pPr>
              <w:spacing w:after="0" w:line="240" w:lineRule="auto"/>
            </w:pPr>
            <w:r>
              <w:t>Berechnung für neuronales Netz über Sigmoidfunktion einbauen</w:t>
            </w:r>
            <w:r>
              <w:br/>
              <w:t xml:space="preserve">Hinweis: </w:t>
            </w:r>
            <w:r>
              <w:br/>
              <w:t xml:space="preserve">aus Eingangswerten einzeln berechnen </w:t>
            </w:r>
            <w:r>
              <w:br/>
              <w:t xml:space="preserve">oder Matrizen verwenden (empfohlen)  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443452">
            <w:pPr>
              <w:spacing w:after="0" w:line="240" w:lineRule="auto"/>
              <w:jc w:val="center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60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 w:rsidP="00977D5F">
            <w:pPr>
              <w:spacing w:after="0" w:line="240" w:lineRule="auto"/>
            </w:pPr>
            <w:r>
              <w:t xml:space="preserve">Ergebniswerte berechnen  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rPr>
                <w:rFonts w:eastAsiaTheme="minorEastAsia"/>
                <w:lang w:eastAsia="ja-JP"/>
              </w:rPr>
              <w:t>30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>
            <w:pPr>
              <w:spacing w:after="0" w:line="240" w:lineRule="auto"/>
            </w:pPr>
            <w:r>
              <w:t>Ergebniswerte ablegen (sammeln) auf der Basis der Eingangsdaten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rPr>
                <w:rFonts w:eastAsiaTheme="minorEastAsia"/>
                <w:lang w:eastAsia="ja-JP"/>
              </w:rPr>
              <w:t>30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 w:rsidP="00977D5F">
            <w:pPr>
              <w:spacing w:after="0" w:line="240" w:lineRule="auto"/>
            </w:pPr>
            <w:r>
              <w:t>Gespeicherte Ergebnisse in eine Datei schreiben</w:t>
            </w:r>
            <w:r>
              <w:br/>
              <w:t xml:space="preserve">Hinweis: Hier die Ausgangsdatei erweitern – siehe unserem  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60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>
            <w:pPr>
              <w:spacing w:after="0" w:line="240" w:lineRule="auto"/>
            </w:pPr>
            <w:r>
              <w:t>Testdatei erstellen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977D5F">
            <w:pPr>
              <w:spacing w:after="0" w:line="240" w:lineRule="auto"/>
              <w:jc w:val="center"/>
            </w:pPr>
            <w:r>
              <w:t>24</w:t>
            </w:r>
            <w:r w:rsidR="00FC6DFB">
              <w:t>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>
            <w:pPr>
              <w:spacing w:after="0" w:line="240" w:lineRule="auto"/>
            </w:pPr>
            <w:r>
              <w:t>Tests ausführen und dokumentieren</w:t>
            </w:r>
          </w:p>
        </w:tc>
        <w:tc>
          <w:tcPr>
            <w:tcW w:w="960" w:type="dxa"/>
            <w:shd w:val="clear" w:color="auto" w:fill="auto"/>
          </w:tcPr>
          <w:p w:rsidR="00B27D41" w:rsidRDefault="00977D5F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977D5F">
            <w:pPr>
              <w:spacing w:after="0" w:line="240" w:lineRule="auto"/>
              <w:jc w:val="center"/>
            </w:pPr>
            <w:r>
              <w:t>24</w:t>
            </w:r>
            <w:r w:rsidR="00FC6DFB">
              <w:t>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 w:rsidP="00977D5F">
            <w:pPr>
              <w:spacing w:after="0" w:line="240" w:lineRule="auto"/>
            </w:pPr>
            <w:r>
              <w:t xml:space="preserve">Gewichtung lernen und Anpassungsregeln erstellen </w:t>
            </w:r>
          </w:p>
        </w:tc>
        <w:tc>
          <w:tcPr>
            <w:tcW w:w="960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B27D41" w:rsidRDefault="00FC6DFB">
            <w:pPr>
              <w:spacing w:after="0" w:line="240" w:lineRule="auto"/>
              <w:jc w:val="center"/>
            </w:pPr>
            <w:r>
              <w:t>300</w:t>
            </w:r>
          </w:p>
        </w:tc>
      </w:tr>
      <w:tr w:rsidR="00B27D41">
        <w:tc>
          <w:tcPr>
            <w:tcW w:w="6614" w:type="dxa"/>
            <w:shd w:val="clear" w:color="auto" w:fill="auto"/>
          </w:tcPr>
          <w:p w:rsidR="00B27D41" w:rsidRDefault="00FC6DFB">
            <w:pPr>
              <w:spacing w:after="0" w:line="240" w:lineRule="auto"/>
            </w:pPr>
            <w:r>
              <w:t>Optimierungen erarbeiten</w:t>
            </w:r>
          </w:p>
        </w:tc>
        <w:tc>
          <w:tcPr>
            <w:tcW w:w="960" w:type="dxa"/>
            <w:shd w:val="clear" w:color="auto" w:fill="auto"/>
          </w:tcPr>
          <w:p w:rsidR="00B27D41" w:rsidRDefault="00977D5F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488" w:type="dxa"/>
            <w:shd w:val="clear" w:color="auto" w:fill="auto"/>
          </w:tcPr>
          <w:p w:rsidR="00B27D41" w:rsidRDefault="00443452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77D5F">
        <w:tc>
          <w:tcPr>
            <w:tcW w:w="6614" w:type="dxa"/>
            <w:shd w:val="clear" w:color="auto" w:fill="auto"/>
          </w:tcPr>
          <w:p w:rsidR="00977D5F" w:rsidRDefault="00977D5F">
            <w:pPr>
              <w:spacing w:after="0" w:line="240" w:lineRule="auto"/>
            </w:pPr>
            <w:r>
              <w:t xml:space="preserve">    Neuronale Netze mit 3 Schichten erstellen</w:t>
            </w:r>
          </w:p>
        </w:tc>
        <w:tc>
          <w:tcPr>
            <w:tcW w:w="960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120</w:t>
            </w:r>
          </w:p>
        </w:tc>
      </w:tr>
      <w:tr w:rsidR="00977D5F">
        <w:tc>
          <w:tcPr>
            <w:tcW w:w="6614" w:type="dxa"/>
            <w:shd w:val="clear" w:color="auto" w:fill="auto"/>
          </w:tcPr>
          <w:p w:rsidR="00977D5F" w:rsidRDefault="00977D5F">
            <w:pPr>
              <w:spacing w:after="0" w:line="240" w:lineRule="auto"/>
            </w:pPr>
            <w:r>
              <w:t xml:space="preserve">    Tests ausführen und dokumentieren</w:t>
            </w:r>
          </w:p>
        </w:tc>
        <w:tc>
          <w:tcPr>
            <w:tcW w:w="960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120</w:t>
            </w:r>
          </w:p>
        </w:tc>
      </w:tr>
      <w:tr w:rsidR="00977D5F">
        <w:tc>
          <w:tcPr>
            <w:tcW w:w="6614" w:type="dxa"/>
            <w:shd w:val="clear" w:color="auto" w:fill="auto"/>
          </w:tcPr>
          <w:p w:rsidR="00977D5F" w:rsidRDefault="00977D5F" w:rsidP="00B94FE8">
            <w:pPr>
              <w:spacing w:after="0" w:line="240" w:lineRule="auto"/>
            </w:pPr>
            <w:r>
              <w:t xml:space="preserve">    Test für </w:t>
            </w:r>
            <w:r w:rsidR="00B94FE8">
              <w:t>die praktische Anwendung aus der realen Welt</w:t>
            </w:r>
            <w:bookmarkStart w:id="0" w:name="_GoBack"/>
            <w:bookmarkEnd w:id="0"/>
          </w:p>
        </w:tc>
        <w:tc>
          <w:tcPr>
            <w:tcW w:w="960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120</w:t>
            </w:r>
          </w:p>
        </w:tc>
      </w:tr>
      <w:tr w:rsidR="00977D5F">
        <w:tc>
          <w:tcPr>
            <w:tcW w:w="6614" w:type="dxa"/>
            <w:shd w:val="clear" w:color="auto" w:fill="auto"/>
          </w:tcPr>
          <w:p w:rsidR="00977D5F" w:rsidRDefault="00977D5F">
            <w:pPr>
              <w:spacing w:after="0" w:line="240" w:lineRule="auto"/>
            </w:pPr>
            <w:r>
              <w:t xml:space="preserve">    Test ausführen und dokumentieren</w:t>
            </w:r>
          </w:p>
        </w:tc>
        <w:tc>
          <w:tcPr>
            <w:tcW w:w="960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60</w:t>
            </w:r>
          </w:p>
        </w:tc>
      </w:tr>
      <w:tr w:rsidR="00977D5F">
        <w:tc>
          <w:tcPr>
            <w:tcW w:w="6614" w:type="dxa"/>
            <w:shd w:val="clear" w:color="auto" w:fill="auto"/>
          </w:tcPr>
          <w:p w:rsidR="00977D5F" w:rsidRDefault="00977D5F">
            <w:pPr>
              <w:spacing w:after="0" w:line="240" w:lineRule="auto"/>
            </w:pPr>
            <w:r>
              <w:t>Test Ergebnisse zusammenfassen</w:t>
            </w:r>
          </w:p>
        </w:tc>
        <w:tc>
          <w:tcPr>
            <w:tcW w:w="960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Fertig</w:t>
            </w:r>
          </w:p>
        </w:tc>
        <w:tc>
          <w:tcPr>
            <w:tcW w:w="1488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  <w:r>
              <w:t>120</w:t>
            </w:r>
          </w:p>
        </w:tc>
      </w:tr>
      <w:tr w:rsidR="00977D5F">
        <w:tc>
          <w:tcPr>
            <w:tcW w:w="6614" w:type="dxa"/>
            <w:shd w:val="clear" w:color="auto" w:fill="auto"/>
          </w:tcPr>
          <w:p w:rsidR="00977D5F" w:rsidRDefault="00977D5F">
            <w:pPr>
              <w:spacing w:after="0" w:line="240" w:lineRule="auto"/>
            </w:pPr>
          </w:p>
        </w:tc>
        <w:tc>
          <w:tcPr>
            <w:tcW w:w="960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</w:p>
        </w:tc>
        <w:tc>
          <w:tcPr>
            <w:tcW w:w="1488" w:type="dxa"/>
            <w:shd w:val="clear" w:color="auto" w:fill="auto"/>
          </w:tcPr>
          <w:p w:rsidR="00977D5F" w:rsidRDefault="00977D5F">
            <w:pPr>
              <w:spacing w:after="0" w:line="240" w:lineRule="auto"/>
              <w:jc w:val="center"/>
            </w:pPr>
          </w:p>
        </w:tc>
      </w:tr>
      <w:tr w:rsidR="00B27D41">
        <w:tc>
          <w:tcPr>
            <w:tcW w:w="6614" w:type="dxa"/>
            <w:tcBorders>
              <w:top w:val="nil"/>
            </w:tcBorders>
            <w:shd w:val="clear" w:color="auto" w:fill="auto"/>
          </w:tcPr>
          <w:p w:rsidR="00B27D41" w:rsidRDefault="00FC6DFB">
            <w:pPr>
              <w:spacing w:after="0" w:line="240" w:lineRule="auto"/>
            </w:pPr>
            <w:r>
              <w:t>Summe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</w:tcPr>
          <w:p w:rsidR="00B27D41" w:rsidRDefault="00B27D41">
            <w:pPr>
              <w:spacing w:after="0" w:line="240" w:lineRule="auto"/>
              <w:jc w:val="center"/>
            </w:pPr>
          </w:p>
        </w:tc>
        <w:tc>
          <w:tcPr>
            <w:tcW w:w="1488" w:type="dxa"/>
            <w:tcBorders>
              <w:top w:val="nil"/>
            </w:tcBorders>
            <w:shd w:val="clear" w:color="auto" w:fill="auto"/>
          </w:tcPr>
          <w:p w:rsidR="00B27D41" w:rsidRDefault="00977D5F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E5CF8">
              <w:rPr>
                <w:noProof/>
              </w:rPr>
              <w:t>1680</w:t>
            </w:r>
            <w:r>
              <w:fldChar w:fldCharType="end"/>
            </w:r>
          </w:p>
        </w:tc>
      </w:tr>
    </w:tbl>
    <w:p w:rsidR="00B27D41" w:rsidRDefault="00B27D41"/>
    <w:sectPr w:rsidR="00B27D41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33D50"/>
    <w:multiLevelType w:val="multilevel"/>
    <w:tmpl w:val="F32C8A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804AA8"/>
    <w:multiLevelType w:val="multilevel"/>
    <w:tmpl w:val="BC8A7262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41"/>
    <w:rsid w:val="00443452"/>
    <w:rsid w:val="004E5CF8"/>
    <w:rsid w:val="006D4AC1"/>
    <w:rsid w:val="00977D5F"/>
    <w:rsid w:val="00B27D41"/>
    <w:rsid w:val="00B94FE8"/>
    <w:rsid w:val="00D1418E"/>
    <w:rsid w:val="00F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3A26"/>
  <w15:docId w15:val="{B72DAD96-6EB0-497A-9A39-4B7681CB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absatz">
    <w:name w:val="List Paragraph"/>
    <w:basedOn w:val="Standard"/>
    <w:uiPriority w:val="34"/>
    <w:qFormat/>
    <w:rsid w:val="00F94197"/>
    <w:pPr>
      <w:ind w:left="720"/>
      <w:contextualSpacing/>
    </w:pPr>
  </w:style>
  <w:style w:type="table" w:styleId="Tabellenraster">
    <w:name w:val="Table Grid"/>
    <w:basedOn w:val="NormaleTabelle"/>
    <w:uiPriority w:val="39"/>
    <w:rsid w:val="00F94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 Wiesner</dc:creator>
  <dc:description/>
  <cp:lastModifiedBy>Yano, Nobuko</cp:lastModifiedBy>
  <cp:revision>27</cp:revision>
  <dcterms:created xsi:type="dcterms:W3CDTF">2018-11-15T07:34:00Z</dcterms:created>
  <dcterms:modified xsi:type="dcterms:W3CDTF">2018-11-23T08:39:00Z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