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c>
          <w:tcPr>
            <w:tcW w:type="dxa" w:w="2466"/>
            <w:shd w:fill="199BD3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2466"/>
            <w:shd w:fill="00A88A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2466"/>
            <w:shd w:fill="E6B820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  <w:tc>
          <w:tcPr>
            <w:tcW w:type="dxa" w:w="2466"/>
            <w:shd w:fill="E95166"/>
            <w:tcMar>
              <w:top w:w="25" w:type="dxa"/>
              <w:start w:w="0" w:type="dxa"/>
              <w:bottom w:w="25" w:type="dxa"/>
              <w:end w:w="0" w:type="dxa"/>
            </w:tcMar>
          </w:tcPr>
          <w:p/>
        </w:tc>
      </w:tr>
    </w:tbl>
    <w:p>
      <w:pPr>
        <w:spacing w:after="0"/>
      </w:pPr>
    </w:p>
    <w:p>
      <w:pPr>
        <w:spacing w:before="320" w:after="60"/>
      </w:pPr>
      <w:r>
        <w:rPr>
          <w:rFonts w:ascii="Aptos" w:hAnsi="Aptos"/>
          <w:b/>
          <w:color w:val="199BD3"/>
          <w:sz w:val="17"/>
        </w:rPr>
        <w:t>INTERNE ENTSCHEIDUNGSVORLAGE</w:t>
      </w:r>
    </w:p>
    <w:p>
      <w:pPr>
        <w:pStyle w:val="Title"/>
      </w:pPr>
      <w:r>
        <w:t>Preisstrategie vor den ersten deutschen Kunden</w:t>
      </w:r>
    </w:p>
    <w:p>
      <w:pPr>
        <w:pStyle w:val="Subtitle"/>
      </w:pPr>
      <w:r>
        <w:t>Wie RateLoop den Wert menschlicher Assurance testet, ohne vor der Produktreife ein komplexes Preissystem zu bauen.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02"/>
        <w:gridCol w:w="4762"/>
      </w:tblGrid>
      <w:tr>
        <w:tc>
          <w:tcPr>
            <w:tcW w:type="dxa" w:w="5018"/>
            <w:shd w:fill="F4F6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Stand</w:t>
              <w:br/>
            </w:r>
            <w:r>
              <w:t>04.08.2026</w:t>
            </w:r>
          </w:p>
        </w:tc>
        <w:tc>
          <w:tcPr>
            <w:tcW w:type="dxa" w:w="5018"/>
            <w:shd w:fill="F4F6F8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rPr>
                <w:b/>
              </w:rPr>
              <w:t>Verwendung</w:t>
              <w:br/>
            </w:r>
            <w:r>
              <w:t>Intern · Preise netto zzgl. USt. · Stand 04.08.2026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A0A0A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78C7EA"/>
                <w:sz w:val="17"/>
              </w:rPr>
              <w:t>EMPFEHLUNG</w:t>
              <w:br/>
            </w:r>
            <w:r>
              <w:rPr>
                <w:b/>
                <w:color w:val="FFFFFF"/>
                <w:sz w:val="25"/>
              </w:rPr>
              <w:t>Den öffentlichen 29-$-Early-Access-Anker streichen. Vor belastbarer Kundenevidenz einen klar begrenzten Founding-Assurance-Pilot für € 2.500 netto verkaufen. Wiederkehrende €-Pakete erst nach mindestens drei bezahlten Piloten einführen.</w:t>
            </w:r>
          </w:p>
        </w:tc>
      </w:tr>
    </w:tbl>
    <w:p>
      <w:pPr>
        <w:pStyle w:val="Heading2"/>
      </w:pPr>
      <w:r>
        <w:t>Warum</w:t>
      </w:r>
    </w:p>
    <w:p>
      <w:pPr>
        <w:pStyle w:val="ListBullet"/>
      </w:pPr>
      <w:r>
        <w:t>$29 signalisiert Developer-Utility, obwohl RateLoop eine security- und evidenzsensitive Betriebsentscheidung verkauft.</w:t>
      </w:r>
    </w:p>
    <w:p>
      <w:pPr>
        <w:pStyle w:val="ListBullet"/>
      </w:pPr>
      <w:r>
        <w:t>Der durchgestrichene $99-Listenpreis und ein pauschaler künftiger Rabatt wirken ungetestet.</w:t>
      </w:r>
    </w:p>
    <w:p>
      <w:pPr>
        <w:pStyle w:val="ListBullet"/>
      </w:pPr>
      <w:r>
        <w:t>Ein Pilot bepreist ein überprüfbares Ergebnis und misst gleichzeitig Urgency, Security-Gaps, Integration und Zahlungsbereitschaft.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ÖFFENTLICHE LISTENPREISE</w:t>
      </w:r>
    </w:p>
    <w:p>
      <w:pPr>
        <w:pStyle w:val="Heading1"/>
      </w:pPr>
      <w:r>
        <w:t>1. Marktanker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Produkt</w:t>
            </w:r>
          </w:p>
        </w:tc>
        <w:tc>
          <w:tcPr>
            <w:tcW w:type="dxa" w:w="2721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Preis</w:t>
            </w:r>
          </w:p>
        </w:tc>
        <w:tc>
          <w:tcPr>
            <w:tcW w:type="dxa" w:w="4762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Meter / Upgrade-Signal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Langfuse</w:t>
            </w:r>
          </w:p>
        </w:tc>
        <w:tc>
          <w:tcPr>
            <w:tcW w:type="dxa" w:w="272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$29; $199; Enterprise $2.499/Monat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Observability Units, Retention; Annotation, SSO/RBAC und SLA höher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Braintrust</w:t>
            </w:r>
          </w:p>
        </w:tc>
        <w:tc>
          <w:tcPr>
            <w:tcW w:type="dxa" w:w="272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Pro $249/Monat</w:t>
            </w:r>
          </w:p>
        </w:tc>
        <w:tc>
          <w:tcPr>
            <w:tcW w:type="dxa" w:w="4762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Daten/Scores/Retention; Human Review und Controls höher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Confident AI</w:t>
            </w:r>
          </w:p>
        </w:tc>
        <w:tc>
          <w:tcPr>
            <w:tcW w:type="dxa" w:w="272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$200; $2.000/Monat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Trace-/Eval-Nutzung; SSO, RBAC, SOC 2 und Support höher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LangSmith</w:t>
            </w:r>
          </w:p>
        </w:tc>
        <w:tc>
          <w:tcPr>
            <w:tcW w:type="dxa" w:w="272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$39/Sitz + Nutzung</w:t>
            </w:r>
          </w:p>
        </w:tc>
        <w:tc>
          <w:tcPr>
            <w:tcW w:type="dxa" w:w="4762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Sitze, Traces, Compute; Hosting/SSO/SLA Enterprise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Datadog Agent Observability</w:t>
            </w:r>
          </w:p>
        </w:tc>
        <w:tc>
          <w:tcPr>
            <w:tcW w:type="dxa" w:w="272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$160–$200/Monat für erste 100k LLM-Spans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Spans + Retention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Helicone</w:t>
            </w:r>
          </w:p>
        </w:tc>
        <w:tc>
          <w:tcPr>
            <w:tcW w:type="dxa" w:w="272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$79; $799/Monat</w:t>
            </w:r>
          </w:p>
        </w:tc>
        <w:tc>
          <w:tcPr>
            <w:tcW w:type="dxa" w:w="4762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Requests, Storage, Retention; SAML/On-prem höher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Portkey</w:t>
            </w:r>
          </w:p>
        </w:tc>
        <w:tc>
          <w:tcPr>
            <w:tcW w:type="dxa" w:w="272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Free; $49/Monat; Enterprise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Logs/Requests/Retention; Residency und Security Enterprise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IBM watsonx.governance</w:t>
            </w:r>
          </w:p>
        </w:tc>
        <w:tc>
          <w:tcPr>
            <w:tcW w:type="dxa" w:w="272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$38.160/Jahr AWS-Bundle</w:t>
            </w:r>
          </w:p>
        </w:tc>
        <w:tc>
          <w:tcPr>
            <w:tcW w:type="dxa" w:w="4762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Evaluations, Solutions, Concurrent Users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Prolific</w:t>
            </w:r>
          </w:p>
        </w:tc>
        <w:tc>
          <w:tcPr>
            <w:tcW w:type="dxa" w:w="272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Reward + 42,8 % Corporate Fee</w:t>
            </w:r>
          </w:p>
        </w:tc>
        <w:tc>
          <w:tcPr>
            <w:tcW w:type="dxa" w:w="476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Teilnehmergewinnung, Screening, Operations</w:t>
            </w:r>
          </w:p>
        </w:tc>
      </w:tr>
    </w:tbl>
    <w:p>
      <w:pPr>
        <w:pStyle w:val="Heading2"/>
      </w:pPr>
      <w:r>
        <w:t>Interpretation</w:t>
      </w:r>
    </w:p>
    <w:p>
      <w:r>
        <w:t>Produktions-Evaluation startet typischerweise um $199–$249 pro Monat; Team-/Security-Pakete liegen oft bei $799–$2.000. RateLoop ist schmaler, verkauft aber Assurance statt Logging. Der erste bezahlte Test sollte deshalb ein begrenzter Pilot sein.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VOR DREI BEZAHLTEN PILOTEN</w:t>
      </w:r>
    </w:p>
    <w:p>
      <w:pPr>
        <w:pStyle w:val="Heading1"/>
      </w:pPr>
      <w:r>
        <w:t>2. Preisarchitektur – Phase 1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2381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Angebot</w:t>
            </w:r>
          </w:p>
        </w:tc>
        <w:tc>
          <w:tcPr>
            <w:tcW w:type="dxa" w:w="2494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Preis</w:t>
            </w:r>
          </w:p>
        </w:tc>
        <w:tc>
          <w:tcPr>
            <w:tcW w:type="dxa" w:w="4989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Belastbarer Scope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Sandbox</w:t>
            </w:r>
          </w:p>
        </w:tc>
        <w:tc>
          <w:tcPr>
            <w:tcW w:type="dxa" w:w="249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€ 0</w:t>
            </w:r>
          </w:p>
        </w:tc>
        <w:tc>
          <w:tcPr>
            <w:tcW w:type="dxa" w:w="498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Ein Agent, eine Review-Gruppe; eingeladene unbezahlte Reviewer; keine Karte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Founding Assurance Pilot</w:t>
            </w:r>
          </w:p>
        </w:tc>
        <w:tc>
          <w:tcPr>
            <w:tcW w:type="dxa" w:w="2494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€ 2.500 netto / 6 Wochen</w:t>
            </w:r>
          </w:p>
        </w:tc>
        <w:tc>
          <w:tcPr>
            <w:tcW w:type="dxa" w:w="4989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Ein Produktions-Use-Case; bis 3 Agents/5 Gruppen; Onboarding, Workflow, Evidence Handoff, Outcome Review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Komplex/reguliert</w:t>
            </w:r>
          </w:p>
        </w:tc>
        <w:tc>
          <w:tcPr>
            <w:tcW w:type="dxa" w:w="249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ab € 7.500 netto / 6–8 Wochen</w:t>
            </w:r>
          </w:p>
        </w:tc>
        <w:tc>
          <w:tcPr>
            <w:tcW w:type="dxa" w:w="498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Nur bei tatsächlicher Security-Prüfung, Custom-Integration, Policy-Mapping oder Procurement-Support</w:t>
            </w:r>
          </w:p>
        </w:tc>
      </w:tr>
      <w:tr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</w:t>
            </w:r>
          </w:p>
        </w:tc>
        <w:tc>
          <w:tcPr>
            <w:tcW w:type="dxa" w:w="2494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individuell</w:t>
            </w:r>
          </w:p>
        </w:tc>
        <w:tc>
          <w:tcPr>
            <w:tcW w:type="dxa" w:w="4989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Keine SLA-, Residency-, Zertifizierungs- oder Deployment-Zusage, bevor sie operativ stimmt</w:t>
            </w:r>
          </w:p>
        </w:tc>
      </w:tr>
    </w:tbl>
    <w:p>
      <w:pPr>
        <w:pStyle w:val="Heading2"/>
      </w:pPr>
      <w:r>
        <w:t>Konvertierung</w:t>
      </w:r>
    </w:p>
    <w:p>
      <w:pPr>
        <w:pStyle w:val="ListBullet"/>
      </w:pPr>
      <w:r>
        <w:t>50 % des €-2.500-Piloten auf ein Jahresabo anrechnen, wenn binnen 30 Tagen nach Abschluss unterschrieben wird.</w:t>
      </w:r>
    </w:p>
    <w:p>
      <w:pPr>
        <w:pStyle w:val="ListBullet"/>
      </w:pPr>
      <w:r>
        <w:t>Scope, Supportstunden, erlaubte Datenarten, Retention, Erfolg und Stop-Bedingungen im Order Form nennen.</w:t>
      </w:r>
    </w:p>
    <w:p>
      <w:pPr>
        <w:pStyle w:val="ListBullet"/>
      </w:pPr>
      <w:r>
        <w:t>Kein Self-serve Checkout für den bezahlten Pilot, bis Billing und Business Verification bewiesen sind.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NACH MINDESTENS DREI VALIDIERTEN PILOTEN</w:t>
      </w:r>
    </w:p>
    <w:p>
      <w:pPr>
        <w:pStyle w:val="Heading1"/>
      </w:pPr>
      <w:r>
        <w:t>3. Preisarchitektur: Phase 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2154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Paket</w:t>
            </w:r>
          </w:p>
        </w:tc>
        <w:tc>
          <w:tcPr>
            <w:tcW w:type="dxa" w:w="1587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Monat</w:t>
            </w:r>
          </w:p>
        </w:tc>
        <w:tc>
          <w:tcPr>
            <w:tcW w:type="dxa" w:w="1701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Jahr</w:t>
            </w:r>
          </w:p>
        </w:tc>
        <w:tc>
          <w:tcPr>
            <w:tcW w:type="dxa" w:w="4422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Grenze</w:t>
            </w:r>
          </w:p>
        </w:tc>
      </w:tr>
      <w:tr>
        <w:tc>
          <w:tcPr>
            <w:tcW w:type="dxa" w:w="215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Team Assurance</w:t>
            </w:r>
          </w:p>
        </w:tc>
        <w:tc>
          <w:tcPr>
            <w:tcW w:type="dxa" w:w="15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€ 249</w:t>
            </w:r>
          </w:p>
        </w:tc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€ 2.490</w:t>
            </w:r>
          </w:p>
        </w:tc>
        <w:tc>
          <w:tcPr>
            <w:tcW w:type="dxa" w:w="442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3 aktive Produktions-Agents; 5 Gruppen; unbegrenzte eingeladene Reviewer; Standard-Evidence/Export</w:t>
            </w:r>
          </w:p>
        </w:tc>
      </w:tr>
      <w:tr>
        <w:tc>
          <w:tcPr>
            <w:tcW w:type="dxa" w:w="2154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Business Assurance</w:t>
            </w:r>
          </w:p>
        </w:tc>
        <w:tc>
          <w:tcPr>
            <w:tcW w:type="dxa" w:w="1587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€ 799</w:t>
            </w:r>
          </w:p>
        </w:tc>
        <w:tc>
          <w:tcPr>
            <w:tcW w:type="dxa" w:w="170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€ 7.990</w:t>
            </w:r>
          </w:p>
        </w:tc>
        <w:tc>
          <w:tcPr>
            <w:tcW w:type="dxa" w:w="4422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Höhere Agent-/Gruppenlimits und nur bereits funktionierende Org-Features, Delivery/Webhooks/Identity/Retention</w:t>
            </w:r>
          </w:p>
        </w:tc>
      </w:tr>
      <w:tr>
        <w:tc>
          <w:tcPr>
            <w:tcW w:type="dxa" w:w="2154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Enterprise Assurance</w:t>
            </w:r>
          </w:p>
        </w:tc>
        <w:tc>
          <w:tcPr>
            <w:tcW w:type="dxa" w:w="1587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ab € 30.000</w:t>
            </w:r>
          </w:p>
        </w:tc>
        <w:tc>
          <w:tcPr>
            <w:tcW w:type="dxa" w:w="170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jährlich</w:t>
            </w:r>
          </w:p>
        </w:tc>
        <w:tc>
          <w:tcPr>
            <w:tcW w:type="dxa" w:w="4422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Custom Volume/Retention, vertraglicher Support, SSO/SCIM, Security Review – nur soweit lieferbar</w:t>
            </w:r>
          </w:p>
        </w:tc>
      </w:tr>
    </w:tbl>
    <w:p>
      <w:pPr>
        <w:pStyle w:val="Heading2"/>
      </w:pPr>
      <w:r>
        <w:t>Warum diese Anker</w:t>
      </w:r>
    </w:p>
    <w:p>
      <w:pPr>
        <w:pStyle w:val="ListBullet"/>
      </w:pPr>
      <w:r>
        <w:t>€249 liegt am Braintrust-Produktionsanker und oberhalb der $199–$200 Entry-Tiers von Langfuse/Confident AI.</w:t>
      </w:r>
    </w:p>
    <w:p>
      <w:pPr>
        <w:pStyle w:val="ListBullet"/>
      </w:pPr>
      <w:r>
        <w:t>€799 entspricht dem Helicone Team-/Security-Anker und bleibt deutlich unter Confident AI Team ($2.000).</w:t>
      </w:r>
    </w:p>
    <w:p>
      <w:pPr>
        <w:pStyle w:val="ListBullet"/>
      </w:pPr>
      <w:r>
        <w:t>Ab €30k/Jahr liegt unter dem IBM-Governance-Anker und ungefähr auf Langfuse Enterprise – ohne Breite oder Zertifizierungen zu behaupten.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ANREIZE RICHTIG SETZEN</w:t>
      </w:r>
    </w:p>
    <w:p>
      <w:pPr>
        <w:pStyle w:val="Heading1"/>
      </w:pPr>
      <w:r>
        <w:t>4. Meter und variable Kosten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A0A0A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78C7EA"/>
                <w:sz w:val="17"/>
              </w:rPr>
              <w:t>WERTMETRIK</w:t>
              <w:br/>
            </w:r>
            <w:r>
              <w:rPr>
                <w:b/>
                <w:color w:val="FFFFFF"/>
                <w:sz w:val="25"/>
              </w:rPr>
              <w:t>Workspace-Plattformgebühr primär nach aktiven Produktions-Agents. Retention, Evidence Delivery und vertragliche Controls bilden höhere Paketgrenzen.</w:t>
            </w:r>
          </w:p>
        </w:tc>
      </w:tr>
    </w:tbl>
    <w:p>
      <w:pPr>
        <w:pStyle w:val="Heading2"/>
      </w:pPr>
      <w:r>
        <w:t>Nicht messen</w:t>
      </w:r>
    </w:p>
    <w:p>
      <w:pPr>
        <w:pStyle w:val="ListBullet"/>
      </w:pPr>
      <w:r>
        <w:t>Nicht pro internem Reviewer, Sitz oder Review-Antwort abrechnen: Das bestraft mehr Aufsicht.</w:t>
      </w:r>
    </w:p>
    <w:p>
      <w:pPr>
        <w:pStyle w:val="ListBullet"/>
      </w:pPr>
      <w:r>
        <w:t>Die 25/250-Entscheidungs-Allowance nicht wiederbeleben, solange sie nicht systemweit und verständlich durchgesetzt wird.</w:t>
      </w:r>
    </w:p>
    <w:p>
      <w:pPr>
        <w:pStyle w:val="ListBullet"/>
      </w:pPr>
      <w:r>
        <w:t>Keine Reviewer-Vergütung in „Credits“ verstecken.</w:t>
      </w:r>
    </w:p>
    <w:p>
      <w:pPr>
        <w:pStyle w:val="Heading2"/>
      </w:pPr>
      <w:r>
        <w:t>Künftige bezahlte Panels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EAF5FB"/>
            <w:tcMar>
              <w:top w:w="140" w:type="dxa"/>
              <w:start w:w="170" w:type="dxa"/>
              <w:bottom w:w="140" w:type="dxa"/>
              <w:end w:w="170" w:type="dxa"/>
            </w:tcMar>
          </w:tcPr>
          <w:p>
            <w:r>
              <w:rPr>
                <w:b/>
                <w:color w:val="1D1D1F"/>
                <w:sz w:val="23"/>
              </w:rPr>
              <w:t>Subscription + Reviewer-Bounty + begrenzte Attempt Reserve + ausgewiesene Plattformgebühr + USt.</w:t>
            </w:r>
          </w:p>
        </w:tc>
      </w:tr>
    </w:tbl>
    <w:p>
      <w:r>
        <w:t>Die bestehende Größenordnung von rund 7,5 % ist nur plausibel, solange RateLoop Settlement-/Protokoll-Infrastruktur liefert. Wenn später qualifizierte Reviewer, Screening und operative QA hinzukommen, den Design Record bewusst für 15–25 % Service Fee neu öffnen. Nicht Prolific 42,8 % kopieren: dort sind Pool, Screening, Participant Operations und Support enthalten.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NICHT AUF BILLIG OPTIMIEREN</w:t>
      </w:r>
    </w:p>
    <w:p>
      <w:pPr>
        <w:pStyle w:val="Heading1"/>
      </w:pPr>
      <w:r>
        <w:t>5. Deutsche Kaufkriterien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c>
          <w:tcPr>
            <w:tcW w:type="dxa" w:w="3345"/>
            <w:shd w:fill="EAF5FB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A0A0A"/>
                <w:sz w:val="40"/>
              </w:rPr>
              <w:t>95 %</w:t>
              <w:br/>
            </w:r>
            <w:r>
              <w:rPr>
                <w:color w:val="666A73"/>
                <w:sz w:val="16"/>
              </w:rPr>
              <w:t>nennen Vertrauen in Security, Datenschutz und Compliance als Cloud-Must-have</w:t>
            </w:r>
          </w:p>
        </w:tc>
        <w:tc>
          <w:tcPr>
            <w:tcW w:type="dxa" w:w="3345"/>
            <w:shd w:fill="F4F6F8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A0A0A"/>
                <w:sz w:val="40"/>
              </w:rPr>
              <w:t>40 %</w:t>
              <w:br/>
            </w:r>
            <w:r>
              <w:rPr>
                <w:color w:val="666A73"/>
                <w:sz w:val="16"/>
              </w:rPr>
              <w:t>nennen niedrige Kosten als Must-have</w:t>
            </w:r>
          </w:p>
        </w:tc>
        <w:tc>
          <w:tcPr>
            <w:tcW w:type="dxa" w:w="3345"/>
            <w:shd w:fill="EAF5FB"/>
            <w:tcMar>
              <w:top w:w="150" w:type="dxa"/>
              <w:start w:w="130" w:type="dxa"/>
              <w:bottom w:w="150" w:type="dxa"/>
              <w:end w:w="13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0A0A0A"/>
                <w:sz w:val="40"/>
              </w:rPr>
              <w:t>12 %</w:t>
              <w:br/>
            </w:r>
            <w:r>
              <w:rPr>
                <w:color w:val="666A73"/>
                <w:sz w:val="16"/>
              </w:rPr>
              <w:t>würden für ausschließlich deutsche Verarbeitung 10–20 % Aufpreis akzeptieren</w:t>
            </w:r>
          </w:p>
        </w:tc>
      </w:tr>
    </w:tbl>
    <w:p>
      <w:r>
        <w:t>Die Konsequenz ist nicht, unbewiesene deutsche Datensouveränität zu versprechen. Sie ist, den Preis mit klarer DPA, Subprozessoren, Datenorten, Zugriff, Retention/Löschung, Export/Offboarding, Rechnung und Supportgrenzen zu stützen. Für deutsche B2B-Angebote EUR, „netto zzgl. USt.“ und SEPA/Überweisung für Jahresverträge verwenden.</w:t>
      </w:r>
    </w:p>
    <w:p>
      <w:pPr>
        <w:pStyle w:val="Heading2"/>
      </w:pPr>
      <w:r>
        <w:t>Packaging-Prinzip</w:t>
      </w:r>
    </w:p>
    <w:p>
      <w:pPr>
        <w:pStyle w:val="ListBullet"/>
      </w:pPr>
      <w:r>
        <w:t>Maximal drei sichtbare Optionen.</w:t>
      </w:r>
    </w:p>
    <w:p>
      <w:pPr>
        <w:pStyle w:val="ListBullet"/>
      </w:pPr>
      <w:r>
        <w:t>Eingeladene, unbezahlte Reviewer explizit benennen, solange das die gelieferte Lane ist.</w:t>
      </w:r>
    </w:p>
    <w:p>
      <w:pPr>
        <w:pStyle w:val="ListBullet"/>
      </w:pPr>
      <w:r>
        <w:t>Keine German-residency-, Compliance-, Paid-network- oder Enterprise-SLA-Aussage vor tatsächlicher Lieferfähigkeit.</w:t>
      </w:r>
    </w:p>
    <w:p>
      <w:pPr>
        <w:pStyle w:val="ListBullet"/>
      </w:pPr>
      <w:r>
        <w:t>Beschaffungsunterlagen neben das Angebot stellen: DPA, Subprozessoren, Orte, Retention, Security, Export, Attestierungen.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ZEHN QUALIFIZIERTE PROSPECTS</w:t>
      </w:r>
    </w:p>
    <w:p>
      <w:pPr>
        <w:pStyle w:val="Heading1"/>
      </w:pPr>
      <w:r>
        <w:t>6. Preisexperiment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3118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6746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Entscheidung</w:t>
            </w:r>
          </w:p>
        </w:tc>
      </w:tr>
      <w:tr>
        <w:tc>
          <w:tcPr>
            <w:tcW w:type="dxa" w:w="311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≥ 3 bezahlte Piloten</w:t>
            </w:r>
          </w:p>
        </w:tc>
        <w:tc>
          <w:tcPr>
            <w:tcW w:type="dxa" w:w="674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Wiederkehrende €249/€799-Pakete ausarbeiten und gleichen Job vertiefen</w:t>
            </w:r>
          </w:p>
        </w:tc>
      </w:tr>
      <w:tr>
        <w:tc>
          <w:tcPr>
            <w:tcW w:type="dxa" w:w="3118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1–2 bezahlte Piloten</w:t>
            </w:r>
          </w:p>
        </w:tc>
        <w:tc>
          <w:tcPr>
            <w:tcW w:type="dxa" w:w="6746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ICP oder Use Case ändern, bevor der Preis geändert wird</w:t>
            </w:r>
          </w:p>
        </w:tc>
      </w:tr>
      <w:tr>
        <w:tc>
          <w:tcPr>
            <w:tcW w:type="dxa" w:w="3118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0 bezahlte Piloten</w:t>
            </w:r>
          </w:p>
        </w:tc>
        <w:tc>
          <w:tcPr>
            <w:tcW w:type="dxa" w:w="674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Kategorie/Job ist nicht überzeugend; ein billigeres Abo löst das vermutlich nicht</w:t>
            </w:r>
          </w:p>
        </w:tc>
      </w:tr>
    </w:tbl>
    <w:p>
      <w:pPr>
        <w:pStyle w:val="Heading2"/>
      </w:pPr>
      <w:r>
        <w:t>Für jedes Nein erfassen</w:t>
      </w:r>
    </w:p>
    <w:p>
      <w:pPr>
        <w:pStyle w:val="ListBullet"/>
      </w:pPr>
      <w:r>
        <w:t>Preis; fehlende Security-Evidenz; fehlende Integration; fehlende Urgency; kein Owner; kein zulässiger Datenzugang.</w:t>
      </w:r>
    </w:p>
    <w:p>
      <w:pPr>
        <w:pStyle w:val="ListBullet"/>
      </w:pPr>
      <w:r>
        <w:t>Den €2.500-Scope für die ersten zehn qualifizierten Prospects identisch halten; nicht reflexartig rabattieren.</w:t>
      </w:r>
    </w:p>
    <w:p>
      <w:pPr>
        <w:pStyle w:val="ListBullet"/>
      </w:pPr>
      <w:r>
        <w:t>Neben Signings auch Zeit bis Procurement, Unterstützungsaufwand, Nutzung durch Prüfende und Wiederholungswunsch messen.</w:t>
      </w:r>
    </w:p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REIHENFOLGE</w:t>
      </w:r>
    </w:p>
    <w:p>
      <w:pPr>
        <w:pStyle w:val="Heading1"/>
      </w:pPr>
      <w:r>
        <w:t>7. Konkrete Änderungen an der Pricing Page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680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Schritt</w:t>
            </w:r>
          </w:p>
        </w:tc>
        <w:tc>
          <w:tcPr>
            <w:tcW w:type="dxa" w:w="6803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Änderung</w:t>
            </w:r>
          </w:p>
        </w:tc>
        <w:tc>
          <w:tcPr>
            <w:tcW w:type="dxa" w:w="2381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Wann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680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USD, durchgestrichene $99 und pauschalen 20-%-Future-Discount entfernen</w:t>
            </w:r>
          </w:p>
        </w:tc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vor Outreach</w:t>
            </w:r>
          </w:p>
        </w:tc>
      </w:tr>
      <w:tr>
        <w:tc>
          <w:tcPr>
            <w:tcW w:type="dxa" w:w="680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6803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Sandbox + Founding Pilot + Enterprise/Complex Inquiry zeigen; Preise netto zzgl. USt.</w:t>
            </w:r>
          </w:p>
        </w:tc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vor Outreach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680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Pilot-Scope, eingeladene unbezahlte Reviewer und variable Kosten klar trennen</w:t>
            </w:r>
          </w:p>
        </w:tc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vor Outreach</w:t>
            </w:r>
          </w:p>
        </w:tc>
      </w:tr>
      <w:tr>
        <w:tc>
          <w:tcPr>
            <w:tcW w:type="dxa" w:w="680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6803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Procurement Pack direkt verlinken</w:t>
            </w:r>
          </w:p>
        </w:tc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vor bezahltem Pilot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6803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€249/€799 erst nach drei bezahlten Piloten veröffentlichen</w:t>
            </w:r>
          </w:p>
        </w:tc>
        <w:tc>
          <w:tcPr>
            <w:tcW w:type="dxa" w:w="2381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nach Validierung</w:t>
            </w:r>
          </w:p>
        </w:tc>
      </w:tr>
      <w:tr>
        <w:tc>
          <w:tcPr>
            <w:tcW w:type="dxa" w:w="680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6803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Paid panels separat: Bounty, Attempt Reserve, Plattformgebühr, USt.</w:t>
            </w:r>
          </w:p>
        </w:tc>
        <w:tc>
          <w:tcPr>
            <w:tcW w:type="dxa" w:w="2381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erst bei released Paid Lane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10036"/>
            <w:shd w:fill="0A0A0A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78C7EA"/>
                <w:sz w:val="17"/>
              </w:rPr>
              <w:t>NICHT JETZT BAUEN</w:t>
              <w:br/>
            </w:r>
            <w:r>
              <w:rPr>
                <w:b/>
                <w:color w:val="FFFFFF"/>
                <w:sz w:val="25"/>
              </w:rPr>
              <w:t>Kein komplexes Usage Billing vor drei bezahlten Piloten.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ENTSCHEIDUNGSLOGIK</w:t>
      </w:r>
    </w:p>
    <w:p>
      <w:pPr>
        <w:pStyle w:val="Heading1"/>
      </w:pPr>
      <w:r>
        <w:t>8. Risiken und Annahmen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989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Annahme/Risiko</w:t>
            </w:r>
          </w:p>
        </w:tc>
        <w:tc>
          <w:tcPr>
            <w:tcW w:type="dxa" w:w="4876"/>
            <w:shd w:fill="0A0A0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Wie prüfen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€2.500 ist niedrig genug für ein kontrolliertes Experiment und hoch genug für echtes Commitment</w:t>
            </w:r>
          </w:p>
        </w:tc>
        <w:tc>
          <w:tcPr>
            <w:tcW w:type="dxa" w:w="48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Zehn identische Angebote; Preisgrund separat codieren</w:t>
            </w:r>
          </w:p>
        </w:tc>
      </w:tr>
      <w:tr>
        <w:tc>
          <w:tcPr>
            <w:tcW w:type="dxa" w:w="4989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Aktive Produktions-Agents korrelieren besser mit Wert als Review-Responses</w:t>
            </w:r>
          </w:p>
        </w:tc>
        <w:tc>
          <w:tcPr>
            <w:tcW w:type="dxa" w:w="4876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Agent-Zahl, Review-Volumen und Erfolgsoutcome pro Pilot messen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Procurement-Evidenz ist kaufentscheidender als niedriger Preis</w:t>
            </w:r>
          </w:p>
        </w:tc>
        <w:tc>
          <w:tcPr>
            <w:tcW w:type="dxa" w:w="48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Verlorene Deals nach Security-/DPA-/Attestierungsgrund auswerten</w:t>
            </w:r>
          </w:p>
        </w:tc>
      </w:tr>
      <w:tr>
        <w:tc>
          <w:tcPr>
            <w:tcW w:type="dxa" w:w="4989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Eingeladene Reviewer reichen für den ersten Wertbeweis</w:t>
            </w:r>
          </w:p>
        </w:tc>
        <w:tc>
          <w:tcPr>
            <w:tcW w:type="dxa" w:w="4876"/>
            <w:shd w:fill="F4F6F8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Explizit nach Nachfrage nach Sourcing/externem Panel fragen</w:t>
            </w:r>
          </w:p>
        </w:tc>
      </w:tr>
      <w:tr>
        <w:tc>
          <w:tcPr>
            <w:tcW w:type="dxa" w:w="4989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Das Produkt kann Pilot-Scope ohne Gründer-Services wiederholen</w:t>
            </w:r>
          </w:p>
        </w:tc>
        <w:tc>
          <w:tcPr>
            <w:tcW w:type="dxa" w:w="4876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</w:tcPr>
          <w:p>
            <w:pPr>
              <w:spacing w:after="0"/>
            </w:pPr>
            <w:r>
              <w:rPr>
                <w:sz w:val="16"/>
              </w:rPr>
              <w:t>Supportstunden und manuelle Eingriffe dokumentieren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199BD3"/>
          <w:sz w:val="16"/>
        </w:rPr>
        <w:t>STAND 4. AUGUST 2026</w:t>
      </w:r>
    </w:p>
    <w:p>
      <w:pPr>
        <w:pStyle w:val="Heading1"/>
      </w:pPr>
      <w:r>
        <w:t>Quellen</w:t>
      </w:r>
    </w:p>
    <w:p>
      <w:pPr>
        <w:spacing w:after="60"/>
      </w:pPr>
      <w:r>
        <w:rPr>
          <w:b/>
          <w:sz w:val="16"/>
        </w:rPr>
        <w:t xml:space="preserve">1. Langfuse Pricing: </w:t>
      </w:r>
      <w:hyperlink r:id="rId13">
        <w:r>
          <w:rPr>
            <w:color w:val="199BD3"/>
            <w:u w:val="single"/>
            <w:sz w:val="15"/>
            <w:szCs w:val="15"/>
          </w:rPr>
          <w:t>https://langfuse.com/pricing</w:t>
        </w:r>
      </w:hyperlink>
    </w:p>
    <w:p>
      <w:pPr>
        <w:spacing w:after="60"/>
      </w:pPr>
      <w:r>
        <w:rPr>
          <w:b/>
          <w:sz w:val="16"/>
        </w:rPr>
        <w:t xml:space="preserve">2. Braintrust Pricing: </w:t>
      </w:r>
      <w:hyperlink r:id="rId14">
        <w:r>
          <w:rPr>
            <w:color w:val="199BD3"/>
            <w:u w:val="single"/>
            <w:sz w:val="15"/>
            <w:szCs w:val="15"/>
          </w:rPr>
          <w:t>https://www.braintrust.dev/pricing</w:t>
        </w:r>
      </w:hyperlink>
    </w:p>
    <w:p>
      <w:pPr>
        <w:spacing w:after="60"/>
      </w:pPr>
      <w:r>
        <w:rPr>
          <w:b/>
          <w:sz w:val="16"/>
        </w:rPr>
        <w:t xml:space="preserve">3. Confident AI Pricing: </w:t>
      </w:r>
      <w:hyperlink r:id="rId15">
        <w:r>
          <w:rPr>
            <w:color w:val="199BD3"/>
            <w:u w:val="single"/>
            <w:sz w:val="15"/>
            <w:szCs w:val="15"/>
          </w:rPr>
          <w:t>https://www.confident-ai.com/pricing</w:t>
        </w:r>
      </w:hyperlink>
    </w:p>
    <w:p>
      <w:pPr>
        <w:spacing w:after="60"/>
      </w:pPr>
      <w:r>
        <w:rPr>
          <w:b/>
          <w:sz w:val="16"/>
        </w:rPr>
        <w:t xml:space="preserve">4. LangSmith Pricing: </w:t>
      </w:r>
      <w:hyperlink r:id="rId16">
        <w:r>
          <w:rPr>
            <w:color w:val="199BD3"/>
            <w:u w:val="single"/>
            <w:sz w:val="15"/>
            <w:szCs w:val="15"/>
          </w:rPr>
          <w:t>https://www.langchain.com/pricing</w:t>
        </w:r>
      </w:hyperlink>
    </w:p>
    <w:p>
      <w:pPr>
        <w:spacing w:after="60"/>
      </w:pPr>
      <w:r>
        <w:rPr>
          <w:b/>
          <w:sz w:val="16"/>
        </w:rPr>
        <w:t xml:space="preserve">5. Datadog Pricing: </w:t>
      </w:r>
      <w:hyperlink r:id="rId17">
        <w:r>
          <w:rPr>
            <w:color w:val="199BD3"/>
            <w:u w:val="single"/>
            <w:sz w:val="15"/>
            <w:szCs w:val="15"/>
          </w:rPr>
          <w:t>https://www.datadoghq.com/pricing/list/</w:t>
        </w:r>
      </w:hyperlink>
    </w:p>
    <w:p>
      <w:pPr>
        <w:spacing w:after="60"/>
      </w:pPr>
      <w:r>
        <w:rPr>
          <w:b/>
          <w:sz w:val="16"/>
        </w:rPr>
        <w:t xml:space="preserve">6. Helicone Pricing: </w:t>
      </w:r>
      <w:hyperlink r:id="rId18">
        <w:r>
          <w:rPr>
            <w:color w:val="199BD3"/>
            <w:u w:val="single"/>
            <w:sz w:val="15"/>
            <w:szCs w:val="15"/>
          </w:rPr>
          <w:t>https://www.helicone.ai/pricing</w:t>
        </w:r>
      </w:hyperlink>
    </w:p>
    <w:p>
      <w:pPr>
        <w:spacing w:after="60"/>
      </w:pPr>
      <w:r>
        <w:rPr>
          <w:b/>
          <w:sz w:val="16"/>
        </w:rPr>
        <w:t xml:space="preserve">7. Portkey Pricing: </w:t>
      </w:r>
      <w:hyperlink r:id="rId19">
        <w:r>
          <w:rPr>
            <w:color w:val="199BD3"/>
            <w:u w:val="single"/>
            <w:sz w:val="15"/>
            <w:szCs w:val="15"/>
          </w:rPr>
          <w:t>https://portkey.ai/pricing</w:t>
        </w:r>
      </w:hyperlink>
    </w:p>
    <w:p>
      <w:pPr>
        <w:spacing w:after="60"/>
      </w:pPr>
      <w:r>
        <w:rPr>
          <w:b/>
          <w:sz w:val="16"/>
        </w:rPr>
        <w:t xml:space="preserve">8. IBM watsonx.governance Pricing: </w:t>
      </w:r>
      <w:hyperlink r:id="rId20">
        <w:r>
          <w:rPr>
            <w:color w:val="199BD3"/>
            <w:u w:val="single"/>
            <w:sz w:val="15"/>
            <w:szCs w:val="15"/>
          </w:rPr>
          <w:t>https://www.ibm.com/de-de/products/watsonx-governance/pricing</w:t>
        </w:r>
      </w:hyperlink>
    </w:p>
    <w:p>
      <w:pPr>
        <w:spacing w:after="60"/>
      </w:pPr>
      <w:r>
        <w:rPr>
          <w:b/>
          <w:sz w:val="16"/>
        </w:rPr>
        <w:t xml:space="preserve">9. Prolific Pricing: </w:t>
      </w:r>
      <w:hyperlink r:id="rId21">
        <w:r>
          <w:rPr>
            <w:color w:val="199BD3"/>
            <w:u w:val="single"/>
            <w:sz w:val="15"/>
            <w:szCs w:val="15"/>
          </w:rPr>
          <w:t>https://www.prolific.com/pricing</w:t>
        </w:r>
      </w:hyperlink>
    </w:p>
    <w:p>
      <w:pPr>
        <w:spacing w:after="60"/>
      </w:pPr>
      <w:r>
        <w:rPr>
          <w:b/>
          <w:sz w:val="16"/>
        </w:rPr>
        <w:t xml:space="preserve">10. Prolific participant pricing guidance: </w:t>
      </w:r>
      <w:hyperlink r:id="rId22">
        <w:r>
          <w:rPr>
            <w:color w:val="199BD3"/>
            <w:u w:val="single"/>
            <w:sz w:val="15"/>
            <w:szCs w:val="15"/>
          </w:rPr>
          <w:t>https://researcher-help.prolific.com/en/articles/445239-what-is-your-pricing</w:t>
        </w:r>
      </w:hyperlink>
    </w:p>
    <w:p>
      <w:pPr>
        <w:spacing w:after="60"/>
      </w:pPr>
      <w:r>
        <w:rPr>
          <w:b/>
          <w:sz w:val="16"/>
        </w:rPr>
        <w:t xml:space="preserve">11. Bitkom Cloud Report 2026: </w:t>
      </w:r>
      <w:hyperlink r:id="rId23">
        <w:r>
          <w:rPr>
            <w:color w:val="199BD3"/>
            <w:u w:val="single"/>
            <w:sz w:val="15"/>
            <w:szCs w:val="15"/>
          </w:rPr>
          <w:t>https://www.bitkom.org/Presse/Presseinformation/Deutsche-Cloud-4-von-10-Unternehmen-wuerden-Abstriche-in-Kauf-nehmen</w:t>
        </w:r>
      </w:hyperlink>
    </w:p>
    <w:p>
      <w:pPr>
        <w:spacing w:after="60"/>
      </w:pPr>
      <w:r>
        <w:rPr>
          <w:b/>
          <w:sz w:val="16"/>
        </w:rPr>
        <w:t xml:space="preserve">12. Destatis, KI-Nutzung 2025: </w:t>
      </w:r>
      <w:hyperlink r:id="rId24">
        <w:r>
          <w:rPr>
            <w:color w:val="199BD3"/>
            <w:u w:val="single"/>
            <w:sz w:val="15"/>
            <w:szCs w:val="15"/>
          </w:rPr>
          <w:t>https://www.destatis.de/DE/Themen/Branchen-Unternehmen/Unternehmen/IKT-in-Unternehmen-IKT-Branche/Tabellen/ikti-unternehmen-kuenstliche-intelligenz.html</w:t>
        </w:r>
      </w:hyperlink>
    </w:p>
    <w:p>
      <w:pPr>
        <w:spacing w:after="60"/>
      </w:pPr>
      <w:r>
        <w:rPr>
          <w:b/>
          <w:sz w:val="16"/>
        </w:rPr>
        <w:t xml:space="preserve">13. Regulation (EU) 2026/1744, amended AI Act timetable: </w:t>
      </w:r>
      <w:hyperlink r:id="rId25">
        <w:r>
          <w:rPr>
            <w:color w:val="199BD3"/>
            <w:u w:val="single"/>
            <w:sz w:val="15"/>
            <w:szCs w:val="15"/>
          </w:rPr>
          <w:t>https://eur-lex.europa.eu/legal-content/EN/TXT/?uri=CELEX%3A32026R1744</w:t>
        </w:r>
      </w:hyperlink>
    </w:p>
    <w:p>
      <w:pPr>
        <w:spacing w:after="60"/>
      </w:pPr>
      <w:r>
        <w:rPr>
          <w:b/>
          <w:sz w:val="16"/>
        </w:rPr>
        <w:t xml:space="preserve">14. RateLoop current plans source: </w:t>
      </w:r>
      <w:hyperlink r:id="rId26">
        <w:r>
          <w:rPr>
            <w:color w:val="199BD3"/>
            <w:u w:val="single"/>
            <w:sz w:val="15"/>
            <w:szCs w:val="15"/>
          </w:rPr>
          <w:t>https://github.com/RateLoop/RateLoop/blob/tokenless/packages/nextjs/lib/billing/plans.ts</w:t>
        </w:r>
      </w:hyperlink>
    </w:p>
    <w:p>
      <w:pPr>
        <w:spacing w:after="60"/>
      </w:pPr>
      <w:r>
        <w:rPr>
          <w:b/>
          <w:sz w:val="16"/>
        </w:rPr>
        <w:t xml:space="preserve">15. RateLoop tokenless Design of Record: </w:t>
      </w:r>
      <w:hyperlink r:id="rId27">
        <w:r>
          <w:rPr>
            <w:color w:val="199BD3"/>
            <w:u w:val="single"/>
            <w:sz w:val="15"/>
            <w:szCs w:val="15"/>
          </w:rPr>
          <w:t>https://github.com/RateLoop/RateLoop/blob/tokenless/docs/tokenless-immutable-implementation-plan-2026-07.md</w:t>
        </w:r>
      </w:hyperlink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1906" w:h="16838"/>
      <w:pgMar w:top="879" w:right="935" w:bottom="1077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A73"/>
        <w:sz w:val="15"/>
      </w:rPr>
      <w:t xml:space="preserve">Preisempfehlung  ·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A73"/>
        <w:sz w:val="15"/>
      </w:rPr>
      <w:t xml:space="preserve">Preisempfehlung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666A73"/>
        <w:sz w:val="15"/>
      </w:rPr>
      <w:t>RateLoop  /  Human Assurance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b/>
        <w:color w:val="666A73"/>
        <w:sz w:val="15"/>
      </w:rPr>
      <w:t>RateLoop  /  Human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1D1D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A0A0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9BD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A0A0A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Aptos" w:hAnsi="Aptos"/>
      <w:i/>
      <w:iCs/>
      <w:color w:val="666A73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12" w:hanging="142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51" w:hanging="159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yperlink" Target="https://langfuse.com/pricing" TargetMode="External"/><Relationship Id="rId14" Type="http://schemas.openxmlformats.org/officeDocument/2006/relationships/hyperlink" Target="https://www.braintrust.dev/pricing" TargetMode="External"/><Relationship Id="rId15" Type="http://schemas.openxmlformats.org/officeDocument/2006/relationships/hyperlink" Target="https://www.confident-ai.com/pricing" TargetMode="External"/><Relationship Id="rId16" Type="http://schemas.openxmlformats.org/officeDocument/2006/relationships/hyperlink" Target="https://www.langchain.com/pricing" TargetMode="External"/><Relationship Id="rId17" Type="http://schemas.openxmlformats.org/officeDocument/2006/relationships/hyperlink" Target="https://www.datadoghq.com/pricing/list/" TargetMode="External"/><Relationship Id="rId18" Type="http://schemas.openxmlformats.org/officeDocument/2006/relationships/hyperlink" Target="https://www.helicone.ai/pricing" TargetMode="External"/><Relationship Id="rId19" Type="http://schemas.openxmlformats.org/officeDocument/2006/relationships/hyperlink" Target="https://portkey.ai/pricing" TargetMode="External"/><Relationship Id="rId20" Type="http://schemas.openxmlformats.org/officeDocument/2006/relationships/hyperlink" Target="https://www.ibm.com/de-de/products/watsonx-governance/pricing" TargetMode="External"/><Relationship Id="rId21" Type="http://schemas.openxmlformats.org/officeDocument/2006/relationships/hyperlink" Target="https://www.prolific.com/pricing" TargetMode="External"/><Relationship Id="rId22" Type="http://schemas.openxmlformats.org/officeDocument/2006/relationships/hyperlink" Target="https://researcher-help.prolific.com/en/articles/445239-what-is-your-pricing" TargetMode="External"/><Relationship Id="rId23" Type="http://schemas.openxmlformats.org/officeDocument/2006/relationships/hyperlink" Target="https://www.bitkom.org/Presse/Presseinformation/Deutsche-Cloud-4-von-10-Unternehmen-wuerden-Abstriche-in-Kauf-nehmen" TargetMode="External"/><Relationship Id="rId24" Type="http://schemas.openxmlformats.org/officeDocument/2006/relationships/hyperlink" Target="https://www.destatis.de/DE/Themen/Branchen-Unternehmen/Unternehmen/IKT-in-Unternehmen-IKT-Branche/Tabellen/ikti-unternehmen-kuenstliche-intelligenz.html" TargetMode="External"/><Relationship Id="rId25" Type="http://schemas.openxmlformats.org/officeDocument/2006/relationships/hyperlink" Target="https://eur-lex.europa.eu/legal-content/EN/TXT/?uri=CELEX%3A32026R1744" TargetMode="External"/><Relationship Id="rId26" Type="http://schemas.openxmlformats.org/officeDocument/2006/relationships/hyperlink" Target="https://github.com/RateLoop/RateLoop/blob/tokenless/packages/nextjs/lib/billing/plans.ts" TargetMode="External"/><Relationship Id="rId27" Type="http://schemas.openxmlformats.org/officeDocument/2006/relationships/hyperlink" Target="https://github.com/RateLoop/RateLoop/blob/tokenless/docs/tokenless-immutable-implementation-plan-2026-07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