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2509"/>
        <w:gridCol w:w="2509"/>
        <w:gridCol w:w="2509"/>
        <w:gridCol w:w="2509"/>
      </w:tblGrid>
      <w:tr>
        <w:tc>
          <w:tcPr>
            <w:tcW w:type="dxa" w:w="2466"/>
            <w:shd w:fill="199BD3"/>
            <w:tcMar>
              <w:top w:w="25" w:type="dxa"/>
              <w:start w:w="0" w:type="dxa"/>
              <w:bottom w:w="25" w:type="dxa"/>
              <w:end w:w="0" w:type="dxa"/>
            </w:tcMar>
          </w:tcPr>
          <w:p/>
        </w:tc>
        <w:tc>
          <w:tcPr>
            <w:tcW w:type="dxa" w:w="2466"/>
            <w:shd w:fill="00A88A"/>
            <w:tcMar>
              <w:top w:w="25" w:type="dxa"/>
              <w:start w:w="0" w:type="dxa"/>
              <w:bottom w:w="25" w:type="dxa"/>
              <w:end w:w="0" w:type="dxa"/>
            </w:tcMar>
          </w:tcPr>
          <w:p/>
        </w:tc>
        <w:tc>
          <w:tcPr>
            <w:tcW w:type="dxa" w:w="2466"/>
            <w:shd w:fill="E6B820"/>
            <w:tcMar>
              <w:top w:w="25" w:type="dxa"/>
              <w:start w:w="0" w:type="dxa"/>
              <w:bottom w:w="25" w:type="dxa"/>
              <w:end w:w="0" w:type="dxa"/>
            </w:tcMar>
          </w:tcPr>
          <w:p/>
        </w:tc>
        <w:tc>
          <w:tcPr>
            <w:tcW w:type="dxa" w:w="2466"/>
            <w:shd w:fill="E95166"/>
            <w:tcMar>
              <w:top w:w="25" w:type="dxa"/>
              <w:start w:w="0" w:type="dxa"/>
              <w:bottom w:w="25" w:type="dxa"/>
              <w:end w:w="0" w:type="dxa"/>
            </w:tcMar>
          </w:tcPr>
          <w:p/>
        </w:tc>
      </w:tr>
    </w:tbl>
    <w:p>
      <w:pPr>
        <w:spacing w:after="0"/>
      </w:pPr>
    </w:p>
    <w:p>
      <w:pPr>
        <w:spacing w:before="320" w:after="60"/>
      </w:pPr>
      <w:r>
        <w:rPr>
          <w:rFonts w:ascii="Aptos" w:hAnsi="Aptos"/>
          <w:b/>
          <w:color w:val="199BD3"/>
          <w:sz w:val="17"/>
        </w:rPr>
        <w:t>INTERNER VERTRIEBSLEITFADEN</w:t>
      </w:r>
    </w:p>
    <w:p>
      <w:pPr>
        <w:pStyle w:val="Title"/>
      </w:pPr>
      <w:r>
        <w:t>RateLoop in Deutschland verkaufen</w:t>
      </w:r>
    </w:p>
    <w:p>
      <w:pPr>
        <w:pStyle w:val="Subtitle"/>
      </w:pPr>
      <w:r>
        <w:t>Wen ansprechen, wie überzeugen und wie aus einem konkreten Nachweisproblem ein bezahlter Pilot wird.</w:t>
      </w:r>
    </w:p>
    <w:tbl>
      <w:tblPr>
        <w:tblW w:type="auto" w:w="0"/>
        <w:jc w:val="left"/>
        <w:tblLayout w:type="fixed"/>
        <w:tblLook w:firstColumn="1" w:firstRow="1" w:lastColumn="0" w:lastRow="0" w:noHBand="0" w:noVBand="1" w:val="04A0"/>
      </w:tblPr>
      <w:tblGrid>
        <w:gridCol w:w="5102"/>
        <w:gridCol w:w="4762"/>
      </w:tblGrid>
      <w:tr>
        <w:tc>
          <w:tcPr>
            <w:tcW w:type="dxa" w:w="5018"/>
            <w:shd w:fill="F4F6F8"/>
            <w:tcMar>
              <w:top w:w="120" w:type="dxa"/>
              <w:start w:w="130" w:type="dxa"/>
              <w:bottom w:w="120" w:type="dxa"/>
              <w:end w:w="130" w:type="dxa"/>
            </w:tcMar>
          </w:tcPr>
          <w:p>
            <w:r>
              <w:rPr>
                <w:b/>
              </w:rPr>
              <w:t>Stand</w:t>
              <w:br/>
            </w:r>
            <w:r>
              <w:t>04.08.2026</w:t>
            </w:r>
          </w:p>
        </w:tc>
        <w:tc>
          <w:tcPr>
            <w:tcW w:type="dxa" w:w="5018"/>
            <w:shd w:fill="F4F6F8"/>
            <w:tcMar>
              <w:top w:w="120" w:type="dxa"/>
              <w:start w:w="130" w:type="dxa"/>
              <w:bottom w:w="120" w:type="dxa"/>
              <w:end w:w="130" w:type="dxa"/>
            </w:tcMar>
          </w:tcPr>
          <w:p>
            <w:r>
              <w:rPr>
                <w:b/>
              </w:rPr>
              <w:t>Verwendung</w:t>
              <w:br/>
            </w:r>
            <w:r>
              <w:t>Intern · belastbare Aussagen · kein Rechtsrat</w:t>
            </w:r>
          </w:p>
        </w:tc>
      </w:tr>
    </w:tbl>
    <w:tbl>
      <w:tblPr>
        <w:tblW w:type="auto" w:w="0"/>
        <w:jc w:val="left"/>
        <w:tblLook w:firstColumn="1" w:firstRow="1" w:lastColumn="0" w:lastRow="0" w:noHBand="0" w:noVBand="1" w:val="04A0"/>
      </w:tblPr>
      <w:tblGrid>
        <w:gridCol w:w="10036"/>
      </w:tblGrid>
      <w:tr>
        <w:tc>
          <w:tcPr>
            <w:tcW w:type="dxa" w:w="10036"/>
            <w:shd w:fill="0A0A0A"/>
            <w:tcMar>
              <w:top w:w="170" w:type="dxa"/>
              <w:start w:w="180" w:type="dxa"/>
              <w:bottom w:w="170" w:type="dxa"/>
              <w:end w:w="180" w:type="dxa"/>
            </w:tcMar>
          </w:tcPr>
          <w:p>
            <w:r>
              <w:rPr>
                <w:b/>
                <w:color w:val="78C7EA"/>
                <w:sz w:val="17"/>
              </w:rPr>
              <w:t>KERNENTSCHEIDUNG</w:t>
              <w:br/>
            </w:r>
            <w:r>
              <w:rPr>
                <w:b/>
                <w:color w:val="FFFFFF"/>
                <w:sz w:val="25"/>
              </w:rPr>
              <w:t>Jetzt an mittelgroße, bereits KI-nutzende B2B-Teams verkaufen, deren Freigaben in Slack, E-Mail oder Tabellen verschwinden. DSA-Plattformen separat als kontrollierte Designpartner ansprechen, bis die unreleased DSA-Produktpfade ihre Release-Gates erfüllen.</w:t>
            </w:r>
          </w:p>
        </w:tc>
      </w:tr>
    </w:tbl>
    <w:p>
      <w:pPr>
        <w:pStyle w:val="Heading2"/>
      </w:pPr>
      <w:r>
        <w:t>Die Verkaufsfrage</w:t>
      </w:r>
    </w:p>
    <w:tbl>
      <w:tblPr>
        <w:tblW w:type="auto" w:w="0"/>
        <w:tblLook w:firstColumn="1" w:firstRow="1" w:lastColumn="0" w:lastRow="0" w:noHBand="0" w:noVBand="1" w:val="04A0"/>
      </w:tblPr>
      <w:tblGrid>
        <w:gridCol w:w="10036"/>
      </w:tblGrid>
      <w:tr>
        <w:tc>
          <w:tcPr>
            <w:tcW w:type="dxa" w:w="10036"/>
            <w:shd w:fill="EAF5FB"/>
            <w:tcMar>
              <w:top w:w="140" w:type="dxa"/>
              <w:start w:w="170" w:type="dxa"/>
              <w:bottom w:w="140" w:type="dxa"/>
              <w:end w:w="170" w:type="dxa"/>
            </w:tcMar>
          </w:tcPr>
          <w:p>
            <w:r>
              <w:rPr>
                <w:b/>
                <w:color w:val="1D1D1F"/>
                <w:sz w:val="23"/>
              </w:rPr>
              <w:t>Können Sie für eine einzelne KI-Ausgabe innerhalb von zehn Minuten zeigen, wer sie nach welcher Regel geprüft hat und warum sie freigegeben, überarbeitet oder gestoppt wurde?</w:t>
            </w:r>
            <w:r>
              <w:rPr>
                <w:b w:val="0"/>
                <w:color w:val="666A73"/>
                <w:sz w:val="16"/>
              </w:rPr>
              <w:br/>
              <w:t>Wenn die Antwort eindeutig ja ist, ist RateLoop für diesen Workflow wahrscheinlich nicht nötig.</w:t>
            </w:r>
          </w:p>
        </w:tc>
      </w:tr>
    </w:tbl>
    <w:p>
      <w:pPr>
        <w:pStyle w:val="Heading2"/>
      </w:pPr>
      <w:r>
        <w:t>30-Sekunden-Pitch</w:t>
      </w:r>
    </w:p>
    <w:p>
      <w:r>
        <w:t>Viele Unternehmen prüfen kritische KI-Ausgaben heute per Slack, E-Mail oder Stichprobe. Das Problem ist nicht, dass kein Mensch beteiligt ist. Das Problem ist, dass später niemand verlässlich zeigen kann, wann geprüft wurde, welche Informationen vorlagen und warum eine Ausgabe freigegeben, überarbeitet oder gestoppt wurde. RateLoop macht daraus einen konfigurierten Prozess mit eingeladenen Prüfenden, klaren Kriterien, sichtbaren Abweichungen und einem verifizierbaren Nachweispaket. Ihr Unternehmen behält die Entscheidung und die rechtliche Verantwortung.</w:t>
      </w:r>
    </w:p>
    <w:p>
      <w:r>
        <w:br w:type="page"/>
      </w:r>
    </w:p>
    <w:p>
      <w:pPr>
        <w:spacing w:after="60"/>
      </w:pPr>
      <w:r>
        <w:rPr>
          <w:b/>
          <w:color w:val="199BD3"/>
          <w:sz w:val="16"/>
        </w:rPr>
        <w:t>WARUM JETZT</w:t>
      </w:r>
    </w:p>
    <w:p>
      <w:pPr>
        <w:pStyle w:val="Heading1"/>
      </w:pPr>
      <w:r>
        <w:t>1. Markt und Einstieg</w:t>
      </w:r>
    </w:p>
    <w:tbl>
      <w:tblPr>
        <w:tblW w:type="auto" w:w="0"/>
        <w:jc w:val="left"/>
        <w:tblLayout w:type="fixed"/>
        <w:tblLook w:firstColumn="1" w:firstRow="1" w:lastColumn="0" w:lastRow="0" w:noHBand="0" w:noVBand="1" w:val="04A0"/>
      </w:tblPr>
      <w:tblGrid>
        <w:gridCol w:w="3345"/>
        <w:gridCol w:w="3345"/>
        <w:gridCol w:w="3345"/>
      </w:tblGrid>
      <w:tr>
        <w:tc>
          <w:tcPr>
            <w:tcW w:type="dxa" w:w="3345"/>
            <w:shd w:fill="EAF5FB"/>
            <w:tcMar>
              <w:top w:w="150" w:type="dxa"/>
              <w:start w:w="130" w:type="dxa"/>
              <w:bottom w:w="150" w:type="dxa"/>
              <w:end w:w="130" w:type="dxa"/>
            </w:tcMar>
            <w:vAlign w:val="center"/>
          </w:tcPr>
          <w:p>
            <w:pPr>
              <w:jc w:val="left"/>
            </w:pPr>
            <w:r>
              <w:rPr>
                <w:b/>
                <w:color w:val="0A0A0A"/>
                <w:sz w:val="40"/>
              </w:rPr>
              <w:t>36 %</w:t>
              <w:br/>
            </w:r>
            <w:r>
              <w:rPr>
                <w:color w:val="666A73"/>
                <w:sz w:val="16"/>
              </w:rPr>
              <w:t>KI-Nutzung in Unternehmen mit 50–249 Beschäftigten, 2025</w:t>
            </w:r>
          </w:p>
        </w:tc>
        <w:tc>
          <w:tcPr>
            <w:tcW w:type="dxa" w:w="3345"/>
            <w:shd w:fill="F4F6F8"/>
            <w:tcMar>
              <w:top w:w="150" w:type="dxa"/>
              <w:start w:w="130" w:type="dxa"/>
              <w:bottom w:w="150" w:type="dxa"/>
              <w:end w:w="130" w:type="dxa"/>
            </w:tcMar>
            <w:vAlign w:val="center"/>
          </w:tcPr>
          <w:p>
            <w:pPr>
              <w:jc w:val="left"/>
            </w:pPr>
            <w:r>
              <w:rPr>
                <w:b/>
                <w:color w:val="0A0A0A"/>
                <w:sz w:val="40"/>
              </w:rPr>
              <w:t>57 %</w:t>
              <w:br/>
            </w:r>
            <w:r>
              <w:rPr>
                <w:color w:val="666A73"/>
                <w:sz w:val="16"/>
              </w:rPr>
              <w:t>KI-Nutzung ab 250 Beschäftigten, 2025</w:t>
            </w:r>
          </w:p>
        </w:tc>
        <w:tc>
          <w:tcPr>
            <w:tcW w:type="dxa" w:w="3345"/>
            <w:shd w:fill="EAF5FB"/>
            <w:tcMar>
              <w:top w:w="150" w:type="dxa"/>
              <w:start w:w="130" w:type="dxa"/>
              <w:bottom w:w="150" w:type="dxa"/>
              <w:end w:w="130" w:type="dxa"/>
            </w:tcMar>
            <w:vAlign w:val="center"/>
          </w:tcPr>
          <w:p>
            <w:pPr>
              <w:jc w:val="left"/>
            </w:pPr>
            <w:r>
              <w:rPr>
                <w:b/>
                <w:color w:val="0A0A0A"/>
                <w:sz w:val="40"/>
              </w:rPr>
              <w:t>27 %</w:t>
              <w:br/>
            </w:r>
            <w:r>
              <w:rPr>
                <w:color w:val="666A73"/>
                <w:sz w:val="16"/>
              </w:rPr>
              <w:t>der KI-Nutzer setzen KI für Workflow-Automatisierung oder Entscheidungen ein</w:t>
            </w:r>
          </w:p>
        </w:tc>
      </w:tr>
    </w:tbl>
    <w:p>
      <w:pPr>
        <w:pStyle w:val="Heading2"/>
      </w:pPr>
      <w:r>
        <w:t>Die Lücke ist operativ, nicht rhetorisch</w:t>
      </w:r>
    </w:p>
    <w:p>
      <w:pPr>
        <w:pStyle w:val="ListBullet"/>
      </w:pPr>
      <w:r>
        <w:t>KI ist bereits produktiv. Manuelle Qualitätssicherung wächst aber nicht im selben Tempo.</w:t>
      </w:r>
    </w:p>
    <w:p>
      <w:pPr>
        <w:pStyle w:val="ListBullet"/>
      </w:pPr>
      <w:r>
        <w:t>Vier-Augen-Prinzipien existieren oft als Richtlinie, nicht als abrufbarer Vorgang.</w:t>
      </w:r>
    </w:p>
    <w:p>
      <w:pPr>
        <w:pStyle w:val="ListBullet"/>
      </w:pPr>
      <w:r>
        <w:t>Datenschutz, Informationssicherheit, interne Revision, Betriebsrat oder Enterprise-Kunden fragen wiederholt nach demselben Nachweis.</w:t>
      </w:r>
    </w:p>
    <w:p>
      <w:pPr>
        <w:pStyle w:val="ListBullet"/>
      </w:pPr>
      <w:r>
        <w:t>RateLoop bindet Review-Regel, getrennte Urteile, Begründung, Abweichung und finale Go-/Überarbeiten-/Stop-Entscheidung an denselben Vorgang.</w:t>
      </w:r>
    </w:p>
    <w:p>
      <w:pPr>
        <w:pStyle w:val="Heading2"/>
      </w:pPr>
      <w:r>
        <w:t>Dringlichkeit sauber formulieren</w:t>
      </w:r>
    </w:p>
    <w:tbl>
      <w:tblPr>
        <w:tblW w:type="auto" w:w="0"/>
        <w:tblLook w:firstColumn="1" w:firstRow="1" w:lastColumn="0" w:lastRow="0" w:noHBand="0" w:noVBand="1" w:val="04A0"/>
      </w:tblPr>
      <w:tblGrid>
        <w:gridCol w:w="10036"/>
      </w:tblGrid>
      <w:tr>
        <w:tc>
          <w:tcPr>
            <w:tcW w:type="dxa" w:w="10036"/>
            <w:shd w:fill="EAF5FB"/>
            <w:tcMar>
              <w:top w:w="140" w:type="dxa"/>
              <w:start w:w="170" w:type="dxa"/>
              <w:bottom w:w="140" w:type="dxa"/>
              <w:end w:w="170" w:type="dxa"/>
            </w:tcMar>
          </w:tcPr>
          <w:p>
            <w:r>
              <w:rPr>
                <w:b/>
                <w:color w:val="1D1D1F"/>
                <w:sz w:val="23"/>
              </w:rPr>
              <w:t>KI wird bereits eingesetzt. Jetzt entsteht die Lücke zwischen einer Richtlinie auf Papier und dem Nachweis, was bei einer konkreten Ausgabe tatsächlich passiert ist.</w:t>
            </w:r>
          </w:p>
        </w:tc>
      </w:tr>
    </w:tbl>
    <w:p>
      <w:r>
        <w:t>Nicht mit einem pauschalen AI-Act-Countdown verkaufen. Artikel-50-Pflichten gelten seit 2. August 2026, aber RateLoop ist kein Kennzeichnungs- oder Offenlegungssystem. Die Hochrisiko-Pflichten für Annex-III-Systeme gelten nach der Änderung erst ab 2. Dezember 2027.</w:t>
      </w:r>
    </w:p>
    <w:p>
      <w:r>
        <w:br w:type="page"/>
      </w:r>
    </w:p>
    <w:p>
      <w:pPr>
        <w:spacing w:after="60"/>
      </w:pPr>
      <w:r>
        <w:rPr>
          <w:b/>
          <w:color w:val="199BD3"/>
          <w:sz w:val="16"/>
        </w:rPr>
        <w:t>ICP</w:t>
      </w:r>
    </w:p>
    <w:p>
      <w:pPr>
        <w:pStyle w:val="Heading1"/>
      </w:pPr>
      <w:r>
        <w:t>2. Idealkunden und Kontenpriorisierung</w:t>
      </w:r>
    </w:p>
    <w:tbl>
      <w:tblPr>
        <w:tblStyle w:val="TableGrid"/>
        <w:tblW w:type="auto" w:w="0"/>
        <w:jc w:val="left"/>
        <w:tblLayout w:type="fixed"/>
        <w:tblLook w:firstColumn="1" w:firstRow="1" w:lastColumn="0" w:lastRow="0" w:noHBand="0" w:noVBand="1" w:val="04A0"/>
      </w:tblPr>
      <w:tblGrid>
        <w:gridCol w:w="2509"/>
        <w:gridCol w:w="2509"/>
        <w:gridCol w:w="2509"/>
        <w:gridCol w:w="2509"/>
      </w:tblGrid>
      <w:tr>
        <w:trPr>
          <w:tblHeader w:val="true"/>
        </w:trPr>
        <w:tc>
          <w:tcPr>
            <w:tcW w:type="dxa" w:w="1134"/>
            <w:shd w:fill="0A0A0A"/>
            <w:tcMar>
              <w:top w:w="95" w:type="dxa"/>
              <w:start w:w="95" w:type="dxa"/>
              <w:bottom w:w="95" w:type="dxa"/>
              <w:end w:w="95" w:type="dxa"/>
            </w:tcMar>
            <w:vAlign w:val="center"/>
          </w:tcPr>
          <w:p>
            <w:r>
              <w:rPr>
                <w:b/>
                <w:color w:val="FFFFFF"/>
                <w:sz w:val="16"/>
              </w:rPr>
              <w:t>Priorität</w:t>
            </w:r>
          </w:p>
        </w:tc>
        <w:tc>
          <w:tcPr>
            <w:tcW w:type="dxa" w:w="2835"/>
            <w:shd w:fill="0A0A0A"/>
            <w:tcMar>
              <w:top w:w="95" w:type="dxa"/>
              <w:start w:w="95" w:type="dxa"/>
              <w:bottom w:w="95" w:type="dxa"/>
              <w:end w:w="95" w:type="dxa"/>
            </w:tcMar>
            <w:vAlign w:val="center"/>
          </w:tcPr>
          <w:p>
            <w:r>
              <w:rPr>
                <w:b/>
                <w:color w:val="FFFFFF"/>
                <w:sz w:val="16"/>
              </w:rPr>
              <w:t>Segment</w:t>
            </w:r>
          </w:p>
        </w:tc>
        <w:tc>
          <w:tcPr>
            <w:tcW w:type="dxa" w:w="3288"/>
            <w:shd w:fill="0A0A0A"/>
            <w:tcMar>
              <w:top w:w="95" w:type="dxa"/>
              <w:start w:w="95" w:type="dxa"/>
              <w:bottom w:w="95" w:type="dxa"/>
              <w:end w:w="95" w:type="dxa"/>
            </w:tcMar>
            <w:vAlign w:val="center"/>
          </w:tcPr>
          <w:p>
            <w:r>
              <w:rPr>
                <w:b/>
                <w:color w:val="FFFFFF"/>
                <w:sz w:val="16"/>
              </w:rPr>
              <w:t>Kaufsignal</w:t>
            </w:r>
          </w:p>
        </w:tc>
        <w:tc>
          <w:tcPr>
            <w:tcW w:type="dxa" w:w="2608"/>
            <w:shd w:fill="0A0A0A"/>
            <w:tcMar>
              <w:top w:w="95" w:type="dxa"/>
              <w:start w:w="95" w:type="dxa"/>
              <w:bottom w:w="95" w:type="dxa"/>
              <w:end w:w="95" w:type="dxa"/>
            </w:tcMar>
            <w:vAlign w:val="center"/>
          </w:tcPr>
          <w:p>
            <w:r>
              <w:rPr>
                <w:b/>
                <w:color w:val="FFFFFF"/>
                <w:sz w:val="16"/>
              </w:rPr>
              <w:t>Angebot</w:t>
            </w:r>
          </w:p>
        </w:tc>
      </w:tr>
      <w:tr>
        <w:tc>
          <w:tcPr>
            <w:tcW w:type="dxa" w:w="1134"/>
            <w:shd w:fill="FFFFFF"/>
            <w:tcMar>
              <w:top w:w="80" w:type="dxa"/>
              <w:start w:w="95" w:type="dxa"/>
              <w:bottom w:w="80" w:type="dxa"/>
              <w:end w:w="95" w:type="dxa"/>
            </w:tcMar>
          </w:tcPr>
          <w:p>
            <w:pPr>
              <w:spacing w:after="0"/>
            </w:pPr>
            <w:r>
              <w:rPr>
                <w:sz w:val="16"/>
              </w:rPr>
              <w:t>1 · jetzt</w:t>
            </w:r>
          </w:p>
        </w:tc>
        <w:tc>
          <w:tcPr>
            <w:tcW w:type="dxa" w:w="2835"/>
            <w:shd w:fill="FFFFFF"/>
            <w:tcMar>
              <w:top w:w="80" w:type="dxa"/>
              <w:start w:w="95" w:type="dxa"/>
              <w:bottom w:w="80" w:type="dxa"/>
              <w:end w:w="95" w:type="dxa"/>
            </w:tcMar>
          </w:tcPr>
          <w:p>
            <w:pPr>
              <w:spacing w:after="0"/>
            </w:pPr>
            <w:r>
              <w:rPr>
                <w:sz w:val="16"/>
              </w:rPr>
              <w:t>50–500 MA; B2B SaaS, Professional Services, Forschung, Support oder F&amp;E</w:t>
            </w:r>
          </w:p>
        </w:tc>
        <w:tc>
          <w:tcPr>
            <w:tcW w:type="dxa" w:w="3288"/>
            <w:shd w:fill="FFFFFF"/>
            <w:tcMar>
              <w:top w:w="80" w:type="dxa"/>
              <w:start w:w="95" w:type="dxa"/>
              <w:bottom w:w="80" w:type="dxa"/>
              <w:end w:w="95" w:type="dxa"/>
            </w:tcMar>
          </w:tcPr>
          <w:p>
            <w:pPr>
              <w:spacing w:after="0"/>
            </w:pPr>
            <w:r>
              <w:rPr>
                <w:sz w:val="16"/>
              </w:rPr>
              <w:t>Produktiver KI-Workflow; benannter Owner; Review in Slack/Excel; erste Evidenzfragen</w:t>
            </w:r>
          </w:p>
        </w:tc>
        <w:tc>
          <w:tcPr>
            <w:tcW w:type="dxa" w:w="2608"/>
            <w:shd w:fill="FFFFFF"/>
            <w:tcMar>
              <w:top w:w="80" w:type="dxa"/>
              <w:start w:w="95" w:type="dxa"/>
              <w:bottom w:w="80" w:type="dxa"/>
              <w:end w:w="95" w:type="dxa"/>
            </w:tcMar>
          </w:tcPr>
          <w:p>
            <w:pPr>
              <w:spacing w:after="0"/>
            </w:pPr>
            <w:r>
              <w:rPr>
                <w:sz w:val="16"/>
              </w:rPr>
              <w:t>Kontrollierter Freigabepilot</w:t>
            </w:r>
          </w:p>
        </w:tc>
      </w:tr>
      <w:tr>
        <w:tc>
          <w:tcPr>
            <w:tcW w:type="dxa" w:w="1134"/>
            <w:shd w:fill="F4F6F8"/>
            <w:tcMar>
              <w:top w:w="80" w:type="dxa"/>
              <w:start w:w="95" w:type="dxa"/>
              <w:bottom w:w="80" w:type="dxa"/>
              <w:end w:w="95" w:type="dxa"/>
            </w:tcMar>
          </w:tcPr>
          <w:p>
            <w:pPr>
              <w:spacing w:after="0"/>
            </w:pPr>
            <w:r>
              <w:rPr>
                <w:sz w:val="16"/>
              </w:rPr>
              <w:t>2 · Designpartner</w:t>
            </w:r>
          </w:p>
        </w:tc>
        <w:tc>
          <w:tcPr>
            <w:tcW w:type="dxa" w:w="2835"/>
            <w:shd w:fill="F4F6F8"/>
            <w:tcMar>
              <w:top w:w="80" w:type="dxa"/>
              <w:start w:w="95" w:type="dxa"/>
              <w:bottom w:w="80" w:type="dxa"/>
              <w:end w:w="95" w:type="dxa"/>
            </w:tcMar>
          </w:tcPr>
          <w:p>
            <w:pPr>
              <w:spacing w:after="0"/>
            </w:pPr>
            <w:r>
              <w:rPr>
                <w:sz w:val="16"/>
              </w:rPr>
              <w:t>Etablierte Online-Plattformen mit automatisierter Moderation und Beschwerden</w:t>
            </w:r>
          </w:p>
        </w:tc>
        <w:tc>
          <w:tcPr>
            <w:tcW w:type="dxa" w:w="3288"/>
            <w:shd w:fill="F4F6F8"/>
            <w:tcMar>
              <w:top w:w="80" w:type="dxa"/>
              <w:start w:w="95" w:type="dxa"/>
              <w:bottom w:w="80" w:type="dxa"/>
              <w:end w:w="95" w:type="dxa"/>
            </w:tcMar>
          </w:tcPr>
          <w:p>
            <w:pPr>
              <w:spacing w:after="0"/>
            </w:pPr>
            <w:r>
              <w:rPr>
                <w:sz w:val="16"/>
              </w:rPr>
              <w:t>Ein konkreter Policy-Bereich + Sprache; Trust-&amp;-Safety-/DSA-Owner; externer Leser</w:t>
            </w:r>
          </w:p>
        </w:tc>
        <w:tc>
          <w:tcPr>
            <w:tcW w:type="dxa" w:w="2608"/>
            <w:shd w:fill="F4F6F8"/>
            <w:tcMar>
              <w:top w:w="80" w:type="dxa"/>
              <w:start w:w="95" w:type="dxa"/>
              <w:bottom w:w="80" w:type="dxa"/>
              <w:end w:w="95" w:type="dxa"/>
            </w:tcMar>
          </w:tcPr>
          <w:p>
            <w:pPr>
              <w:spacing w:after="0"/>
            </w:pPr>
            <w:r>
              <w:rPr>
                <w:sz w:val="16"/>
              </w:rPr>
              <w:t>Kontrollierte DSA-Validierung, ausdrücklich kein released Compliance-Produkt</w:t>
            </w:r>
          </w:p>
        </w:tc>
      </w:tr>
      <w:tr>
        <w:tc>
          <w:tcPr>
            <w:tcW w:type="dxa" w:w="1134"/>
            <w:shd w:fill="FFFFFF"/>
            <w:tcMar>
              <w:top w:w="80" w:type="dxa"/>
              <w:start w:w="95" w:type="dxa"/>
              <w:bottom w:w="80" w:type="dxa"/>
              <w:end w:w="95" w:type="dxa"/>
            </w:tcMar>
          </w:tcPr>
          <w:p>
            <w:pPr>
              <w:spacing w:after="0"/>
            </w:pPr>
            <w:r>
              <w:rPr>
                <w:sz w:val="16"/>
              </w:rPr>
              <w:t>3 · Partner</w:t>
            </w:r>
          </w:p>
        </w:tc>
        <w:tc>
          <w:tcPr>
            <w:tcW w:type="dxa" w:w="2835"/>
            <w:shd w:fill="FFFFFF"/>
            <w:tcMar>
              <w:top w:w="80" w:type="dxa"/>
              <w:start w:w="95" w:type="dxa"/>
              <w:bottom w:w="80" w:type="dxa"/>
              <w:end w:w="95" w:type="dxa"/>
            </w:tcMar>
          </w:tcPr>
          <w:p>
            <w:pPr>
              <w:spacing w:after="0"/>
            </w:pPr>
            <w:r>
              <w:rPr>
                <w:sz w:val="16"/>
              </w:rPr>
              <w:t>DSA-/Datenschutzkanzleien, Audit-, GRC-, Trust-&amp;-Safety- und AI-Integrationsfirmen</w:t>
            </w:r>
          </w:p>
        </w:tc>
        <w:tc>
          <w:tcPr>
            <w:tcW w:type="dxa" w:w="3288"/>
            <w:shd w:fill="FFFFFF"/>
            <w:tcMar>
              <w:top w:w="80" w:type="dxa"/>
              <w:start w:w="95" w:type="dxa"/>
              <w:bottom w:w="80" w:type="dxa"/>
              <w:end w:w="95" w:type="dxa"/>
            </w:tcMar>
          </w:tcPr>
          <w:p>
            <w:pPr>
              <w:spacing w:after="0"/>
            </w:pPr>
            <w:r>
              <w:rPr>
                <w:sz w:val="16"/>
              </w:rPr>
              <w:t>Methodenkritik, Kundenzugang, Nachweis als wiederverwendbares Artefakt</w:t>
            </w:r>
          </w:p>
        </w:tc>
        <w:tc>
          <w:tcPr>
            <w:tcW w:type="dxa" w:w="2608"/>
            <w:shd w:fill="FFFFFF"/>
            <w:tcMar>
              <w:top w:w="80" w:type="dxa"/>
              <w:start w:w="95" w:type="dxa"/>
              <w:bottom w:w="80" w:type="dxa"/>
              <w:end w:w="95" w:type="dxa"/>
            </w:tcMar>
          </w:tcPr>
          <w:p>
            <w:pPr>
              <w:spacing w:after="0"/>
            </w:pPr>
            <w:r>
              <w:rPr>
                <w:sz w:val="16"/>
              </w:rPr>
              <w:t>Designreview und permissioned Intro</w:t>
            </w:r>
          </w:p>
        </w:tc>
      </w:tr>
      <w:tr>
        <w:tc>
          <w:tcPr>
            <w:tcW w:type="dxa" w:w="1134"/>
            <w:shd w:fill="F4F6F8"/>
            <w:tcMar>
              <w:top w:w="80" w:type="dxa"/>
              <w:start w:w="95" w:type="dxa"/>
              <w:bottom w:w="80" w:type="dxa"/>
              <w:end w:w="95" w:type="dxa"/>
            </w:tcMar>
          </w:tcPr>
          <w:p>
            <w:pPr>
              <w:spacing w:after="0"/>
            </w:pPr>
            <w:r>
              <w:rPr>
                <w:sz w:val="16"/>
              </w:rPr>
              <w:t>später</w:t>
            </w:r>
          </w:p>
        </w:tc>
        <w:tc>
          <w:tcPr>
            <w:tcW w:type="dxa" w:w="2835"/>
            <w:shd w:fill="F4F6F8"/>
            <w:tcMar>
              <w:top w:w="80" w:type="dxa"/>
              <w:start w:w="95" w:type="dxa"/>
              <w:bottom w:w="80" w:type="dxa"/>
              <w:end w:w="95" w:type="dxa"/>
            </w:tcMar>
          </w:tcPr>
          <w:p>
            <w:pPr>
              <w:spacing w:after="0"/>
            </w:pPr>
            <w:r>
              <w:rPr>
                <w:sz w:val="16"/>
              </w:rPr>
              <w:t>Öffentliche Hand, Hiring, Kredit, Gesundheit, Safety-Critical</w:t>
            </w:r>
          </w:p>
        </w:tc>
        <w:tc>
          <w:tcPr>
            <w:tcW w:type="dxa" w:w="3288"/>
            <w:shd w:fill="F4F6F8"/>
            <w:tcMar>
              <w:top w:w="80" w:type="dxa"/>
              <w:start w:w="95" w:type="dxa"/>
              <w:bottom w:w="80" w:type="dxa"/>
              <w:end w:w="95" w:type="dxa"/>
            </w:tcMar>
          </w:tcPr>
          <w:p>
            <w:pPr>
              <w:spacing w:after="0"/>
            </w:pPr>
            <w:r>
              <w:rPr>
                <w:sz w:val="16"/>
              </w:rPr>
              <w:t>Starker Pain, aber lange Beschaffung und höhere Assurance-Anforderungen</w:t>
            </w:r>
          </w:p>
        </w:tc>
        <w:tc>
          <w:tcPr>
            <w:tcW w:type="dxa" w:w="2608"/>
            <w:shd w:fill="F4F6F8"/>
            <w:tcMar>
              <w:top w:w="80" w:type="dxa"/>
              <w:start w:w="95" w:type="dxa"/>
              <w:bottom w:w="80" w:type="dxa"/>
              <w:end w:w="95" w:type="dxa"/>
            </w:tcMar>
          </w:tcPr>
          <w:p>
            <w:pPr>
              <w:spacing w:after="0"/>
            </w:pPr>
            <w:r>
              <w:rPr>
                <w:sz w:val="16"/>
              </w:rPr>
              <w:t>Erst nach Referenzen und stärkerer Sicherheitsreife</w:t>
            </w:r>
          </w:p>
        </w:tc>
      </w:tr>
    </w:tbl>
    <w:p>
      <w:pPr>
        <w:pStyle w:val="Heading2"/>
      </w:pPr>
      <w:r>
        <w:t>Account-Score: nur ab 10/16 qualifizieren</w:t>
      </w:r>
    </w:p>
    <w:p>
      <w:pPr>
        <w:pStyle w:val="ListBullet"/>
      </w:pPr>
      <w:r>
        <w:t>0–2 Punkte je Kriterium: produktiver KI-/Moderationsprozess; sichtbarer Evidenzschmerz; klarer Owner; ein pilotierbarer Workflow; autorisierte Prüfende; permissioned Zugang; erlaubte synthetische/redigierte Daten; externer Leser testet das Paket.</w:t>
      </w:r>
    </w:p>
    <w:p>
      <w:pPr>
        <w:pStyle w:val="ListBullet"/>
      </w:pPr>
      <w:r>
        <w:t>Disqualifizieren: geforderte Compliance-Garantie; zwingendes ISO/SOC/Residency-Zertifikat, das RateLoop nicht hat; Hard-Gating des Outputs; offener Reviewer-Marktplatz; keine fachlich verantwortliche Person.</w:t>
      </w:r>
    </w:p>
    <w:p>
      <w:r>
        <w:br w:type="page"/>
      </w:r>
    </w:p>
    <w:p>
      <w:pPr>
        <w:spacing w:after="60"/>
      </w:pPr>
      <w:r>
        <w:rPr>
          <w:b/>
          <w:color w:val="199BD3"/>
          <w:sz w:val="16"/>
        </w:rPr>
        <w:t>WER ENTSCHEIDET</w:t>
      </w:r>
    </w:p>
    <w:p>
      <w:pPr>
        <w:pStyle w:val="Heading1"/>
      </w:pPr>
      <w:r>
        <w:t>3. Buying Center und Auslöser</w:t>
      </w:r>
    </w:p>
    <w:tbl>
      <w:tblPr>
        <w:tblStyle w:val="TableGrid"/>
        <w:tblW w:type="auto" w:w="0"/>
        <w:jc w:val="left"/>
        <w:tblLayout w:type="fixed"/>
        <w:tblLook w:firstColumn="1" w:firstRow="1" w:lastColumn="0" w:lastRow="0" w:noHBand="0" w:noVBand="1" w:val="04A0"/>
      </w:tblPr>
      <w:tblGrid>
        <w:gridCol w:w="3345"/>
        <w:gridCol w:w="3345"/>
        <w:gridCol w:w="3345"/>
      </w:tblGrid>
      <w:tr>
        <w:trPr>
          <w:tblHeader w:val="true"/>
        </w:trPr>
        <w:tc>
          <w:tcPr>
            <w:tcW w:type="dxa" w:w="1701"/>
            <w:shd w:fill="0A0A0A"/>
            <w:tcMar>
              <w:top w:w="95" w:type="dxa"/>
              <w:start w:w="95" w:type="dxa"/>
              <w:bottom w:w="95" w:type="dxa"/>
              <w:end w:w="95" w:type="dxa"/>
            </w:tcMar>
            <w:vAlign w:val="center"/>
          </w:tcPr>
          <w:p>
            <w:r>
              <w:rPr>
                <w:b/>
                <w:color w:val="FFFFFF"/>
                <w:sz w:val="16"/>
              </w:rPr>
              <w:t>Rolle</w:t>
            </w:r>
          </w:p>
        </w:tc>
        <w:tc>
          <w:tcPr>
            <w:tcW w:type="dxa" w:w="2948"/>
            <w:shd w:fill="0A0A0A"/>
            <w:tcMar>
              <w:top w:w="95" w:type="dxa"/>
              <w:start w:w="95" w:type="dxa"/>
              <w:bottom w:w="95" w:type="dxa"/>
              <w:end w:w="95" w:type="dxa"/>
            </w:tcMar>
            <w:vAlign w:val="center"/>
          </w:tcPr>
          <w:p>
            <w:r>
              <w:rPr>
                <w:b/>
                <w:color w:val="FFFFFF"/>
                <w:sz w:val="16"/>
              </w:rPr>
              <w:t>Typischer Titel</w:t>
            </w:r>
          </w:p>
        </w:tc>
        <w:tc>
          <w:tcPr>
            <w:tcW w:type="dxa" w:w="5216"/>
            <w:shd w:fill="0A0A0A"/>
            <w:tcMar>
              <w:top w:w="95" w:type="dxa"/>
              <w:start w:w="95" w:type="dxa"/>
              <w:bottom w:w="95" w:type="dxa"/>
              <w:end w:w="95" w:type="dxa"/>
            </w:tcMar>
            <w:vAlign w:val="center"/>
          </w:tcPr>
          <w:p>
            <w:r>
              <w:rPr>
                <w:b/>
                <w:color w:val="FFFFFF"/>
                <w:sz w:val="16"/>
              </w:rPr>
              <w:t>Was diese Person gewinnen muss</w:t>
            </w:r>
          </w:p>
        </w:tc>
      </w:tr>
      <w:tr>
        <w:tc>
          <w:tcPr>
            <w:tcW w:type="dxa" w:w="1701"/>
            <w:shd w:fill="FFFFFF"/>
            <w:tcMar>
              <w:top w:w="80" w:type="dxa"/>
              <w:start w:w="95" w:type="dxa"/>
              <w:bottom w:w="80" w:type="dxa"/>
              <w:end w:w="95" w:type="dxa"/>
            </w:tcMar>
          </w:tcPr>
          <w:p>
            <w:pPr>
              <w:spacing w:after="0"/>
            </w:pPr>
            <w:r>
              <w:rPr>
                <w:sz w:val="16"/>
              </w:rPr>
              <w:t>Champion</w:t>
            </w:r>
          </w:p>
        </w:tc>
        <w:tc>
          <w:tcPr>
            <w:tcW w:type="dxa" w:w="2948"/>
            <w:shd w:fill="FFFFFF"/>
            <w:tcMar>
              <w:top w:w="80" w:type="dxa"/>
              <w:start w:w="95" w:type="dxa"/>
              <w:bottom w:w="80" w:type="dxa"/>
              <w:end w:w="95" w:type="dxa"/>
            </w:tcMar>
          </w:tcPr>
          <w:p>
            <w:pPr>
              <w:spacing w:after="0"/>
            </w:pPr>
            <w:r>
              <w:rPr>
                <w:sz w:val="16"/>
              </w:rPr>
              <w:t>AI/Automation Owner, Head of Quality, Trust &amp; Safety, Operations</w:t>
            </w:r>
          </w:p>
        </w:tc>
        <w:tc>
          <w:tcPr>
            <w:tcW w:type="dxa" w:w="5216"/>
            <w:shd w:fill="FFFFFF"/>
            <w:tcMar>
              <w:top w:w="80" w:type="dxa"/>
              <w:start w:w="95" w:type="dxa"/>
              <w:bottom w:w="80" w:type="dxa"/>
              <w:end w:w="95" w:type="dxa"/>
            </w:tcMar>
          </w:tcPr>
          <w:p>
            <w:pPr>
              <w:spacing w:after="0"/>
            </w:pPr>
            <w:r>
              <w:rPr>
                <w:sz w:val="16"/>
              </w:rPr>
              <w:t>Weniger Koordination; klare Eskalation; schneller abrufbarer Prüfpfad</w:t>
            </w:r>
          </w:p>
        </w:tc>
      </w:tr>
      <w:tr>
        <w:tc>
          <w:tcPr>
            <w:tcW w:type="dxa" w:w="1701"/>
            <w:shd w:fill="F4F6F8"/>
            <w:tcMar>
              <w:top w:w="80" w:type="dxa"/>
              <w:start w:w="95" w:type="dxa"/>
              <w:bottom w:w="80" w:type="dxa"/>
              <w:end w:w="95" w:type="dxa"/>
            </w:tcMar>
          </w:tcPr>
          <w:p>
            <w:pPr>
              <w:spacing w:after="0"/>
            </w:pPr>
            <w:r>
              <w:rPr>
                <w:sz w:val="16"/>
              </w:rPr>
              <w:t>Economic Buyer</w:t>
            </w:r>
          </w:p>
        </w:tc>
        <w:tc>
          <w:tcPr>
            <w:tcW w:type="dxa" w:w="2948"/>
            <w:shd w:fill="F4F6F8"/>
            <w:tcMar>
              <w:top w:w="80" w:type="dxa"/>
              <w:start w:w="95" w:type="dxa"/>
              <w:bottom w:w="80" w:type="dxa"/>
              <w:end w:w="95" w:type="dxa"/>
            </w:tcMar>
          </w:tcPr>
          <w:p>
            <w:pPr>
              <w:spacing w:after="0"/>
            </w:pPr>
            <w:r>
              <w:rPr>
                <w:sz w:val="16"/>
              </w:rPr>
              <w:t>CPO/CTO, VP Operations, Head of Compliance</w:t>
            </w:r>
          </w:p>
        </w:tc>
        <w:tc>
          <w:tcPr>
            <w:tcW w:type="dxa" w:w="5216"/>
            <w:shd w:fill="F4F6F8"/>
            <w:tcMar>
              <w:top w:w="80" w:type="dxa"/>
              <w:start w:w="95" w:type="dxa"/>
              <w:bottom w:w="80" w:type="dxa"/>
              <w:end w:w="95" w:type="dxa"/>
            </w:tcMar>
          </w:tcPr>
          <w:p>
            <w:pPr>
              <w:spacing w:after="0"/>
            </w:pPr>
            <w:r>
              <w:rPr>
                <w:sz w:val="16"/>
              </w:rPr>
              <w:t>Begrenztes Pilotrisiko; nachvollziehbarer Business Case; kein Lock-in</w:t>
            </w:r>
          </w:p>
        </w:tc>
      </w:tr>
      <w:tr>
        <w:tc>
          <w:tcPr>
            <w:tcW w:type="dxa" w:w="1701"/>
            <w:shd w:fill="FFFFFF"/>
            <w:tcMar>
              <w:top w:w="80" w:type="dxa"/>
              <w:start w:w="95" w:type="dxa"/>
              <w:bottom w:w="80" w:type="dxa"/>
              <w:end w:w="95" w:type="dxa"/>
            </w:tcMar>
          </w:tcPr>
          <w:p>
            <w:pPr>
              <w:spacing w:after="0"/>
            </w:pPr>
            <w:r>
              <w:rPr>
                <w:sz w:val="16"/>
              </w:rPr>
              <w:t>Blocker/Prüfer</w:t>
            </w:r>
          </w:p>
        </w:tc>
        <w:tc>
          <w:tcPr>
            <w:tcW w:type="dxa" w:w="2948"/>
            <w:shd w:fill="FFFFFF"/>
            <w:tcMar>
              <w:top w:w="80" w:type="dxa"/>
              <w:start w:w="95" w:type="dxa"/>
              <w:bottom w:w="80" w:type="dxa"/>
              <w:end w:w="95" w:type="dxa"/>
            </w:tcMar>
          </w:tcPr>
          <w:p>
            <w:pPr>
              <w:spacing w:after="0"/>
            </w:pPr>
            <w:r>
              <w:rPr>
                <w:sz w:val="16"/>
              </w:rPr>
              <w:t>DPO, Security, Procurement, Betriebsrat</w:t>
            </w:r>
          </w:p>
        </w:tc>
        <w:tc>
          <w:tcPr>
            <w:tcW w:type="dxa" w:w="5216"/>
            <w:shd w:fill="FFFFFF"/>
            <w:tcMar>
              <w:top w:w="80" w:type="dxa"/>
              <w:start w:w="95" w:type="dxa"/>
              <w:bottom w:w="80" w:type="dxa"/>
              <w:end w:w="95" w:type="dxa"/>
            </w:tcMar>
          </w:tcPr>
          <w:p>
            <w:pPr>
              <w:spacing w:after="0"/>
            </w:pPr>
            <w:r>
              <w:rPr>
                <w:sz w:val="16"/>
              </w:rPr>
              <w:t>Zweckbindung, Zugriff, Datenwege, Löschung, belastbare Claims</w:t>
            </w:r>
          </w:p>
        </w:tc>
      </w:tr>
      <w:tr>
        <w:tc>
          <w:tcPr>
            <w:tcW w:type="dxa" w:w="1701"/>
            <w:shd w:fill="F4F6F8"/>
            <w:tcMar>
              <w:top w:w="80" w:type="dxa"/>
              <w:start w:w="95" w:type="dxa"/>
              <w:bottom w:w="80" w:type="dxa"/>
              <w:end w:w="95" w:type="dxa"/>
            </w:tcMar>
          </w:tcPr>
          <w:p>
            <w:pPr>
              <w:spacing w:after="0"/>
            </w:pPr>
            <w:r>
              <w:rPr>
                <w:sz w:val="16"/>
              </w:rPr>
              <w:t>Adverse Reader</w:t>
            </w:r>
          </w:p>
        </w:tc>
        <w:tc>
          <w:tcPr>
            <w:tcW w:type="dxa" w:w="2948"/>
            <w:shd w:fill="F4F6F8"/>
            <w:tcMar>
              <w:top w:w="80" w:type="dxa"/>
              <w:start w:w="95" w:type="dxa"/>
              <w:bottom w:w="80" w:type="dxa"/>
              <w:end w:w="95" w:type="dxa"/>
            </w:tcMar>
          </w:tcPr>
          <w:p>
            <w:pPr>
              <w:spacing w:after="0"/>
            </w:pPr>
            <w:r>
              <w:rPr>
                <w:sz w:val="16"/>
              </w:rPr>
              <w:t>Interne Revision, Kunde, externe Auditorganisation</w:t>
            </w:r>
          </w:p>
        </w:tc>
        <w:tc>
          <w:tcPr>
            <w:tcW w:type="dxa" w:w="5216"/>
            <w:shd w:fill="F4F6F8"/>
            <w:tcMar>
              <w:top w:w="80" w:type="dxa"/>
              <w:start w:w="95" w:type="dxa"/>
              <w:bottom w:w="80" w:type="dxa"/>
              <w:end w:w="95" w:type="dxa"/>
            </w:tcMar>
          </w:tcPr>
          <w:p>
            <w:pPr>
              <w:spacing w:after="0"/>
            </w:pPr>
            <w:r>
              <w:rPr>
                <w:sz w:val="16"/>
              </w:rPr>
              <w:t>Paket offline prüfen; Umfang und Grenzen reproduzieren</w:t>
            </w:r>
          </w:p>
        </w:tc>
      </w:tr>
      <w:tr>
        <w:tc>
          <w:tcPr>
            <w:tcW w:type="dxa" w:w="1701"/>
            <w:shd w:fill="FFFFFF"/>
            <w:tcMar>
              <w:top w:w="80" w:type="dxa"/>
              <w:start w:w="95" w:type="dxa"/>
              <w:bottom w:w="80" w:type="dxa"/>
              <w:end w:w="95" w:type="dxa"/>
            </w:tcMar>
          </w:tcPr>
          <w:p>
            <w:pPr>
              <w:spacing w:after="0"/>
            </w:pPr>
            <w:r>
              <w:rPr>
                <w:sz w:val="16"/>
              </w:rPr>
              <w:t>Nutzer</w:t>
            </w:r>
          </w:p>
        </w:tc>
        <w:tc>
          <w:tcPr>
            <w:tcW w:type="dxa" w:w="2948"/>
            <w:shd w:fill="FFFFFF"/>
            <w:tcMar>
              <w:top w:w="80" w:type="dxa"/>
              <w:start w:w="95" w:type="dxa"/>
              <w:bottom w:w="80" w:type="dxa"/>
              <w:end w:w="95" w:type="dxa"/>
            </w:tcMar>
          </w:tcPr>
          <w:p>
            <w:pPr>
              <w:spacing w:after="0"/>
            </w:pPr>
            <w:r>
              <w:rPr>
                <w:sz w:val="16"/>
              </w:rPr>
              <w:t>Benannte Prüfer und fachlicher Decision Owner</w:t>
            </w:r>
          </w:p>
        </w:tc>
        <w:tc>
          <w:tcPr>
            <w:tcW w:type="dxa" w:w="5216"/>
            <w:shd w:fill="FFFFFF"/>
            <w:tcMar>
              <w:top w:w="80" w:type="dxa"/>
              <w:start w:w="95" w:type="dxa"/>
              <w:bottom w:w="80" w:type="dxa"/>
              <w:end w:w="95" w:type="dxa"/>
            </w:tcMar>
          </w:tcPr>
          <w:p>
            <w:pPr>
              <w:spacing w:after="0"/>
            </w:pPr>
            <w:r>
              <w:rPr>
                <w:sz w:val="16"/>
              </w:rPr>
              <w:t>Kriterien verstehen; getrennt urteilen; echte Go-/Überarbeiten-/Stop-Autorität</w:t>
            </w:r>
          </w:p>
        </w:tc>
      </w:tr>
    </w:tbl>
    <w:p>
      <w:pPr>
        <w:pStyle w:val="Heading2"/>
      </w:pPr>
      <w:r>
        <w:t>Gute Trigger</w:t>
      </w:r>
    </w:p>
    <w:p>
      <w:pPr>
        <w:pStyle w:val="ListBullet"/>
      </w:pPr>
      <w:r>
        <w:t>Ein neuer LLM-/Agenten-Workflow geht von internem Test in Kundenkontakt.</w:t>
      </w:r>
    </w:p>
    <w:p>
      <w:pPr>
        <w:pStyle w:val="ListBullet"/>
      </w:pPr>
      <w:r>
        <w:t>Ein Enterprise-Kunde, DPO, Betriebsrat oder Audit fragt nach konkreten Freigaben statt einer Richtlinie.</w:t>
      </w:r>
    </w:p>
    <w:p>
      <w:pPr>
        <w:pStyle w:val="ListBullet"/>
      </w:pPr>
      <w:r>
        <w:t>Beschwerden, Overrides oder uneinheitliche Review-Kriterien häufen sich.</w:t>
      </w:r>
    </w:p>
    <w:p>
      <w:pPr>
        <w:pStyle w:val="ListBullet"/>
      </w:pPr>
      <w:r>
        <w:t>Ein Team kann einen strittigen Fall nicht in zehn Minuten rekonstruieren.</w:t>
      </w:r>
    </w:p>
    <w:p>
      <w:pPr>
        <w:pStyle w:val="Heading2"/>
      </w:pPr>
      <w:r>
        <w:t>Früh einbeziehen</w:t>
      </w:r>
    </w:p>
    <w:p>
      <w:r>
        <w:t>Bei Beschäftigtendaten oder möglicher Leistungskontrolle Betriebsrat und Datenschutz früh einbinden; Zweck, Daten, Rollen, Retention und menschliche Verantwortung im Pilot fixieren.</w:t>
      </w:r>
    </w:p>
    <w:p>
      <w:r>
        <w:br w:type="page"/>
      </w:r>
    </w:p>
    <w:p>
      <w:pPr>
        <w:spacing w:after="60"/>
      </w:pPr>
      <w:r>
        <w:rPr>
          <w:b/>
          <w:color w:val="199BD3"/>
          <w:sz w:val="16"/>
        </w:rPr>
        <w:t>PROBLEM → BEWEIS → NÄCHSTER SCHRITT</w:t>
      </w:r>
    </w:p>
    <w:p>
      <w:pPr>
        <w:pStyle w:val="Heading1"/>
      </w:pPr>
      <w:r>
        <w:t>4. Gesprächsführung</w:t>
      </w:r>
    </w:p>
    <w:p>
      <w:pPr>
        <w:pStyle w:val="Heading2"/>
      </w:pPr>
      <w:r>
        <w:t>Einstieg</w:t>
      </w:r>
    </w:p>
    <w:tbl>
      <w:tblPr>
        <w:tblW w:type="auto" w:w="0"/>
        <w:tblLook w:firstColumn="1" w:firstRow="1" w:lastColumn="0" w:lastRow="0" w:noHBand="0" w:noVBand="1" w:val="04A0"/>
      </w:tblPr>
      <w:tblGrid>
        <w:gridCol w:w="10036"/>
      </w:tblGrid>
      <w:tr>
        <w:tc>
          <w:tcPr>
            <w:tcW w:type="dxa" w:w="10036"/>
            <w:shd w:fill="EAF5FB"/>
            <w:tcMar>
              <w:top w:w="140" w:type="dxa"/>
              <w:start w:w="170" w:type="dxa"/>
              <w:bottom w:w="140" w:type="dxa"/>
              <w:end w:w="170" w:type="dxa"/>
            </w:tcMar>
          </w:tcPr>
          <w:p>
            <w:r>
              <w:rPr>
                <w:b/>
                <w:color w:val="1D1D1F"/>
                <w:sz w:val="23"/>
              </w:rPr>
              <w:t>Ich möchte keinen allgemeinen Produktvortrag halten. Zeigen Sie mir einen KI-Workflow, bei dem ein Mensch heute ohnehin entscheiden muss. Wir prüfen, ob dieser Entscheidungsweg in zehn Minuten rekonstruierbar ist.</w:t>
            </w:r>
          </w:p>
        </w:tc>
      </w:tr>
    </w:tbl>
    <w:p>
      <w:pPr>
        <w:pStyle w:val="Heading2"/>
      </w:pPr>
      <w:r>
        <w:t>Discovery: zuerst operativ, dann rechtlich</w:t>
      </w:r>
    </w:p>
    <w:tbl>
      <w:tblPr>
        <w:tblStyle w:val="TableGrid"/>
        <w:tblW w:type="auto" w:w="0"/>
        <w:jc w:val="left"/>
        <w:tblLayout w:type="fixed"/>
        <w:tblLook w:firstColumn="1" w:firstRow="1" w:lastColumn="0" w:lastRow="0" w:noHBand="0" w:noVBand="1" w:val="04A0"/>
      </w:tblPr>
      <w:tblGrid>
        <w:gridCol w:w="5018"/>
        <w:gridCol w:w="5018"/>
      </w:tblGrid>
      <w:tr>
        <w:trPr>
          <w:tblHeader w:val="true"/>
        </w:trPr>
        <w:tc>
          <w:tcPr>
            <w:tcW w:type="dxa" w:w="5953"/>
            <w:shd w:fill="0A0A0A"/>
            <w:tcMar>
              <w:top w:w="95" w:type="dxa"/>
              <w:start w:w="95" w:type="dxa"/>
              <w:bottom w:w="95" w:type="dxa"/>
              <w:end w:w="95" w:type="dxa"/>
            </w:tcMar>
            <w:vAlign w:val="center"/>
          </w:tcPr>
          <w:p>
            <w:r>
              <w:rPr>
                <w:b/>
                <w:color w:val="FFFFFF"/>
                <w:sz w:val="16"/>
              </w:rPr>
              <w:t>Frage</w:t>
            </w:r>
          </w:p>
        </w:tc>
        <w:tc>
          <w:tcPr>
            <w:tcW w:type="dxa" w:w="3912"/>
            <w:shd w:fill="0A0A0A"/>
            <w:tcMar>
              <w:top w:w="95" w:type="dxa"/>
              <w:start w:w="95" w:type="dxa"/>
              <w:bottom w:w="95" w:type="dxa"/>
              <w:end w:w="95" w:type="dxa"/>
            </w:tcMar>
            <w:vAlign w:val="center"/>
          </w:tcPr>
          <w:p>
            <w:r>
              <w:rPr>
                <w:b/>
                <w:color w:val="FFFFFF"/>
                <w:sz w:val="16"/>
              </w:rPr>
              <w:t>Was sie aufdeckt</w:t>
            </w:r>
          </w:p>
        </w:tc>
      </w:tr>
      <w:tr>
        <w:tc>
          <w:tcPr>
            <w:tcW w:type="dxa" w:w="5953"/>
            <w:shd w:fill="FFFFFF"/>
            <w:tcMar>
              <w:top w:w="80" w:type="dxa"/>
              <w:start w:w="95" w:type="dxa"/>
              <w:bottom w:w="80" w:type="dxa"/>
              <w:end w:w="95" w:type="dxa"/>
            </w:tcMar>
          </w:tcPr>
          <w:p>
            <w:pPr>
              <w:spacing w:after="0"/>
            </w:pPr>
            <w:r>
              <w:rPr>
                <w:sz w:val="16"/>
              </w:rPr>
              <w:t>Welche KI-Ausgabe beeinflusst Kunden, Mitarbeitende, Verträge oder wichtige interne Entscheidungen?</w:t>
            </w:r>
          </w:p>
        </w:tc>
        <w:tc>
          <w:tcPr>
            <w:tcW w:type="dxa" w:w="3912"/>
            <w:shd w:fill="FFFFFF"/>
            <w:tcMar>
              <w:top w:w="80" w:type="dxa"/>
              <w:start w:w="95" w:type="dxa"/>
              <w:bottom w:w="80" w:type="dxa"/>
              <w:end w:w="95" w:type="dxa"/>
            </w:tcMar>
          </w:tcPr>
          <w:p>
            <w:pPr>
              <w:spacing w:after="0"/>
            </w:pPr>
            <w:r>
              <w:rPr>
                <w:sz w:val="16"/>
              </w:rPr>
              <w:t>Konkreter Workflow und Schaden</w:t>
            </w:r>
          </w:p>
        </w:tc>
      </w:tr>
      <w:tr>
        <w:tc>
          <w:tcPr>
            <w:tcW w:type="dxa" w:w="5953"/>
            <w:shd w:fill="F4F6F8"/>
            <w:tcMar>
              <w:top w:w="80" w:type="dxa"/>
              <w:start w:w="95" w:type="dxa"/>
              <w:bottom w:w="80" w:type="dxa"/>
              <w:end w:w="95" w:type="dxa"/>
            </w:tcMar>
          </w:tcPr>
          <w:p>
            <w:pPr>
              <w:spacing w:after="0"/>
            </w:pPr>
            <w:r>
              <w:rPr>
                <w:sz w:val="16"/>
              </w:rPr>
              <w:t>Wann muss heute ein Mensch eingeschaltet werden – und wer darf stoppen?</w:t>
            </w:r>
          </w:p>
        </w:tc>
        <w:tc>
          <w:tcPr>
            <w:tcW w:type="dxa" w:w="3912"/>
            <w:shd w:fill="F4F6F8"/>
            <w:tcMar>
              <w:top w:w="80" w:type="dxa"/>
              <w:start w:w="95" w:type="dxa"/>
              <w:bottom w:w="80" w:type="dxa"/>
              <w:end w:w="95" w:type="dxa"/>
            </w:tcMar>
          </w:tcPr>
          <w:p>
            <w:pPr>
              <w:spacing w:after="0"/>
            </w:pPr>
            <w:r>
              <w:rPr>
                <w:sz w:val="16"/>
              </w:rPr>
              <w:t>Trigger und echte Autorität</w:t>
            </w:r>
          </w:p>
        </w:tc>
      </w:tr>
      <w:tr>
        <w:tc>
          <w:tcPr>
            <w:tcW w:type="dxa" w:w="5953"/>
            <w:shd w:fill="FFFFFF"/>
            <w:tcMar>
              <w:top w:w="80" w:type="dxa"/>
              <w:start w:w="95" w:type="dxa"/>
              <w:bottom w:w="80" w:type="dxa"/>
              <w:end w:w="95" w:type="dxa"/>
            </w:tcMar>
          </w:tcPr>
          <w:p>
            <w:pPr>
              <w:spacing w:after="0"/>
            </w:pPr>
            <w:r>
              <w:rPr>
                <w:sz w:val="16"/>
              </w:rPr>
              <w:t>Nach welchen Kriterien wird entschieden?</w:t>
            </w:r>
          </w:p>
        </w:tc>
        <w:tc>
          <w:tcPr>
            <w:tcW w:type="dxa" w:w="3912"/>
            <w:shd w:fill="FFFFFF"/>
            <w:tcMar>
              <w:top w:w="80" w:type="dxa"/>
              <w:start w:w="95" w:type="dxa"/>
              <w:bottom w:w="80" w:type="dxa"/>
              <w:end w:w="95" w:type="dxa"/>
            </w:tcMar>
          </w:tcPr>
          <w:p>
            <w:pPr>
              <w:spacing w:after="0"/>
            </w:pPr>
            <w:r>
              <w:rPr>
                <w:sz w:val="16"/>
              </w:rPr>
              <w:t>Rubrik und Variabilität</w:t>
            </w:r>
          </w:p>
        </w:tc>
      </w:tr>
      <w:tr>
        <w:tc>
          <w:tcPr>
            <w:tcW w:type="dxa" w:w="5953"/>
            <w:shd w:fill="F4F6F8"/>
            <w:tcMar>
              <w:top w:w="80" w:type="dxa"/>
              <w:start w:w="95" w:type="dxa"/>
              <w:bottom w:w="80" w:type="dxa"/>
              <w:end w:w="95" w:type="dxa"/>
            </w:tcMar>
          </w:tcPr>
          <w:p>
            <w:pPr>
              <w:spacing w:after="0"/>
            </w:pPr>
            <w:r>
              <w:rPr>
                <w:sz w:val="16"/>
              </w:rPr>
              <w:t>Was passiert bei Uneinigkeit, fehlender Antwort oder Timeout?</w:t>
            </w:r>
          </w:p>
        </w:tc>
        <w:tc>
          <w:tcPr>
            <w:tcW w:type="dxa" w:w="3912"/>
            <w:shd w:fill="F4F6F8"/>
            <w:tcMar>
              <w:top w:w="80" w:type="dxa"/>
              <w:start w:w="95" w:type="dxa"/>
              <w:bottom w:w="80" w:type="dxa"/>
              <w:end w:w="95" w:type="dxa"/>
            </w:tcMar>
          </w:tcPr>
          <w:p>
            <w:pPr>
              <w:spacing w:after="0"/>
            </w:pPr>
            <w:r>
              <w:rPr>
                <w:sz w:val="16"/>
              </w:rPr>
              <w:t>Eskalation und Terminalität</w:t>
            </w:r>
          </w:p>
        </w:tc>
      </w:tr>
      <w:tr>
        <w:tc>
          <w:tcPr>
            <w:tcW w:type="dxa" w:w="5953"/>
            <w:shd w:fill="FFFFFF"/>
            <w:tcMar>
              <w:top w:w="80" w:type="dxa"/>
              <w:start w:w="95" w:type="dxa"/>
              <w:bottom w:w="80" w:type="dxa"/>
              <w:end w:w="95" w:type="dxa"/>
            </w:tcMar>
          </w:tcPr>
          <w:p>
            <w:pPr>
              <w:spacing w:after="0"/>
            </w:pPr>
            <w:r>
              <w:rPr>
                <w:sz w:val="16"/>
              </w:rPr>
              <w:t>Wie lange dauert es, einen einzelnen Fall vollständig zu rekonstruieren?</w:t>
            </w:r>
          </w:p>
        </w:tc>
        <w:tc>
          <w:tcPr>
            <w:tcW w:type="dxa" w:w="3912"/>
            <w:shd w:fill="FFFFFF"/>
            <w:tcMar>
              <w:top w:w="80" w:type="dxa"/>
              <w:start w:w="95" w:type="dxa"/>
              <w:bottom w:w="80" w:type="dxa"/>
              <w:end w:w="95" w:type="dxa"/>
            </w:tcMar>
          </w:tcPr>
          <w:p>
            <w:pPr>
              <w:spacing w:after="0"/>
            </w:pPr>
            <w:r>
              <w:rPr>
                <w:sz w:val="16"/>
              </w:rPr>
              <w:t>Baseline für den Pilot</w:t>
            </w:r>
          </w:p>
        </w:tc>
      </w:tr>
      <w:tr>
        <w:tc>
          <w:tcPr>
            <w:tcW w:type="dxa" w:w="5953"/>
            <w:shd w:fill="F4F6F8"/>
            <w:tcMar>
              <w:top w:w="80" w:type="dxa"/>
              <w:start w:w="95" w:type="dxa"/>
              <w:bottom w:w="80" w:type="dxa"/>
              <w:end w:w="95" w:type="dxa"/>
            </w:tcMar>
          </w:tcPr>
          <w:p>
            <w:pPr>
              <w:spacing w:after="0"/>
            </w:pPr>
            <w:r>
              <w:rPr>
                <w:sz w:val="16"/>
              </w:rPr>
              <w:t>Welche Nachweise verlangen DPO, Security, Revision, Betriebsrat oder Kunden?</w:t>
            </w:r>
          </w:p>
        </w:tc>
        <w:tc>
          <w:tcPr>
            <w:tcW w:type="dxa" w:w="3912"/>
            <w:shd w:fill="F4F6F8"/>
            <w:tcMar>
              <w:top w:w="80" w:type="dxa"/>
              <w:start w:w="95" w:type="dxa"/>
              <w:bottom w:w="80" w:type="dxa"/>
              <w:end w:w="95" w:type="dxa"/>
            </w:tcMar>
          </w:tcPr>
          <w:p>
            <w:pPr>
              <w:spacing w:after="0"/>
            </w:pPr>
            <w:r>
              <w:rPr>
                <w:sz w:val="16"/>
              </w:rPr>
              <w:t>Adverse Reader und kaufrelevantes Artefakt</w:t>
            </w:r>
          </w:p>
        </w:tc>
      </w:tr>
      <w:tr>
        <w:tc>
          <w:tcPr>
            <w:tcW w:type="dxa" w:w="5953"/>
            <w:shd w:fill="FFFFFF"/>
            <w:tcMar>
              <w:top w:w="80" w:type="dxa"/>
              <w:start w:w="95" w:type="dxa"/>
              <w:bottom w:w="80" w:type="dxa"/>
              <w:end w:w="95" w:type="dxa"/>
            </w:tcMar>
          </w:tcPr>
          <w:p>
            <w:pPr>
              <w:spacing w:after="0"/>
            </w:pPr>
            <w:r>
              <w:rPr>
                <w:sz w:val="16"/>
              </w:rPr>
              <w:t>Welche Inhalte dürfen benannte Prüfende sehen?</w:t>
            </w:r>
          </w:p>
        </w:tc>
        <w:tc>
          <w:tcPr>
            <w:tcW w:type="dxa" w:w="3912"/>
            <w:shd w:fill="FFFFFF"/>
            <w:tcMar>
              <w:top w:w="80" w:type="dxa"/>
              <w:start w:w="95" w:type="dxa"/>
              <w:bottom w:w="80" w:type="dxa"/>
              <w:end w:w="95" w:type="dxa"/>
            </w:tcMar>
          </w:tcPr>
          <w:p>
            <w:pPr>
              <w:spacing w:after="0"/>
            </w:pPr>
            <w:r>
              <w:rPr>
                <w:sz w:val="16"/>
              </w:rPr>
              <w:t>Daten- und Berechtigungsgrenze</w:t>
            </w:r>
          </w:p>
        </w:tc>
      </w:tr>
      <w:tr>
        <w:tc>
          <w:tcPr>
            <w:tcW w:type="dxa" w:w="5953"/>
            <w:shd w:fill="F4F6F8"/>
            <w:tcMar>
              <w:top w:w="80" w:type="dxa"/>
              <w:start w:w="95" w:type="dxa"/>
              <w:bottom w:w="80" w:type="dxa"/>
              <w:end w:w="95" w:type="dxa"/>
            </w:tcMar>
          </w:tcPr>
          <w:p>
            <w:pPr>
              <w:spacing w:after="0"/>
            </w:pPr>
            <w:r>
              <w:rPr>
                <w:sz w:val="16"/>
              </w:rPr>
              <w:t>Welches messbare Ergebnis rechtfertigt einen bezahlten Folgeauftrag?</w:t>
            </w:r>
          </w:p>
        </w:tc>
        <w:tc>
          <w:tcPr>
            <w:tcW w:type="dxa" w:w="3912"/>
            <w:shd w:fill="F4F6F8"/>
            <w:tcMar>
              <w:top w:w="80" w:type="dxa"/>
              <w:start w:w="95" w:type="dxa"/>
              <w:bottom w:w="80" w:type="dxa"/>
              <w:end w:w="95" w:type="dxa"/>
            </w:tcMar>
          </w:tcPr>
          <w:p>
            <w:pPr>
              <w:spacing w:after="0"/>
            </w:pPr>
            <w:r>
              <w:rPr>
                <w:sz w:val="16"/>
              </w:rPr>
              <w:t>Success Gate und Budget</w:t>
            </w:r>
          </w:p>
        </w:tc>
      </w:tr>
    </w:tbl>
    <w:p>
      <w:pPr>
        <w:pStyle w:val="Heading2"/>
      </w:pPr>
      <w:r>
        <w:t>20-Minuten-Demo</w:t>
      </w:r>
    </w:p>
    <w:p>
      <w:pPr>
        <w:pStyle w:val="ListBullet"/>
      </w:pPr>
      <w:r>
        <w:t>0–3 Min: einen synthetischen oder redigierten Fall und die Review-Regel festlegen.</w:t>
      </w:r>
    </w:p>
    <w:p>
      <w:pPr>
        <w:pStyle w:val="ListBullet"/>
      </w:pPr>
      <w:r>
        <w:t>3–8 Min: getrennte Urteile durch benannte Prüfende zeigen.</w:t>
      </w:r>
    </w:p>
    <w:p>
      <w:pPr>
        <w:pStyle w:val="ListBullet"/>
      </w:pPr>
      <w:r>
        <w:t>8–12 Min: Abweichung, Begründung und finale Go-/Überarbeiten-/Stop-Entscheidung zeigen.</w:t>
      </w:r>
    </w:p>
    <w:p>
      <w:pPr>
        <w:pStyle w:val="ListBullet"/>
      </w:pPr>
      <w:r>
        <w:t>12–16 Min: Nachweispaket exportieren und offline verifizieren.</w:t>
      </w:r>
    </w:p>
    <w:p>
      <w:pPr>
        <w:pStyle w:val="ListBullet"/>
      </w:pPr>
      <w:r>
        <w:t>16–20 Min: mit dem Ist-Prozess vergleichen; nur bei realem Delta einen Pilot scopen.</w:t>
      </w:r>
    </w:p>
    <w:p>
      <w:r>
        <w:br w:type="page"/>
      </w:r>
    </w:p>
    <w:p>
      <w:pPr>
        <w:spacing w:after="60"/>
      </w:pPr>
      <w:r>
        <w:rPr>
          <w:b/>
          <w:color w:val="199BD3"/>
          <w:sz w:val="16"/>
        </w:rPr>
        <w:t>PERMISSIONED STATT MASSE</w:t>
      </w:r>
    </w:p>
    <w:p>
      <w:pPr>
        <w:pStyle w:val="Heading1"/>
      </w:pPr>
      <w:r>
        <w:t>5. Akquise in Deutschland</w:t>
      </w:r>
    </w:p>
    <w:tbl>
      <w:tblPr>
        <w:tblW w:type="auto" w:w="0"/>
        <w:jc w:val="left"/>
        <w:tblLook w:firstColumn="1" w:firstRow="1" w:lastColumn="0" w:lastRow="0" w:noHBand="0" w:noVBand="1" w:val="04A0"/>
      </w:tblPr>
      <w:tblGrid>
        <w:gridCol w:w="10036"/>
      </w:tblGrid>
      <w:tr>
        <w:tc>
          <w:tcPr>
            <w:tcW w:type="dxa" w:w="10036"/>
            <w:shd w:fill="0A0A0A"/>
            <w:tcMar>
              <w:top w:w="170" w:type="dxa"/>
              <w:start w:w="180" w:type="dxa"/>
              <w:bottom w:w="170" w:type="dxa"/>
              <w:end w:w="180" w:type="dxa"/>
            </w:tcMar>
          </w:tcPr>
          <w:p>
            <w:r>
              <w:rPr>
                <w:b/>
                <w:color w:val="78C7EA"/>
                <w:sz w:val="17"/>
              </w:rPr>
              <w:t>REGEL</w:t>
              <w:br/>
            </w:r>
            <w:r>
              <w:rPr>
                <w:b/>
                <w:color w:val="FFFFFF"/>
                <w:sz w:val="25"/>
              </w:rPr>
              <w:t>Keine kalten E-Mail-Sequenzen und keine LinkedIn-DMs als Umgehung. Bevorzugt: permissioned Intro, Opt-in über Inhalte/Events, Partnerkanäle, präzise begründeter B2B-Anruf und kurze postalische Account-Ansprache.</w:t>
            </w:r>
          </w:p>
        </w:tc>
      </w:tr>
    </w:tbl>
    <w:tbl>
      <w:tblPr>
        <w:tblStyle w:val="TableGrid"/>
        <w:tblW w:type="auto" w:w="0"/>
        <w:jc w:val="left"/>
        <w:tblLayout w:type="fixed"/>
        <w:tblLook w:firstColumn="1" w:firstRow="1" w:lastColumn="0" w:lastRow="0" w:noHBand="0" w:noVBand="1" w:val="04A0"/>
      </w:tblPr>
      <w:tblGrid>
        <w:gridCol w:w="3345"/>
        <w:gridCol w:w="3345"/>
        <w:gridCol w:w="3345"/>
      </w:tblGrid>
      <w:tr>
        <w:trPr>
          <w:tblHeader w:val="true"/>
        </w:trPr>
        <w:tc>
          <w:tcPr>
            <w:tcW w:type="dxa" w:w="1701"/>
            <w:shd w:fill="0A0A0A"/>
            <w:tcMar>
              <w:top w:w="95" w:type="dxa"/>
              <w:start w:w="95" w:type="dxa"/>
              <w:bottom w:w="95" w:type="dxa"/>
              <w:end w:w="95" w:type="dxa"/>
            </w:tcMar>
            <w:vAlign w:val="center"/>
          </w:tcPr>
          <w:p>
            <w:r>
              <w:rPr>
                <w:b/>
                <w:color w:val="FFFFFF"/>
                <w:sz w:val="16"/>
              </w:rPr>
              <w:t>Kanal</w:t>
            </w:r>
          </w:p>
        </w:tc>
        <w:tc>
          <w:tcPr>
            <w:tcW w:type="dxa" w:w="4365"/>
            <w:shd w:fill="0A0A0A"/>
            <w:tcMar>
              <w:top w:w="95" w:type="dxa"/>
              <w:start w:w="95" w:type="dxa"/>
              <w:bottom w:w="95" w:type="dxa"/>
              <w:end w:w="95" w:type="dxa"/>
            </w:tcMar>
            <w:vAlign w:val="center"/>
          </w:tcPr>
          <w:p>
            <w:r>
              <w:rPr>
                <w:b/>
                <w:color w:val="FFFFFF"/>
                <w:sz w:val="16"/>
              </w:rPr>
              <w:t>Einsatz</w:t>
            </w:r>
          </w:p>
        </w:tc>
        <w:tc>
          <w:tcPr>
            <w:tcW w:type="dxa" w:w="3798"/>
            <w:shd w:fill="0A0A0A"/>
            <w:tcMar>
              <w:top w:w="95" w:type="dxa"/>
              <w:start w:w="95" w:type="dxa"/>
              <w:bottom w:w="95" w:type="dxa"/>
              <w:end w:w="95" w:type="dxa"/>
            </w:tcMar>
            <w:vAlign w:val="center"/>
          </w:tcPr>
          <w:p>
            <w:r>
              <w:rPr>
                <w:b/>
                <w:color w:val="FFFFFF"/>
                <w:sz w:val="16"/>
              </w:rPr>
              <w:t>Grenze</w:t>
            </w:r>
          </w:p>
        </w:tc>
      </w:tr>
      <w:tr>
        <w:tc>
          <w:tcPr>
            <w:tcW w:type="dxa" w:w="1701"/>
            <w:shd w:fill="FFFFFF"/>
            <w:tcMar>
              <w:top w:w="80" w:type="dxa"/>
              <w:start w:w="95" w:type="dxa"/>
              <w:bottom w:w="80" w:type="dxa"/>
              <w:end w:w="95" w:type="dxa"/>
            </w:tcMar>
          </w:tcPr>
          <w:p>
            <w:pPr>
              <w:spacing w:after="0"/>
            </w:pPr>
            <w:r>
              <w:rPr>
                <w:sz w:val="16"/>
              </w:rPr>
              <w:t>Permissioned Intro</w:t>
            </w:r>
          </w:p>
        </w:tc>
        <w:tc>
          <w:tcPr>
            <w:tcW w:type="dxa" w:w="4365"/>
            <w:shd w:fill="FFFFFF"/>
            <w:tcMar>
              <w:top w:w="80" w:type="dxa"/>
              <w:start w:w="95" w:type="dxa"/>
              <w:bottom w:w="80" w:type="dxa"/>
              <w:end w:w="95" w:type="dxa"/>
            </w:tcMar>
          </w:tcPr>
          <w:p>
            <w:pPr>
              <w:spacing w:after="0"/>
            </w:pPr>
            <w:r>
              <w:rPr>
                <w:sz w:val="16"/>
              </w:rPr>
              <w:t>Referrer fragt den Prospect vor der Vorstellung</w:t>
            </w:r>
          </w:p>
        </w:tc>
        <w:tc>
          <w:tcPr>
            <w:tcW w:type="dxa" w:w="3798"/>
            <w:shd w:fill="FFFFFF"/>
            <w:tcMar>
              <w:top w:w="80" w:type="dxa"/>
              <w:start w:w="95" w:type="dxa"/>
              <w:bottom w:w="80" w:type="dxa"/>
              <w:end w:w="95" w:type="dxa"/>
            </w:tcMar>
          </w:tcPr>
          <w:p>
            <w:pPr>
              <w:spacing w:after="0"/>
            </w:pPr>
            <w:r>
              <w:rPr>
                <w:sz w:val="16"/>
              </w:rPr>
              <w:t>Beste Kombination aus Vertrauen und Rechtsklarheit</w:t>
            </w:r>
          </w:p>
        </w:tc>
      </w:tr>
      <w:tr>
        <w:tc>
          <w:tcPr>
            <w:tcW w:type="dxa" w:w="1701"/>
            <w:shd w:fill="F4F6F8"/>
            <w:tcMar>
              <w:top w:w="80" w:type="dxa"/>
              <w:start w:w="95" w:type="dxa"/>
              <w:bottom w:w="80" w:type="dxa"/>
              <w:end w:w="95" w:type="dxa"/>
            </w:tcMar>
          </w:tcPr>
          <w:p>
            <w:pPr>
              <w:spacing w:after="0"/>
            </w:pPr>
            <w:r>
              <w:rPr>
                <w:sz w:val="16"/>
              </w:rPr>
              <w:t>Webinar/Roundtable/Event</w:t>
            </w:r>
          </w:p>
        </w:tc>
        <w:tc>
          <w:tcPr>
            <w:tcW w:type="dxa" w:w="4365"/>
            <w:shd w:fill="F4F6F8"/>
            <w:tcMar>
              <w:top w:w="80" w:type="dxa"/>
              <w:start w:w="95" w:type="dxa"/>
              <w:bottom w:w="80" w:type="dxa"/>
              <w:end w:w="95" w:type="dxa"/>
            </w:tcMar>
          </w:tcPr>
          <w:p>
            <w:pPr>
              <w:spacing w:after="0"/>
            </w:pPr>
            <w:r>
              <w:rPr>
                <w:sz w:val="16"/>
              </w:rPr>
              <w:t>Problemwissen teilen; separates Double-Opt-in für Follow-up</w:t>
            </w:r>
          </w:p>
        </w:tc>
        <w:tc>
          <w:tcPr>
            <w:tcW w:type="dxa" w:w="3798"/>
            <w:shd w:fill="F4F6F8"/>
            <w:tcMar>
              <w:top w:w="80" w:type="dxa"/>
              <w:start w:w="95" w:type="dxa"/>
              <w:bottom w:w="80" w:type="dxa"/>
              <w:end w:w="95" w:type="dxa"/>
            </w:tcMar>
          </w:tcPr>
          <w:p>
            <w:pPr>
              <w:spacing w:after="0"/>
            </w:pPr>
            <w:r>
              <w:rPr>
                <w:sz w:val="16"/>
              </w:rPr>
              <w:t>Teilnehmerliste nicht ungefragt in Sequenzen laden</w:t>
            </w:r>
          </w:p>
        </w:tc>
      </w:tr>
      <w:tr>
        <w:tc>
          <w:tcPr>
            <w:tcW w:type="dxa" w:w="1701"/>
            <w:shd w:fill="FFFFFF"/>
            <w:tcMar>
              <w:top w:w="80" w:type="dxa"/>
              <w:start w:w="95" w:type="dxa"/>
              <w:bottom w:w="80" w:type="dxa"/>
              <w:end w:w="95" w:type="dxa"/>
            </w:tcMar>
          </w:tcPr>
          <w:p>
            <w:pPr>
              <w:spacing w:after="0"/>
            </w:pPr>
            <w:r>
              <w:rPr>
                <w:sz w:val="16"/>
              </w:rPr>
              <w:t>Organischer Content/Ads</w:t>
            </w:r>
          </w:p>
        </w:tc>
        <w:tc>
          <w:tcPr>
            <w:tcW w:type="dxa" w:w="4365"/>
            <w:shd w:fill="FFFFFF"/>
            <w:tcMar>
              <w:top w:w="80" w:type="dxa"/>
              <w:start w:w="95" w:type="dxa"/>
              <w:bottom w:w="80" w:type="dxa"/>
              <w:end w:w="95" w:type="dxa"/>
            </w:tcMar>
          </w:tcPr>
          <w:p>
            <w:pPr>
              <w:spacing w:after="0"/>
            </w:pPr>
            <w:r>
              <w:rPr>
                <w:sz w:val="16"/>
              </w:rPr>
              <w:t>Evidenz-Lücken-Check mit Opt-in</w:t>
            </w:r>
          </w:p>
        </w:tc>
        <w:tc>
          <w:tcPr>
            <w:tcW w:type="dxa" w:w="3798"/>
            <w:shd w:fill="FFFFFF"/>
            <w:tcMar>
              <w:top w:w="80" w:type="dxa"/>
              <w:start w:w="95" w:type="dxa"/>
              <w:bottom w:w="80" w:type="dxa"/>
              <w:end w:w="95" w:type="dxa"/>
            </w:tcMar>
          </w:tcPr>
          <w:p>
            <w:pPr>
              <w:spacing w:after="0"/>
            </w:pPr>
            <w:r>
              <w:rPr>
                <w:sz w:val="16"/>
              </w:rPr>
              <w:t>Kein persönlicher Cold-DM-Funnel</w:t>
            </w:r>
          </w:p>
        </w:tc>
      </w:tr>
      <w:tr>
        <w:tc>
          <w:tcPr>
            <w:tcW w:type="dxa" w:w="1701"/>
            <w:shd w:fill="F4F6F8"/>
            <w:tcMar>
              <w:top w:w="80" w:type="dxa"/>
              <w:start w:w="95" w:type="dxa"/>
              <w:bottom w:w="80" w:type="dxa"/>
              <w:end w:w="95" w:type="dxa"/>
            </w:tcMar>
          </w:tcPr>
          <w:p>
            <w:pPr>
              <w:spacing w:after="0"/>
            </w:pPr>
            <w:r>
              <w:rPr>
                <w:sz w:val="16"/>
              </w:rPr>
              <w:t>B2B-Telefon</w:t>
            </w:r>
          </w:p>
        </w:tc>
        <w:tc>
          <w:tcPr>
            <w:tcW w:type="dxa" w:w="4365"/>
            <w:shd w:fill="F4F6F8"/>
            <w:tcMar>
              <w:top w:w="80" w:type="dxa"/>
              <w:start w:w="95" w:type="dxa"/>
              <w:bottom w:w="80" w:type="dxa"/>
              <w:end w:w="95" w:type="dxa"/>
            </w:tcMar>
          </w:tcPr>
          <w:p>
            <w:pPr>
              <w:spacing w:after="0"/>
            </w:pPr>
            <w:r>
              <w:rPr>
                <w:sz w:val="16"/>
              </w:rPr>
              <w:t>Nur bei dokumentiertem konkretem Unternehmensinteresse</w:t>
            </w:r>
          </w:p>
        </w:tc>
        <w:tc>
          <w:tcPr>
            <w:tcW w:type="dxa" w:w="3798"/>
            <w:shd w:fill="F4F6F8"/>
            <w:tcMar>
              <w:top w:w="80" w:type="dxa"/>
              <w:start w:w="95" w:type="dxa"/>
              <w:bottom w:w="80" w:type="dxa"/>
              <w:end w:w="95" w:type="dxa"/>
            </w:tcMar>
          </w:tcPr>
          <w:p>
            <w:pPr>
              <w:spacing w:after="0"/>
            </w:pPr>
            <w:r>
              <w:rPr>
                <w:sz w:val="16"/>
              </w:rPr>
              <w:t>Allgemeine Relevanz reicht nicht; Widerspruch sofort beachten</w:t>
            </w:r>
          </w:p>
        </w:tc>
      </w:tr>
      <w:tr>
        <w:tc>
          <w:tcPr>
            <w:tcW w:type="dxa" w:w="1701"/>
            <w:shd w:fill="FFFFFF"/>
            <w:tcMar>
              <w:top w:w="80" w:type="dxa"/>
              <w:start w:w="95" w:type="dxa"/>
              <w:bottom w:w="80" w:type="dxa"/>
              <w:end w:w="95" w:type="dxa"/>
            </w:tcMar>
          </w:tcPr>
          <w:p>
            <w:pPr>
              <w:spacing w:after="0"/>
            </w:pPr>
            <w:r>
              <w:rPr>
                <w:sz w:val="16"/>
              </w:rPr>
              <w:t>Post</w:t>
            </w:r>
          </w:p>
        </w:tc>
        <w:tc>
          <w:tcPr>
            <w:tcW w:type="dxa" w:w="4365"/>
            <w:shd w:fill="FFFFFF"/>
            <w:tcMar>
              <w:top w:w="80" w:type="dxa"/>
              <w:start w:w="95" w:type="dxa"/>
              <w:bottom w:w="80" w:type="dxa"/>
              <w:end w:w="95" w:type="dxa"/>
            </w:tcMar>
          </w:tcPr>
          <w:p>
            <w:pPr>
              <w:spacing w:after="0"/>
            </w:pPr>
            <w:r>
              <w:rPr>
                <w:sz w:val="16"/>
              </w:rPr>
              <w:t>Kurzer rollenbezogener Brief mit QR zum Opt-in</w:t>
            </w:r>
          </w:p>
        </w:tc>
        <w:tc>
          <w:tcPr>
            <w:tcW w:type="dxa" w:w="3798"/>
            <w:shd w:fill="FFFFFF"/>
            <w:tcMar>
              <w:top w:w="80" w:type="dxa"/>
              <w:start w:w="95" w:type="dxa"/>
              <w:bottom w:w="80" w:type="dxa"/>
              <w:end w:w="95" w:type="dxa"/>
            </w:tcMar>
          </w:tcPr>
          <w:p>
            <w:pPr>
              <w:spacing w:after="0"/>
            </w:pPr>
            <w:r>
              <w:rPr>
                <w:sz w:val="16"/>
              </w:rPr>
              <w:t>Impressumsdaten nicht für Werbung zweckentfremden</w:t>
            </w:r>
          </w:p>
        </w:tc>
      </w:tr>
      <w:tr>
        <w:tc>
          <w:tcPr>
            <w:tcW w:type="dxa" w:w="1701"/>
            <w:shd w:fill="F4F6F8"/>
            <w:tcMar>
              <w:top w:w="80" w:type="dxa"/>
              <w:start w:w="95" w:type="dxa"/>
              <w:bottom w:w="80" w:type="dxa"/>
              <w:end w:w="95" w:type="dxa"/>
            </w:tcMar>
          </w:tcPr>
          <w:p>
            <w:pPr>
              <w:spacing w:after="0"/>
            </w:pPr>
            <w:r>
              <w:rPr>
                <w:sz w:val="16"/>
              </w:rPr>
              <w:t>Partner</w:t>
            </w:r>
          </w:p>
        </w:tc>
        <w:tc>
          <w:tcPr>
            <w:tcW w:type="dxa" w:w="4365"/>
            <w:shd w:fill="F4F6F8"/>
            <w:tcMar>
              <w:top w:w="80" w:type="dxa"/>
              <w:start w:w="95" w:type="dxa"/>
              <w:bottom w:w="80" w:type="dxa"/>
              <w:end w:w="95" w:type="dxa"/>
            </w:tcMar>
          </w:tcPr>
          <w:p>
            <w:pPr>
              <w:spacing w:after="0"/>
            </w:pPr>
            <w:r>
              <w:rPr>
                <w:sz w:val="16"/>
              </w:rPr>
              <w:t>DSA-/Datenschutzkanzlei, Audit, GRC, Integrator</w:t>
            </w:r>
          </w:p>
        </w:tc>
        <w:tc>
          <w:tcPr>
            <w:tcW w:type="dxa" w:w="3798"/>
            <w:shd w:fill="F4F6F8"/>
            <w:tcMar>
              <w:top w:w="80" w:type="dxa"/>
              <w:start w:w="95" w:type="dxa"/>
              <w:bottom w:w="80" w:type="dxa"/>
              <w:end w:w="95" w:type="dxa"/>
            </w:tcMar>
          </w:tcPr>
          <w:p>
            <w:pPr>
              <w:spacing w:after="0"/>
            </w:pPr>
            <w:r>
              <w:rPr>
                <w:sz w:val="16"/>
              </w:rPr>
              <w:t>Methodenkritik zuerst; keine falsche Auditor-Unabhängigkeit</w:t>
            </w:r>
          </w:p>
        </w:tc>
      </w:tr>
    </w:tbl>
    <w:p>
      <w:pPr>
        <w:pStyle w:val="Heading2"/>
      </w:pPr>
      <w:r>
        <w:t>Permissioned Erstkontakt</w:t>
      </w:r>
    </w:p>
    <w:tbl>
      <w:tblPr>
        <w:tblW w:type="auto" w:w="0"/>
        <w:tblLook w:firstColumn="1" w:firstRow="1" w:lastColumn="0" w:lastRow="0" w:noHBand="0" w:noVBand="1" w:val="04A0"/>
      </w:tblPr>
      <w:tblGrid>
        <w:gridCol w:w="10036"/>
      </w:tblGrid>
      <w:tr>
        <w:tc>
          <w:tcPr>
            <w:tcW w:type="dxa" w:w="10036"/>
            <w:shd w:fill="EAF5FB"/>
            <w:tcMar>
              <w:top w:w="140" w:type="dxa"/>
              <w:start w:w="170" w:type="dxa"/>
              <w:bottom w:w="140" w:type="dxa"/>
              <w:end w:w="170" w:type="dxa"/>
            </w:tcMar>
          </w:tcPr>
          <w:p>
            <w:r>
              <w:rPr>
                <w:b/>
                <w:color w:val="1D1D1F"/>
                <w:sz w:val="23"/>
              </w:rPr>
              <w:t>Guten Tag Frau/Herr [Name], [Referrer] sagte, dass Sie den Prüfpfad für [konkreter Workflow] verantworten. RateLoop bindet ausgewählte KI-Fälle an Ihre benannten Prüfenden und erstellt einen nachvollziehbaren Entscheidungsnachweis – ohne Ihnen die fachliche Verantwortung abzunehmen. Ich würde gern an einem synthetischen oder redigierten Fall prüfen, ob der Ansatz überhaupt Mehrwert hat: 20 Minuten, kein allgemeiner Produktvortrag.</w:t>
            </w:r>
          </w:p>
        </w:tc>
      </w:tr>
    </w:tbl>
    <w:p>
      <w:r>
        <w:t>§ 7 UWG verlangt für elektronische Werbung grundsätzlich vorherige ausdrückliche Einwilligung; die enge Bestandskunden-Ausnahme ist kein Cold-Outreach-Modell. Social-Media-DMs gelten ebenfalls als elektronische Post. Prozess mit deutschem Counsel freigeben.</w:t>
      </w:r>
    </w:p>
    <w:p>
      <w:r>
        <w:br w:type="page"/>
      </w:r>
    </w:p>
    <w:p>
      <w:pPr>
        <w:spacing w:after="60"/>
      </w:pPr>
      <w:r>
        <w:rPr>
          <w:b/>
          <w:color w:val="199BD3"/>
          <w:sz w:val="16"/>
        </w:rPr>
        <w:t>ANGEBOT</w:t>
      </w:r>
    </w:p>
    <w:p>
      <w:pPr>
        <w:pStyle w:val="Heading1"/>
      </w:pPr>
      <w:r>
        <w:t>6. Der kontrollierte Pilot</w:t>
      </w:r>
    </w:p>
    <w:tbl>
      <w:tblPr>
        <w:tblW w:type="auto" w:w="0"/>
        <w:jc w:val="left"/>
        <w:tblLayout w:type="fixed"/>
        <w:tblLook w:firstColumn="1" w:firstRow="1" w:lastColumn="0" w:lastRow="0" w:noHBand="0" w:noVBand="1" w:val="04A0"/>
      </w:tblPr>
      <w:tblGrid>
        <w:gridCol w:w="3345"/>
        <w:gridCol w:w="3345"/>
        <w:gridCol w:w="3345"/>
      </w:tblGrid>
      <w:tr>
        <w:tc>
          <w:tcPr>
            <w:tcW w:type="dxa" w:w="3345"/>
            <w:shd w:fill="EAF5FB"/>
            <w:tcMar>
              <w:top w:w="150" w:type="dxa"/>
              <w:start w:w="130" w:type="dxa"/>
              <w:bottom w:w="150" w:type="dxa"/>
              <w:end w:w="130" w:type="dxa"/>
            </w:tcMar>
            <w:vAlign w:val="center"/>
          </w:tcPr>
          <w:p>
            <w:pPr>
              <w:jc w:val="left"/>
            </w:pPr>
            <w:r>
              <w:rPr>
                <w:b/>
                <w:color w:val="0A0A0A"/>
                <w:sz w:val="40"/>
              </w:rPr>
              <w:t>6 Wochen</w:t>
              <w:br/>
            </w:r>
            <w:r>
              <w:rPr>
                <w:color w:val="666A73"/>
                <w:sz w:val="16"/>
              </w:rPr>
              <w:t>inklusive vierwöchiger Live-Evaluationsphase</w:t>
            </w:r>
          </w:p>
        </w:tc>
        <w:tc>
          <w:tcPr>
            <w:tcW w:type="dxa" w:w="3345"/>
            <w:shd w:fill="F4F6F8"/>
            <w:tcMar>
              <w:top w:w="150" w:type="dxa"/>
              <w:start w:w="130" w:type="dxa"/>
              <w:bottom w:w="150" w:type="dxa"/>
              <w:end w:w="130" w:type="dxa"/>
            </w:tcMar>
            <w:vAlign w:val="center"/>
          </w:tcPr>
          <w:p>
            <w:pPr>
              <w:jc w:val="left"/>
            </w:pPr>
            <w:r>
              <w:rPr>
                <w:b/>
                <w:color w:val="0A0A0A"/>
                <w:sz w:val="40"/>
              </w:rPr>
              <w:t>1 Workflow</w:t>
              <w:br/>
            </w:r>
            <w:r>
              <w:rPr>
                <w:color w:val="666A73"/>
                <w:sz w:val="16"/>
              </w:rPr>
              <w:t>eine Review-Frage, klarer Scope</w:t>
            </w:r>
          </w:p>
        </w:tc>
        <w:tc>
          <w:tcPr>
            <w:tcW w:type="dxa" w:w="3345"/>
            <w:shd w:fill="EAF5FB"/>
            <w:tcMar>
              <w:top w:w="150" w:type="dxa"/>
              <w:start w:w="130" w:type="dxa"/>
              <w:bottom w:w="150" w:type="dxa"/>
              <w:end w:w="130" w:type="dxa"/>
            </w:tcMar>
            <w:vAlign w:val="center"/>
          </w:tcPr>
          <w:p>
            <w:pPr>
              <w:jc w:val="left"/>
            </w:pPr>
            <w:r>
              <w:rPr>
                <w:b/>
                <w:color w:val="0A0A0A"/>
                <w:sz w:val="40"/>
              </w:rPr>
              <w:t>€ 2.500</w:t>
              <w:br/>
            </w:r>
            <w:r>
              <w:rPr>
                <w:color w:val="666A73"/>
                <w:sz w:val="16"/>
              </w:rPr>
              <w:t>netto, fester Founding-Pilot</w:t>
            </w:r>
          </w:p>
        </w:tc>
      </w:tr>
    </w:tbl>
    <w:p>
      <w:pPr>
        <w:pStyle w:val="Heading2"/>
      </w:pPr>
      <w:r>
        <w:t>Enthalten</w:t>
      </w:r>
    </w:p>
    <w:p>
      <w:pPr>
        <w:pStyle w:val="ListBullet"/>
      </w:pPr>
      <w:r>
        <w:t>Bis zu drei aktive Agents und fünf eingeladene Review-Gruppen; unbegrenzt eingeladene, unbezahlte Reviewer im freigegebenen Scope.</w:t>
      </w:r>
    </w:p>
    <w:p>
      <w:pPr>
        <w:pStyle w:val="ListBullet"/>
      </w:pPr>
      <w:r>
        <w:t>Kick-off zur Review-Regel, Autorität, Datenfreigabe, Retention und Stop-Bedingungen.</w:t>
      </w:r>
    </w:p>
    <w:p>
      <w:pPr>
        <w:pStyle w:val="ListBullet"/>
      </w:pPr>
      <w:r>
        <w:t>Synthetische oder sicher redigierte Inhalte zuerst; Live-Inhalte erst nach DPA-, Security- und Berechtigungsfreigabe.</w:t>
      </w:r>
    </w:p>
    <w:p>
      <w:pPr>
        <w:pStyle w:val="ListBullet"/>
      </w:pPr>
      <w:r>
        <w:t>Review-Pfad mit getrennten Urteilen, Go/Überarbeiten/Stop, Begründung, Abweichung und signiertem Nachweispaket.</w:t>
      </w:r>
    </w:p>
    <w:p>
      <w:pPr>
        <w:pStyle w:val="ListBullet"/>
      </w:pPr>
      <w:r>
        <w:t>Abschlussreview mit dokumentierter Go-/No-Go-Entscheidung; 50 % des Pilotpreises werden bei Jahresabschluss binnen 30 Tagen angerechnet.</w:t>
      </w:r>
    </w:p>
    <w:p>
      <w:pPr>
        <w:pStyle w:val="Heading2"/>
      </w:pPr>
      <w:r>
        <w:t>Success Gates</w:t>
      </w:r>
    </w:p>
    <w:tbl>
      <w:tblPr>
        <w:tblStyle w:val="TableGrid"/>
        <w:tblW w:type="auto" w:w="0"/>
        <w:jc w:val="left"/>
        <w:tblLayout w:type="fixed"/>
        <w:tblLook w:firstColumn="1" w:firstRow="1" w:lastColumn="0" w:lastRow="0" w:noHBand="0" w:noVBand="1" w:val="04A0"/>
      </w:tblPr>
      <w:tblGrid>
        <w:gridCol w:w="5018"/>
        <w:gridCol w:w="5018"/>
      </w:tblGrid>
      <w:tr>
        <w:trPr>
          <w:tblHeader w:val="true"/>
        </w:trPr>
        <w:tc>
          <w:tcPr>
            <w:tcW w:type="dxa" w:w="2268"/>
            <w:shd w:fill="0A0A0A"/>
            <w:tcMar>
              <w:top w:w="95" w:type="dxa"/>
              <w:start w:w="95" w:type="dxa"/>
              <w:bottom w:w="95" w:type="dxa"/>
              <w:end w:w="95" w:type="dxa"/>
            </w:tcMar>
            <w:vAlign w:val="center"/>
          </w:tcPr>
          <w:p>
            <w:r>
              <w:rPr>
                <w:b/>
                <w:color w:val="FFFFFF"/>
                <w:sz w:val="16"/>
              </w:rPr>
              <w:t>Gate</w:t>
            </w:r>
          </w:p>
        </w:tc>
        <w:tc>
          <w:tcPr>
            <w:tcW w:type="dxa" w:w="7597"/>
            <w:shd w:fill="0A0A0A"/>
            <w:tcMar>
              <w:top w:w="95" w:type="dxa"/>
              <w:start w:w="95" w:type="dxa"/>
              <w:bottom w:w="95" w:type="dxa"/>
              <w:end w:w="95" w:type="dxa"/>
            </w:tcMar>
            <w:vAlign w:val="center"/>
          </w:tcPr>
          <w:p>
            <w:r>
              <w:rPr>
                <w:b/>
                <w:color w:val="FFFFFF"/>
                <w:sz w:val="16"/>
              </w:rPr>
              <w:t>Messung</w:t>
            </w:r>
          </w:p>
        </w:tc>
      </w:tr>
      <w:tr>
        <w:tc>
          <w:tcPr>
            <w:tcW w:type="dxa" w:w="2268"/>
            <w:shd w:fill="FFFFFF"/>
            <w:tcMar>
              <w:top w:w="80" w:type="dxa"/>
              <w:start w:w="95" w:type="dxa"/>
              <w:bottom w:w="80" w:type="dxa"/>
              <w:end w:w="95" w:type="dxa"/>
            </w:tcMar>
          </w:tcPr>
          <w:p>
            <w:pPr>
              <w:spacing w:after="0"/>
            </w:pPr>
            <w:r>
              <w:rPr>
                <w:sz w:val="16"/>
              </w:rPr>
              <w:t>Abdeckung</w:t>
            </w:r>
          </w:p>
        </w:tc>
        <w:tc>
          <w:tcPr>
            <w:tcW w:type="dxa" w:w="7597"/>
            <w:shd w:fill="FFFFFF"/>
            <w:tcMar>
              <w:top w:w="80" w:type="dxa"/>
              <w:start w:w="95" w:type="dxa"/>
              <w:bottom w:w="80" w:type="dxa"/>
              <w:end w:w="95" w:type="dxa"/>
            </w:tcMar>
          </w:tcPr>
          <w:p>
            <w:pPr>
              <w:spacing w:after="0"/>
            </w:pPr>
            <w:r>
              <w:rPr>
                <w:sz w:val="16"/>
              </w:rPr>
              <w:t>Jeder ausgewählte Fall erreicht einen erklärbaren Terminalstatus</w:t>
            </w:r>
          </w:p>
        </w:tc>
      </w:tr>
      <w:tr>
        <w:tc>
          <w:tcPr>
            <w:tcW w:type="dxa" w:w="2268"/>
            <w:shd w:fill="F4F6F8"/>
            <w:tcMar>
              <w:top w:w="80" w:type="dxa"/>
              <w:start w:w="95" w:type="dxa"/>
              <w:bottom w:w="80" w:type="dxa"/>
              <w:end w:w="95" w:type="dxa"/>
            </w:tcMar>
          </w:tcPr>
          <w:p>
            <w:pPr>
              <w:spacing w:after="0"/>
            </w:pPr>
            <w:r>
              <w:rPr>
                <w:sz w:val="16"/>
              </w:rPr>
              <w:t>Zugriff</w:t>
            </w:r>
          </w:p>
        </w:tc>
        <w:tc>
          <w:tcPr>
            <w:tcW w:type="dxa" w:w="7597"/>
            <w:shd w:fill="F4F6F8"/>
            <w:tcMar>
              <w:top w:w="80" w:type="dxa"/>
              <w:start w:w="95" w:type="dxa"/>
              <w:bottom w:w="80" w:type="dxa"/>
              <w:end w:w="95" w:type="dxa"/>
            </w:tcMar>
          </w:tcPr>
          <w:p>
            <w:pPr>
              <w:spacing w:after="0"/>
            </w:pPr>
            <w:r>
              <w:rPr>
                <w:sz w:val="16"/>
              </w:rPr>
              <w:t>Kein unautorisierter Zugriff; vereinbarte Daten- und Rollenbegrenzen eingehalten</w:t>
            </w:r>
          </w:p>
        </w:tc>
      </w:tr>
      <w:tr>
        <w:tc>
          <w:tcPr>
            <w:tcW w:type="dxa" w:w="2268"/>
            <w:shd w:fill="FFFFFF"/>
            <w:tcMar>
              <w:top w:w="80" w:type="dxa"/>
              <w:start w:w="95" w:type="dxa"/>
              <w:bottom w:w="80" w:type="dxa"/>
              <w:end w:w="95" w:type="dxa"/>
            </w:tcMar>
          </w:tcPr>
          <w:p>
            <w:pPr>
              <w:spacing w:after="0"/>
            </w:pPr>
            <w:r>
              <w:rPr>
                <w:sz w:val="16"/>
              </w:rPr>
              <w:t>Tempo</w:t>
            </w:r>
          </w:p>
        </w:tc>
        <w:tc>
          <w:tcPr>
            <w:tcW w:type="dxa" w:w="7597"/>
            <w:shd w:fill="FFFFFF"/>
            <w:tcMar>
              <w:top w:w="80" w:type="dxa"/>
              <w:start w:w="95" w:type="dxa"/>
              <w:bottom w:w="80" w:type="dxa"/>
              <w:end w:w="95" w:type="dxa"/>
            </w:tcMar>
          </w:tcPr>
          <w:p>
            <w:pPr>
              <w:spacing w:after="0"/>
            </w:pPr>
            <w:r>
              <w:rPr>
                <w:sz w:val="16"/>
              </w:rPr>
              <w:t>Review-Latenz gegen Ist-Baseline gemessen</w:t>
            </w:r>
          </w:p>
        </w:tc>
      </w:tr>
      <w:tr>
        <w:tc>
          <w:tcPr>
            <w:tcW w:type="dxa" w:w="2268"/>
            <w:shd w:fill="F4F6F8"/>
            <w:tcMar>
              <w:top w:w="80" w:type="dxa"/>
              <w:start w:w="95" w:type="dxa"/>
              <w:bottom w:w="80" w:type="dxa"/>
              <w:end w:w="95" w:type="dxa"/>
            </w:tcMar>
          </w:tcPr>
          <w:p>
            <w:pPr>
              <w:spacing w:after="0"/>
            </w:pPr>
            <w:r>
              <w:rPr>
                <w:sz w:val="16"/>
              </w:rPr>
              <w:t>Qualität</w:t>
            </w:r>
          </w:p>
        </w:tc>
        <w:tc>
          <w:tcPr>
            <w:tcW w:type="dxa" w:w="7597"/>
            <w:shd w:fill="F4F6F8"/>
            <w:tcMar>
              <w:top w:w="80" w:type="dxa"/>
              <w:start w:w="95" w:type="dxa"/>
              <w:bottom w:w="80" w:type="dxa"/>
              <w:end w:w="95" w:type="dxa"/>
            </w:tcMar>
          </w:tcPr>
          <w:p>
            <w:pPr>
              <w:spacing w:after="0"/>
            </w:pPr>
            <w:r>
              <w:rPr>
                <w:sz w:val="16"/>
              </w:rPr>
              <w:t>Uneinigkeit, Overrides und Gründe sichtbar; kein bloßes Rubber-Stamping</w:t>
            </w:r>
          </w:p>
        </w:tc>
      </w:tr>
      <w:tr>
        <w:tc>
          <w:tcPr>
            <w:tcW w:type="dxa" w:w="2268"/>
            <w:shd w:fill="FFFFFF"/>
            <w:tcMar>
              <w:top w:w="80" w:type="dxa"/>
              <w:start w:w="95" w:type="dxa"/>
              <w:bottom w:w="80" w:type="dxa"/>
              <w:end w:w="95" w:type="dxa"/>
            </w:tcMar>
          </w:tcPr>
          <w:p>
            <w:pPr>
              <w:spacing w:after="0"/>
            </w:pPr>
            <w:r>
              <w:rPr>
                <w:sz w:val="16"/>
              </w:rPr>
              <w:t>Nachweis</w:t>
            </w:r>
          </w:p>
        </w:tc>
        <w:tc>
          <w:tcPr>
            <w:tcW w:type="dxa" w:w="7597"/>
            <w:shd w:fill="FFFFFF"/>
            <w:tcMar>
              <w:top w:w="80" w:type="dxa"/>
              <w:start w:w="95" w:type="dxa"/>
              <w:bottom w:w="80" w:type="dxa"/>
              <w:end w:w="95" w:type="dxa"/>
            </w:tcMar>
          </w:tcPr>
          <w:p>
            <w:pPr>
              <w:spacing w:after="0"/>
            </w:pPr>
            <w:r>
              <w:rPr>
                <w:sz w:val="16"/>
              </w:rPr>
              <w:t>Ein benannter externer oder interner Leser kann das Paket offline prüfen</w:t>
            </w:r>
          </w:p>
        </w:tc>
      </w:tr>
      <w:tr>
        <w:tc>
          <w:tcPr>
            <w:tcW w:type="dxa" w:w="2268"/>
            <w:shd w:fill="F4F6F8"/>
            <w:tcMar>
              <w:top w:w="80" w:type="dxa"/>
              <w:start w:w="95" w:type="dxa"/>
              <w:bottom w:w="80" w:type="dxa"/>
              <w:end w:w="95" w:type="dxa"/>
            </w:tcMar>
          </w:tcPr>
          <w:p>
            <w:pPr>
              <w:spacing w:after="0"/>
            </w:pPr>
            <w:r>
              <w:rPr>
                <w:sz w:val="16"/>
              </w:rPr>
              <w:t>Kauf</w:t>
            </w:r>
          </w:p>
        </w:tc>
        <w:tc>
          <w:tcPr>
            <w:tcW w:type="dxa" w:w="7597"/>
            <w:shd w:fill="F4F6F8"/>
            <w:tcMar>
              <w:top w:w="80" w:type="dxa"/>
              <w:start w:w="95" w:type="dxa"/>
              <w:bottom w:w="80" w:type="dxa"/>
              <w:end w:w="95" w:type="dxa"/>
            </w:tcMar>
          </w:tcPr>
          <w:p>
            <w:pPr>
              <w:spacing w:after="0"/>
            </w:pPr>
            <w:r>
              <w:rPr>
                <w:sz w:val="16"/>
              </w:rPr>
              <w:t>Kunde fordert einen bezahlten Wiederholungslauf oder Jahresvorschlag an</w:t>
            </w:r>
          </w:p>
        </w:tc>
      </w:tr>
    </w:tbl>
    <w:p>
      <w:r>
        <w:t>Komplexer/regulierter Pilot: ab € 7.500 netto für sechs bis acht Wochen, aber nur wenn zusätzliche Security-Prüfung, Integration, Policy-Mapping oder Procurement-Support tatsächlich anfällt.</w:t>
      </w:r>
    </w:p>
    <w:p>
      <w:r>
        <w:br w:type="page"/>
      </w:r>
    </w:p>
    <w:p>
      <w:pPr>
        <w:spacing w:after="60"/>
      </w:pPr>
      <w:r>
        <w:rPr>
          <w:b/>
          <w:color w:val="199BD3"/>
          <w:sz w:val="16"/>
        </w:rPr>
        <w:t>SOBER SELLING</w:t>
      </w:r>
    </w:p>
    <w:p>
      <w:pPr>
        <w:pStyle w:val="Heading1"/>
      </w:pPr>
      <w:r>
        <w:t>7. Einwände und Antworten</w:t>
      </w:r>
    </w:p>
    <w:tbl>
      <w:tblPr>
        <w:tblStyle w:val="TableGrid"/>
        <w:tblW w:type="auto" w:w="0"/>
        <w:jc w:val="left"/>
        <w:tblLayout w:type="fixed"/>
        <w:tblLook w:firstColumn="1" w:firstRow="1" w:lastColumn="0" w:lastRow="0" w:noHBand="0" w:noVBand="1" w:val="04A0"/>
      </w:tblPr>
      <w:tblGrid>
        <w:gridCol w:w="5018"/>
        <w:gridCol w:w="5018"/>
      </w:tblGrid>
      <w:tr>
        <w:trPr>
          <w:tblHeader w:val="true"/>
        </w:trPr>
        <w:tc>
          <w:tcPr>
            <w:tcW w:type="dxa" w:w="2948"/>
            <w:shd w:fill="0A0A0A"/>
            <w:tcMar>
              <w:top w:w="95" w:type="dxa"/>
              <w:start w:w="95" w:type="dxa"/>
              <w:bottom w:w="95" w:type="dxa"/>
              <w:end w:w="95" w:type="dxa"/>
            </w:tcMar>
            <w:vAlign w:val="center"/>
          </w:tcPr>
          <w:p>
            <w:r>
              <w:rPr>
                <w:b/>
                <w:color w:val="FFFFFF"/>
                <w:sz w:val="16"/>
              </w:rPr>
              <w:t>Einwand</w:t>
            </w:r>
          </w:p>
        </w:tc>
        <w:tc>
          <w:tcPr>
            <w:tcW w:type="dxa" w:w="6917"/>
            <w:shd w:fill="0A0A0A"/>
            <w:tcMar>
              <w:top w:w="95" w:type="dxa"/>
              <w:start w:w="95" w:type="dxa"/>
              <w:bottom w:w="95" w:type="dxa"/>
              <w:end w:w="95" w:type="dxa"/>
            </w:tcMar>
            <w:vAlign w:val="center"/>
          </w:tcPr>
          <w:p>
            <w:r>
              <w:rPr>
                <w:b/>
                <w:color w:val="FFFFFF"/>
                <w:sz w:val="16"/>
              </w:rPr>
              <w:t>Antwort</w:t>
            </w:r>
          </w:p>
        </w:tc>
      </w:tr>
      <w:tr>
        <w:tc>
          <w:tcPr>
            <w:tcW w:type="dxa" w:w="2948"/>
            <w:shd w:fill="FFFFFF"/>
            <w:tcMar>
              <w:top w:w="80" w:type="dxa"/>
              <w:start w:w="95" w:type="dxa"/>
              <w:bottom w:w="80" w:type="dxa"/>
              <w:end w:w="95" w:type="dxa"/>
            </w:tcMar>
          </w:tcPr>
          <w:p>
            <w:pPr>
              <w:spacing w:after="0"/>
            </w:pPr>
            <w:r>
              <w:rPr>
                <w:sz w:val="16"/>
              </w:rPr>
              <w:t>„Wir haben ein Vier-Augen-Prinzip.“</w:t>
            </w:r>
          </w:p>
        </w:tc>
        <w:tc>
          <w:tcPr>
            <w:tcW w:type="dxa" w:w="6917"/>
            <w:shd w:fill="FFFFFF"/>
            <w:tcMar>
              <w:top w:w="80" w:type="dxa"/>
              <w:start w:w="95" w:type="dxa"/>
              <w:bottom w:w="80" w:type="dxa"/>
              <w:end w:w="95" w:type="dxa"/>
            </w:tcMar>
          </w:tcPr>
          <w:p>
            <w:pPr>
              <w:spacing w:after="0"/>
            </w:pPr>
            <w:r>
              <w:rPr>
                <w:sz w:val="16"/>
              </w:rPr>
              <w:t>Gut. RateLoop ersetzt es nicht. Wir testen, ob Trigger, Kriterien, Entscheidung und Nachweis konsistent abrufbar sind.</w:t>
            </w:r>
          </w:p>
        </w:tc>
      </w:tr>
      <w:tr>
        <w:tc>
          <w:tcPr>
            <w:tcW w:type="dxa" w:w="2948"/>
            <w:shd w:fill="F4F6F8"/>
            <w:tcMar>
              <w:top w:w="80" w:type="dxa"/>
              <w:start w:w="95" w:type="dxa"/>
              <w:bottom w:w="80" w:type="dxa"/>
              <w:end w:w="95" w:type="dxa"/>
            </w:tcMar>
          </w:tcPr>
          <w:p>
            <w:pPr>
              <w:spacing w:after="0"/>
            </w:pPr>
            <w:r>
              <w:rPr>
                <w:sz w:val="16"/>
              </w:rPr>
              <w:t>„Wir haben Langfuse/Annotation/Excel.“</w:t>
            </w:r>
          </w:p>
        </w:tc>
        <w:tc>
          <w:tcPr>
            <w:tcW w:type="dxa" w:w="6917"/>
            <w:shd w:fill="F4F6F8"/>
            <w:tcMar>
              <w:top w:w="80" w:type="dxa"/>
              <w:start w:w="95" w:type="dxa"/>
              <w:bottom w:w="80" w:type="dxa"/>
              <w:end w:w="95" w:type="dxa"/>
            </w:tcMar>
          </w:tcPr>
          <w:p>
            <w:pPr>
              <w:spacing w:after="0"/>
            </w:pPr>
            <w:r>
              <w:rPr>
                <w:sz w:val="16"/>
              </w:rPr>
              <w:t>Wenn ein Dritter Autorität, getrennte Urteile, Policy-Version, Dissens und finale Entscheidung schon rekonstruieren kann, sollten Sie RateLoop nicht kaufen.</w:t>
            </w:r>
          </w:p>
        </w:tc>
      </w:tr>
      <w:tr>
        <w:tc>
          <w:tcPr>
            <w:tcW w:type="dxa" w:w="2948"/>
            <w:shd w:fill="FFFFFF"/>
            <w:tcMar>
              <w:top w:w="80" w:type="dxa"/>
              <w:start w:w="95" w:type="dxa"/>
              <w:bottom w:w="80" w:type="dxa"/>
              <w:end w:w="95" w:type="dxa"/>
            </w:tcMar>
          </w:tcPr>
          <w:p>
            <w:pPr>
              <w:spacing w:after="0"/>
            </w:pPr>
            <w:r>
              <w:rPr>
                <w:sz w:val="16"/>
              </w:rPr>
              <w:t>„LLM-as-a-judge reicht.“</w:t>
            </w:r>
          </w:p>
        </w:tc>
        <w:tc>
          <w:tcPr>
            <w:tcW w:type="dxa" w:w="6917"/>
            <w:shd w:fill="FFFFFF"/>
            <w:tcMar>
              <w:top w:w="80" w:type="dxa"/>
              <w:start w:w="95" w:type="dxa"/>
              <w:bottom w:w="80" w:type="dxa"/>
              <w:end w:w="95" w:type="dxa"/>
            </w:tcMar>
          </w:tcPr>
          <w:p>
            <w:pPr>
              <w:spacing w:after="0"/>
            </w:pPr>
            <w:r>
              <w:rPr>
                <w:sz w:val="16"/>
              </w:rPr>
              <w:t>Für reproduzierbare Regeln ja. RateLoop beginnt bei der kontextabhängigen Frage, die der Evaluator nicht verlässlich entscheiden kann.</w:t>
            </w:r>
          </w:p>
        </w:tc>
      </w:tr>
      <w:tr>
        <w:tc>
          <w:tcPr>
            <w:tcW w:type="dxa" w:w="2948"/>
            <w:shd w:fill="F4F6F8"/>
            <w:tcMar>
              <w:top w:w="80" w:type="dxa"/>
              <w:start w:w="95" w:type="dxa"/>
              <w:bottom w:w="80" w:type="dxa"/>
              <w:end w:w="95" w:type="dxa"/>
            </w:tcMar>
          </w:tcPr>
          <w:p>
            <w:pPr>
              <w:spacing w:after="0"/>
            </w:pPr>
            <w:r>
              <w:rPr>
                <w:sz w:val="16"/>
              </w:rPr>
              <w:t>„Macht uns das compliant?“</w:t>
            </w:r>
          </w:p>
        </w:tc>
        <w:tc>
          <w:tcPr>
            <w:tcW w:type="dxa" w:w="6917"/>
            <w:shd w:fill="F4F6F8"/>
            <w:tcMar>
              <w:top w:w="80" w:type="dxa"/>
              <w:start w:w="95" w:type="dxa"/>
              <w:bottom w:w="80" w:type="dxa"/>
              <w:end w:w="95" w:type="dxa"/>
            </w:tcMar>
          </w:tcPr>
          <w:p>
            <w:pPr>
              <w:spacing w:after="0"/>
            </w:pPr>
            <w:r>
              <w:rPr>
                <w:sz w:val="16"/>
              </w:rPr>
              <w:t>Nein. RateLoop dokumentiert den konfigurierten Prozess. Ihre Organisation und Beratung beurteilen Anwendbarkeit und Angemessenheit.</w:t>
            </w:r>
          </w:p>
        </w:tc>
      </w:tr>
      <w:tr>
        <w:tc>
          <w:tcPr>
            <w:tcW w:type="dxa" w:w="2948"/>
            <w:shd w:fill="FFFFFF"/>
            <w:tcMar>
              <w:top w:w="80" w:type="dxa"/>
              <w:start w:w="95" w:type="dxa"/>
              <w:bottom w:w="80" w:type="dxa"/>
              <w:end w:w="95" w:type="dxa"/>
            </w:tcMar>
          </w:tcPr>
          <w:p>
            <w:pPr>
              <w:spacing w:after="0"/>
            </w:pPr>
            <w:r>
              <w:rPr>
                <w:sz w:val="16"/>
              </w:rPr>
              <w:t>„Kein ISO/SOC?“</w:t>
            </w:r>
          </w:p>
        </w:tc>
        <w:tc>
          <w:tcPr>
            <w:tcW w:type="dxa" w:w="6917"/>
            <w:shd w:fill="FFFFFF"/>
            <w:tcMar>
              <w:top w:w="80" w:type="dxa"/>
              <w:start w:w="95" w:type="dxa"/>
              <w:bottom w:w="80" w:type="dxa"/>
              <w:end w:w="95" w:type="dxa"/>
            </w:tcMar>
          </w:tcPr>
          <w:p>
            <w:pPr>
              <w:spacing w:after="0"/>
            </w:pPr>
            <w:r>
              <w:rPr>
                <w:sz w:val="16"/>
              </w:rPr>
              <w:t>Korrekt. Deshalb synthetischer, risikoarmer Pilot, aktuelle DPA/Subprozessoren und offline verifizierbares Paket. Produktionsscope wartet auf Ihre Freigabe.</w:t>
            </w:r>
          </w:p>
        </w:tc>
      </w:tr>
      <w:tr>
        <w:tc>
          <w:tcPr>
            <w:tcW w:type="dxa" w:w="2948"/>
            <w:shd w:fill="F4F6F8"/>
            <w:tcMar>
              <w:top w:w="80" w:type="dxa"/>
              <w:start w:w="95" w:type="dxa"/>
              <w:bottom w:w="80" w:type="dxa"/>
              <w:end w:w="95" w:type="dxa"/>
            </w:tcMar>
          </w:tcPr>
          <w:p>
            <w:pPr>
              <w:spacing w:after="0"/>
            </w:pPr>
            <w:r>
              <w:rPr>
                <w:sz w:val="16"/>
              </w:rPr>
              <w:t>„Human Review bremst.“</w:t>
            </w:r>
          </w:p>
        </w:tc>
        <w:tc>
          <w:tcPr>
            <w:tcW w:type="dxa" w:w="6917"/>
            <w:shd w:fill="F4F6F8"/>
            <w:tcMar>
              <w:top w:w="80" w:type="dxa"/>
              <w:start w:w="95" w:type="dxa"/>
              <w:bottom w:w="80" w:type="dxa"/>
              <w:end w:w="95" w:type="dxa"/>
            </w:tcMar>
          </w:tcPr>
          <w:p>
            <w:pPr>
              <w:spacing w:after="0"/>
            </w:pPr>
            <w:r>
              <w:rPr>
                <w:sz w:val="16"/>
              </w:rPr>
              <w:t>Wir messen einen engen Trigger oder Sample. Aktuelle Agent-Integrationen dokumentieren den Lifecycle; sie garantieren kein physisches Zurückhalten jeder Ausgabe.</w:t>
            </w:r>
          </w:p>
        </w:tc>
      </w:tr>
      <w:tr>
        <w:tc>
          <w:tcPr>
            <w:tcW w:type="dxa" w:w="2948"/>
            <w:shd w:fill="FFFFFF"/>
            <w:tcMar>
              <w:top w:w="80" w:type="dxa"/>
              <w:start w:w="95" w:type="dxa"/>
              <w:bottom w:w="80" w:type="dxa"/>
              <w:end w:w="95" w:type="dxa"/>
            </w:tcMar>
          </w:tcPr>
          <w:p>
            <w:pPr>
              <w:spacing w:after="0"/>
            </w:pPr>
            <w:r>
              <w:rPr>
                <w:sz w:val="16"/>
              </w:rPr>
              <w:t>„Wir bauen das selbst.“</w:t>
            </w:r>
          </w:p>
        </w:tc>
        <w:tc>
          <w:tcPr>
            <w:tcW w:type="dxa" w:w="6917"/>
            <w:shd w:fill="FFFFFF"/>
            <w:tcMar>
              <w:top w:w="80" w:type="dxa"/>
              <w:start w:w="95" w:type="dxa"/>
              <w:bottom w:w="80" w:type="dxa"/>
              <w:end w:w="95" w:type="dxa"/>
            </w:tcMar>
          </w:tcPr>
          <w:p>
            <w:pPr>
              <w:spacing w:after="0"/>
            </w:pPr>
            <w:r>
              <w:rPr>
                <w:sz w:val="16"/>
              </w:rPr>
              <w:t>Vergleichen Sie Aufwand für Scope-Freeze, Rollen, getrennte Urteile, Dissens, Retention und reproduzierbaren Export. Der Pilot misst Buy versus Build.</w:t>
            </w:r>
          </w:p>
        </w:tc>
      </w:tr>
    </w:tbl>
    <w:p>
      <w:r>
        <w:br w:type="page"/>
      </w:r>
    </w:p>
    <w:p>
      <w:pPr>
        <w:spacing w:after="60"/>
      </w:pPr>
      <w:r>
        <w:rPr>
          <w:b/>
          <w:color w:val="199BD3"/>
          <w:sz w:val="16"/>
        </w:rPr>
        <w:t>WAS GESAGT WERDEN DARF</w:t>
      </w:r>
    </w:p>
    <w:p>
      <w:pPr>
        <w:pStyle w:val="Heading1"/>
      </w:pPr>
      <w:r>
        <w:t>8. Claim-Grenzen</w:t>
      </w:r>
    </w:p>
    <w:tbl>
      <w:tblPr>
        <w:tblStyle w:val="TableGrid"/>
        <w:tblW w:type="auto" w:w="0"/>
        <w:jc w:val="left"/>
        <w:tblLayout w:type="fixed"/>
        <w:tblLook w:firstColumn="1" w:firstRow="1" w:lastColumn="0" w:lastRow="0" w:noHBand="0" w:noVBand="1" w:val="04A0"/>
      </w:tblPr>
      <w:tblGrid>
        <w:gridCol w:w="5018"/>
        <w:gridCol w:w="5018"/>
      </w:tblGrid>
      <w:tr>
        <w:trPr>
          <w:tblHeader w:val="true"/>
        </w:trPr>
        <w:tc>
          <w:tcPr>
            <w:tcW w:type="dxa" w:w="4932"/>
            <w:shd w:fill="0A0A0A"/>
            <w:tcMar>
              <w:top w:w="95" w:type="dxa"/>
              <w:start w:w="95" w:type="dxa"/>
              <w:bottom w:w="95" w:type="dxa"/>
              <w:end w:w="95" w:type="dxa"/>
            </w:tcMar>
            <w:vAlign w:val="center"/>
          </w:tcPr>
          <w:p>
            <w:r>
              <w:rPr>
                <w:b/>
                <w:color w:val="FFFFFF"/>
                <w:sz w:val="16"/>
              </w:rPr>
              <w:t>Belastbar</w:t>
            </w:r>
          </w:p>
        </w:tc>
        <w:tc>
          <w:tcPr>
            <w:tcW w:type="dxa" w:w="4932"/>
            <w:shd w:fill="0A0A0A"/>
            <w:tcMar>
              <w:top w:w="95" w:type="dxa"/>
              <w:start w:w="95" w:type="dxa"/>
              <w:bottom w:w="95" w:type="dxa"/>
              <w:end w:w="95" w:type="dxa"/>
            </w:tcMar>
            <w:vAlign w:val="center"/>
          </w:tcPr>
          <w:p>
            <w:r>
              <w:rPr>
                <w:b/>
                <w:color w:val="FFFFFF"/>
                <w:sz w:val="16"/>
              </w:rPr>
              <w:t>Vermeiden</w:t>
            </w:r>
          </w:p>
        </w:tc>
      </w:tr>
      <w:tr>
        <w:tc>
          <w:tcPr>
            <w:tcW w:type="dxa" w:w="4932"/>
            <w:shd w:fill="FFFFFF"/>
            <w:tcMar>
              <w:top w:w="80" w:type="dxa"/>
              <w:start w:w="95" w:type="dxa"/>
              <w:bottom w:w="80" w:type="dxa"/>
              <w:end w:w="95" w:type="dxa"/>
            </w:tcMar>
          </w:tcPr>
          <w:p>
            <w:pPr>
              <w:spacing w:after="0"/>
            </w:pPr>
            <w:r>
              <w:rPr>
                <w:sz w:val="16"/>
              </w:rPr>
              <w:t>Unterstützt einen konfigurierten Human-Review-Workflow und zeichnet seine Ausführung auf</w:t>
            </w:r>
          </w:p>
        </w:tc>
        <w:tc>
          <w:tcPr>
            <w:tcW w:type="dxa" w:w="4932"/>
            <w:shd w:fill="FFFFFF"/>
            <w:tcMar>
              <w:top w:w="80" w:type="dxa"/>
              <w:start w:w="95" w:type="dxa"/>
              <w:bottom w:w="80" w:type="dxa"/>
              <w:end w:w="95" w:type="dxa"/>
            </w:tcMar>
          </w:tcPr>
          <w:p>
            <w:pPr>
              <w:spacing w:after="0"/>
            </w:pPr>
            <w:r>
              <w:rPr>
                <w:sz w:val="16"/>
              </w:rPr>
              <w:t>„Macht AI-Act-konform“</w:t>
            </w:r>
          </w:p>
        </w:tc>
      </w:tr>
      <w:tr>
        <w:tc>
          <w:tcPr>
            <w:tcW w:type="dxa" w:w="4932"/>
            <w:shd w:fill="F4F6F8"/>
            <w:tcMar>
              <w:top w:w="80" w:type="dxa"/>
              <w:start w:w="95" w:type="dxa"/>
              <w:bottom w:w="80" w:type="dxa"/>
              <w:end w:w="95" w:type="dxa"/>
            </w:tcMar>
          </w:tcPr>
          <w:p>
            <w:pPr>
              <w:spacing w:after="0"/>
            </w:pPr>
            <w:r>
              <w:rPr>
                <w:sz w:val="16"/>
              </w:rPr>
              <w:t>Erzeugt signierte, integritätsprüfbare Nachweispakete</w:t>
            </w:r>
          </w:p>
        </w:tc>
        <w:tc>
          <w:tcPr>
            <w:tcW w:type="dxa" w:w="4932"/>
            <w:shd w:fill="F4F6F8"/>
            <w:tcMar>
              <w:top w:w="80" w:type="dxa"/>
              <w:start w:w="95" w:type="dxa"/>
              <w:bottom w:w="80" w:type="dxa"/>
              <w:end w:w="95" w:type="dxa"/>
            </w:tcMar>
          </w:tcPr>
          <w:p>
            <w:pPr>
              <w:spacing w:after="0"/>
            </w:pPr>
            <w:r>
              <w:rPr>
                <w:sz w:val="16"/>
              </w:rPr>
              <w:t>„Manipulationssicher“ oder rechtlich abschließend</w:t>
            </w:r>
          </w:p>
        </w:tc>
      </w:tr>
      <w:tr>
        <w:tc>
          <w:tcPr>
            <w:tcW w:type="dxa" w:w="4932"/>
            <w:shd w:fill="FFFFFF"/>
            <w:tcMar>
              <w:top w:w="80" w:type="dxa"/>
              <w:start w:w="95" w:type="dxa"/>
              <w:bottom w:w="80" w:type="dxa"/>
              <w:end w:w="95" w:type="dxa"/>
            </w:tcMar>
          </w:tcPr>
          <w:p>
            <w:pPr>
              <w:spacing w:after="0"/>
            </w:pPr>
            <w:r>
              <w:rPr>
                <w:sz w:val="16"/>
              </w:rPr>
              <w:t>Zeichnet Go/Überarbeiten/Stop, Gründe und Abweichungen auf</w:t>
            </w:r>
          </w:p>
        </w:tc>
        <w:tc>
          <w:tcPr>
            <w:tcW w:type="dxa" w:w="4932"/>
            <w:shd w:fill="FFFFFF"/>
            <w:tcMar>
              <w:top w:w="80" w:type="dxa"/>
              <w:start w:w="95" w:type="dxa"/>
              <w:bottom w:w="80" w:type="dxa"/>
              <w:end w:w="95" w:type="dxa"/>
            </w:tcMar>
          </w:tcPr>
          <w:p>
            <w:pPr>
              <w:spacing w:after="0"/>
            </w:pPr>
            <w:r>
              <w:rPr>
                <w:sz w:val="16"/>
              </w:rPr>
              <w:t>Garantiert sichere oder korrekte KI-Ausgaben</w:t>
            </w:r>
          </w:p>
        </w:tc>
      </w:tr>
      <w:tr>
        <w:tc>
          <w:tcPr>
            <w:tcW w:type="dxa" w:w="4932"/>
            <w:shd w:fill="F4F6F8"/>
            <w:tcMar>
              <w:top w:w="80" w:type="dxa"/>
              <w:start w:w="95" w:type="dxa"/>
              <w:bottom w:w="80" w:type="dxa"/>
              <w:end w:w="95" w:type="dxa"/>
            </w:tcMar>
          </w:tcPr>
          <w:p>
            <w:pPr>
              <w:spacing w:after="0"/>
            </w:pPr>
            <w:r>
              <w:rPr>
                <w:sz w:val="16"/>
              </w:rPr>
              <w:t>Kundeneingeladene Reviewer führen den bestimmten Workflow aus</w:t>
            </w:r>
          </w:p>
        </w:tc>
        <w:tc>
          <w:tcPr>
            <w:tcW w:type="dxa" w:w="4932"/>
            <w:shd w:fill="F4F6F8"/>
            <w:tcMar>
              <w:top w:w="80" w:type="dxa"/>
              <w:start w:w="95" w:type="dxa"/>
              <w:bottom w:w="80" w:type="dxa"/>
              <w:end w:w="95" w:type="dxa"/>
            </w:tcMar>
          </w:tcPr>
          <w:p>
            <w:pPr>
              <w:spacing w:after="0"/>
            </w:pPr>
            <w:r>
              <w:rPr>
                <w:sz w:val="16"/>
              </w:rPr>
              <w:t>Unabhängige oder repräsentative Reviewer standardmäßig</w:t>
            </w:r>
          </w:p>
        </w:tc>
      </w:tr>
      <w:tr>
        <w:tc>
          <w:tcPr>
            <w:tcW w:type="dxa" w:w="4932"/>
            <w:shd w:fill="FFFFFF"/>
            <w:tcMar>
              <w:top w:w="80" w:type="dxa"/>
              <w:start w:w="95" w:type="dxa"/>
              <w:bottom w:w="80" w:type="dxa"/>
              <w:end w:w="95" w:type="dxa"/>
            </w:tcMar>
          </w:tcPr>
          <w:p>
            <w:pPr>
              <w:spacing w:after="0"/>
            </w:pPr>
            <w:r>
              <w:rPr>
                <w:sz w:val="16"/>
              </w:rPr>
              <w:t>Kann Evidenz für ausgewählte Kontrollprozesse unterstützen</w:t>
            </w:r>
          </w:p>
        </w:tc>
        <w:tc>
          <w:tcPr>
            <w:tcW w:type="dxa" w:w="4932"/>
            <w:shd w:fill="FFFFFF"/>
            <w:tcMar>
              <w:top w:w="80" w:type="dxa"/>
              <w:start w:w="95" w:type="dxa"/>
              <w:bottom w:w="80" w:type="dxa"/>
              <w:end w:w="95" w:type="dxa"/>
            </w:tcMar>
          </w:tcPr>
          <w:p>
            <w:pPr>
              <w:spacing w:after="0"/>
            </w:pPr>
            <w:r>
              <w:rPr>
                <w:sz w:val="16"/>
              </w:rPr>
              <w:t>Erfüllt allein Art. 14, 20, 26 oder ISO 42001</w:t>
            </w:r>
          </w:p>
        </w:tc>
      </w:tr>
      <w:tr>
        <w:tc>
          <w:tcPr>
            <w:tcW w:type="dxa" w:w="4932"/>
            <w:shd w:fill="F4F6F8"/>
            <w:tcMar>
              <w:top w:w="80" w:type="dxa"/>
              <w:start w:w="95" w:type="dxa"/>
              <w:bottom w:w="80" w:type="dxa"/>
              <w:end w:w="95" w:type="dxa"/>
            </w:tcMar>
          </w:tcPr>
          <w:p>
            <w:pPr>
              <w:spacing w:after="0"/>
            </w:pPr>
            <w:r>
              <w:rPr>
                <w:sz w:val="16"/>
              </w:rPr>
              <w:t>Pseudonyme pro Run</w:t>
            </w:r>
          </w:p>
        </w:tc>
        <w:tc>
          <w:tcPr>
            <w:tcW w:type="dxa" w:w="4932"/>
            <w:shd w:fill="F4F6F8"/>
            <w:tcMar>
              <w:top w:w="80" w:type="dxa"/>
              <w:start w:w="95" w:type="dxa"/>
              <w:bottom w:w="80" w:type="dxa"/>
              <w:end w:w="95" w:type="dxa"/>
            </w:tcMar>
          </w:tcPr>
          <w:p>
            <w:pPr>
              <w:spacing w:after="0"/>
            </w:pPr>
            <w:r>
              <w:rPr>
                <w:sz w:val="16"/>
              </w:rPr>
              <w:t>Anonyme Reviewer</w:t>
            </w:r>
          </w:p>
        </w:tc>
      </w:tr>
      <w:tr>
        <w:tc>
          <w:tcPr>
            <w:tcW w:type="dxa" w:w="4932"/>
            <w:shd w:fill="FFFFFF"/>
            <w:tcMar>
              <w:top w:w="80" w:type="dxa"/>
              <w:start w:w="95" w:type="dxa"/>
              <w:bottom w:w="80" w:type="dxa"/>
              <w:end w:w="95" w:type="dxa"/>
            </w:tcMar>
          </w:tcPr>
          <w:p>
            <w:pPr>
              <w:spacing w:after="0"/>
            </w:pPr>
            <w:r>
              <w:rPr>
                <w:sz w:val="16"/>
              </w:rPr>
              <w:t>Private Inhalte sind in der Applikationsverwahrung verschlüsselt</w:t>
            </w:r>
          </w:p>
        </w:tc>
        <w:tc>
          <w:tcPr>
            <w:tcW w:type="dxa" w:w="4932"/>
            <w:shd w:fill="FFFFFF"/>
            <w:tcMar>
              <w:top w:w="80" w:type="dxa"/>
              <w:start w:w="95" w:type="dxa"/>
              <w:bottom w:w="80" w:type="dxa"/>
              <w:end w:w="95" w:type="dxa"/>
            </w:tcMar>
          </w:tcPr>
          <w:p>
            <w:pPr>
              <w:spacing w:after="0"/>
            </w:pPr>
            <w:r>
              <w:rPr>
                <w:sz w:val="16"/>
              </w:rPr>
              <w:t>Customer-held keys oder kein Betreiberzugriff</w:t>
            </w:r>
          </w:p>
        </w:tc>
      </w:tr>
      <w:tr>
        <w:tc>
          <w:tcPr>
            <w:tcW w:type="dxa" w:w="4932"/>
            <w:shd w:fill="F4F6F8"/>
            <w:tcMar>
              <w:top w:w="80" w:type="dxa"/>
              <w:start w:w="95" w:type="dxa"/>
              <w:bottom w:w="80" w:type="dxa"/>
              <w:end w:w="95" w:type="dxa"/>
            </w:tcMar>
          </w:tcPr>
          <w:p>
            <w:pPr>
              <w:spacing w:after="0"/>
            </w:pPr>
            <w:r>
              <w:rPr>
                <w:sz w:val="16"/>
              </w:rPr>
              <w:t>Advisory Integrationen dokumentieren Lifecycle-Status</w:t>
            </w:r>
          </w:p>
        </w:tc>
        <w:tc>
          <w:tcPr>
            <w:tcW w:type="dxa" w:w="4932"/>
            <w:shd w:fill="F4F6F8"/>
            <w:tcMar>
              <w:top w:w="80" w:type="dxa"/>
              <w:start w:w="95" w:type="dxa"/>
              <w:bottom w:w="80" w:type="dxa"/>
              <w:end w:w="95" w:type="dxa"/>
            </w:tcMar>
          </w:tcPr>
          <w:p>
            <w:pPr>
              <w:spacing w:after="0"/>
            </w:pPr>
            <w:r>
              <w:rPr>
                <w:sz w:val="16"/>
              </w:rPr>
              <w:t>Ausgabe wird garantiert bis zur Freigabe blockiert</w:t>
            </w:r>
          </w:p>
        </w:tc>
      </w:tr>
    </w:tbl>
    <w:p>
      <w:pPr>
        <w:pStyle w:val="Heading2"/>
      </w:pPr>
      <w:r>
        <w:t>Vor Outreach korrigieren</w:t>
      </w:r>
    </w:p>
    <w:p>
      <w:r>
        <w:t>Die öffentlichen Evidence-/Human-Oversight-Seiten verwenden noch die Formulierung „sufficient AI literacy“. Die Änderung von Juli 2026 verlangt weiterhin Maßnahmen zur Unterstützung der KI-Kompetenz, entfernt aber ausdrücklich ein garantiertes individuelles Niveau. Diese Formulierung darf nicht in Sales-Material kopiert werden und sollte vor Outreach im Produkttext korrigiert werden.</w:t>
      </w:r>
    </w:p>
    <w:p>
      <w:r>
        <w:br w:type="page"/>
      </w:r>
    </w:p>
    <w:p>
      <w:pPr>
        <w:spacing w:after="60"/>
      </w:pPr>
      <w:r>
        <w:rPr>
          <w:b/>
          <w:color w:val="199BD3"/>
          <w:sz w:val="16"/>
        </w:rPr>
        <w:t>EIN BEZAHLTER PILOT</w:t>
      </w:r>
    </w:p>
    <w:p>
      <w:pPr>
        <w:pStyle w:val="Heading1"/>
      </w:pPr>
      <w:r>
        <w:t>9. 30-Tage-Plan</w:t>
      </w:r>
    </w:p>
    <w:tbl>
      <w:tblPr>
        <w:tblStyle w:val="TableGrid"/>
        <w:tblW w:type="auto" w:w="0"/>
        <w:jc w:val="left"/>
        <w:tblLayout w:type="fixed"/>
        <w:tblLook w:firstColumn="1" w:firstRow="1" w:lastColumn="0" w:lastRow="0" w:noHBand="0" w:noVBand="1" w:val="04A0"/>
      </w:tblPr>
      <w:tblGrid>
        <w:gridCol w:w="3345"/>
        <w:gridCol w:w="3345"/>
        <w:gridCol w:w="3345"/>
      </w:tblGrid>
      <w:tr>
        <w:trPr>
          <w:tblHeader w:val="true"/>
        </w:trPr>
        <w:tc>
          <w:tcPr>
            <w:tcW w:type="dxa" w:w="1247"/>
            <w:shd w:fill="0A0A0A"/>
            <w:tcMar>
              <w:top w:w="95" w:type="dxa"/>
              <w:start w:w="95" w:type="dxa"/>
              <w:bottom w:w="95" w:type="dxa"/>
              <w:end w:w="95" w:type="dxa"/>
            </w:tcMar>
            <w:vAlign w:val="center"/>
          </w:tcPr>
          <w:p>
            <w:r>
              <w:rPr>
                <w:b/>
                <w:color w:val="FFFFFF"/>
                <w:sz w:val="16"/>
              </w:rPr>
              <w:t>Zeit</w:t>
            </w:r>
          </w:p>
        </w:tc>
        <w:tc>
          <w:tcPr>
            <w:tcW w:type="dxa" w:w="5216"/>
            <w:shd w:fill="0A0A0A"/>
            <w:tcMar>
              <w:top w:w="95" w:type="dxa"/>
              <w:start w:w="95" w:type="dxa"/>
              <w:bottom w:w="95" w:type="dxa"/>
              <w:end w:w="95" w:type="dxa"/>
            </w:tcMar>
            <w:vAlign w:val="center"/>
          </w:tcPr>
          <w:p>
            <w:r>
              <w:rPr>
                <w:b/>
                <w:color w:val="FFFFFF"/>
                <w:sz w:val="16"/>
              </w:rPr>
              <w:t>Arbeit</w:t>
            </w:r>
          </w:p>
        </w:tc>
        <w:tc>
          <w:tcPr>
            <w:tcW w:type="dxa" w:w="3402"/>
            <w:shd w:fill="0A0A0A"/>
            <w:tcMar>
              <w:top w:w="95" w:type="dxa"/>
              <w:start w:w="95" w:type="dxa"/>
              <w:bottom w:w="95" w:type="dxa"/>
              <w:end w:w="95" w:type="dxa"/>
            </w:tcMar>
            <w:vAlign w:val="center"/>
          </w:tcPr>
          <w:p>
            <w:r>
              <w:rPr>
                <w:b/>
                <w:color w:val="FFFFFF"/>
                <w:sz w:val="16"/>
              </w:rPr>
              <w:t>Output</w:t>
            </w:r>
          </w:p>
        </w:tc>
      </w:tr>
      <w:tr>
        <w:tc>
          <w:tcPr>
            <w:tcW w:type="dxa" w:w="1247"/>
            <w:shd w:fill="FFFFFF"/>
            <w:tcMar>
              <w:top w:w="80" w:type="dxa"/>
              <w:start w:w="95" w:type="dxa"/>
              <w:bottom w:w="80" w:type="dxa"/>
              <w:end w:w="95" w:type="dxa"/>
            </w:tcMar>
          </w:tcPr>
          <w:p>
            <w:pPr>
              <w:spacing w:after="0"/>
            </w:pPr>
            <w:r>
              <w:rPr>
                <w:sz w:val="16"/>
              </w:rPr>
              <w:t>Tag 1–5</w:t>
            </w:r>
          </w:p>
        </w:tc>
        <w:tc>
          <w:tcPr>
            <w:tcW w:type="dxa" w:w="5216"/>
            <w:shd w:fill="FFFFFF"/>
            <w:tcMar>
              <w:top w:w="80" w:type="dxa"/>
              <w:start w:w="95" w:type="dxa"/>
              <w:bottom w:w="80" w:type="dxa"/>
              <w:end w:w="95" w:type="dxa"/>
            </w:tcMar>
          </w:tcPr>
          <w:p>
            <w:pPr>
              <w:spacing w:after="0"/>
            </w:pPr>
            <w:r>
              <w:rPr>
                <w:sz w:val="16"/>
              </w:rPr>
              <w:t>ICP/Claims einfrieren; 50 Accounts recherchieren; 20 scoren; Proof Pack und Opt-in-Seite</w:t>
            </w:r>
          </w:p>
        </w:tc>
        <w:tc>
          <w:tcPr>
            <w:tcW w:type="dxa" w:w="3402"/>
            <w:shd w:fill="FFFFFF"/>
            <w:tcMar>
              <w:top w:w="80" w:type="dxa"/>
              <w:start w:w="95" w:type="dxa"/>
              <w:bottom w:w="80" w:type="dxa"/>
              <w:end w:w="95" w:type="dxa"/>
            </w:tcMar>
          </w:tcPr>
          <w:p>
            <w:pPr>
              <w:spacing w:after="0"/>
            </w:pPr>
            <w:r>
              <w:rPr>
                <w:sz w:val="16"/>
              </w:rPr>
              <w:t>20 Tier-1-Accounts; keine gescrapten persönlichen E-Mails</w:t>
            </w:r>
          </w:p>
        </w:tc>
      </w:tr>
      <w:tr>
        <w:tc>
          <w:tcPr>
            <w:tcW w:type="dxa" w:w="1247"/>
            <w:shd w:fill="F4F6F8"/>
            <w:tcMar>
              <w:top w:w="80" w:type="dxa"/>
              <w:start w:w="95" w:type="dxa"/>
              <w:bottom w:w="80" w:type="dxa"/>
              <w:end w:w="95" w:type="dxa"/>
            </w:tcMar>
          </w:tcPr>
          <w:p>
            <w:pPr>
              <w:spacing w:after="0"/>
            </w:pPr>
            <w:r>
              <w:rPr>
                <w:sz w:val="16"/>
              </w:rPr>
              <w:t>Tag 6–10</w:t>
            </w:r>
          </w:p>
        </w:tc>
        <w:tc>
          <w:tcPr>
            <w:tcW w:type="dxa" w:w="5216"/>
            <w:shd w:fill="F4F6F8"/>
            <w:tcMar>
              <w:top w:w="80" w:type="dxa"/>
              <w:start w:w="95" w:type="dxa"/>
              <w:bottom w:w="80" w:type="dxa"/>
              <w:end w:w="95" w:type="dxa"/>
            </w:tcMar>
          </w:tcPr>
          <w:p>
            <w:pPr>
              <w:spacing w:after="0"/>
            </w:pPr>
            <w:r>
              <w:rPr>
                <w:sz w:val="16"/>
              </w:rPr>
              <w:t>10 permissioned Intro-Anfragen; zwei problemorientierte Beiträge; fünf Partner um Methodenkritik bitten</w:t>
            </w:r>
          </w:p>
        </w:tc>
        <w:tc>
          <w:tcPr>
            <w:tcW w:type="dxa" w:w="3402"/>
            <w:shd w:fill="F4F6F8"/>
            <w:tcMar>
              <w:top w:w="80" w:type="dxa"/>
              <w:start w:w="95" w:type="dxa"/>
              <w:bottom w:w="80" w:type="dxa"/>
              <w:end w:w="95" w:type="dxa"/>
            </w:tcMar>
          </w:tcPr>
          <w:p>
            <w:pPr>
              <w:spacing w:after="0"/>
            </w:pPr>
            <w:r>
              <w:rPr>
                <w:sz w:val="16"/>
              </w:rPr>
              <w:t>Introductions, Feedback, keine Massen-Sequenz</w:t>
            </w:r>
          </w:p>
        </w:tc>
      </w:tr>
      <w:tr>
        <w:tc>
          <w:tcPr>
            <w:tcW w:type="dxa" w:w="1247"/>
            <w:shd w:fill="FFFFFF"/>
            <w:tcMar>
              <w:top w:w="80" w:type="dxa"/>
              <w:start w:w="95" w:type="dxa"/>
              <w:bottom w:w="80" w:type="dxa"/>
              <w:end w:w="95" w:type="dxa"/>
            </w:tcMar>
          </w:tcPr>
          <w:p>
            <w:pPr>
              <w:spacing w:after="0"/>
            </w:pPr>
            <w:r>
              <w:rPr>
                <w:sz w:val="16"/>
              </w:rPr>
              <w:t>Tag 11–20</w:t>
            </w:r>
          </w:p>
        </w:tc>
        <w:tc>
          <w:tcPr>
            <w:tcW w:type="dxa" w:w="5216"/>
            <w:shd w:fill="FFFFFF"/>
            <w:tcMar>
              <w:top w:w="80" w:type="dxa"/>
              <w:start w:w="95" w:type="dxa"/>
              <w:bottom w:w="80" w:type="dxa"/>
              <w:end w:w="95" w:type="dxa"/>
            </w:tcMar>
          </w:tcPr>
          <w:p>
            <w:pPr>
              <w:spacing w:after="0"/>
            </w:pPr>
            <w:r>
              <w:rPr>
                <w:sz w:val="16"/>
              </w:rPr>
              <w:t>8–10 Discovery Calls; 3–5 Demos; kleines Roundtable mit Counsel/Audit</w:t>
            </w:r>
          </w:p>
        </w:tc>
        <w:tc>
          <w:tcPr>
            <w:tcW w:type="dxa" w:w="3402"/>
            <w:shd w:fill="FFFFFF"/>
            <w:tcMar>
              <w:top w:w="80" w:type="dxa"/>
              <w:start w:w="95" w:type="dxa"/>
              <w:bottom w:w="80" w:type="dxa"/>
              <w:end w:w="95" w:type="dxa"/>
            </w:tcMar>
          </w:tcPr>
          <w:p>
            <w:pPr>
              <w:spacing w:after="0"/>
            </w:pPr>
            <w:r>
              <w:rPr>
                <w:sz w:val="16"/>
              </w:rPr>
              <w:t>Drei schriftliche Gap Assessments</w:t>
            </w:r>
          </w:p>
        </w:tc>
      </w:tr>
      <w:tr>
        <w:tc>
          <w:tcPr>
            <w:tcW w:type="dxa" w:w="1247"/>
            <w:shd w:fill="F4F6F8"/>
            <w:tcMar>
              <w:top w:w="80" w:type="dxa"/>
              <w:start w:w="95" w:type="dxa"/>
              <w:bottom w:w="80" w:type="dxa"/>
              <w:end w:w="95" w:type="dxa"/>
            </w:tcMar>
          </w:tcPr>
          <w:p>
            <w:pPr>
              <w:spacing w:after="0"/>
            </w:pPr>
            <w:r>
              <w:rPr>
                <w:sz w:val="16"/>
              </w:rPr>
              <w:t>Tag 21–30</w:t>
            </w:r>
          </w:p>
        </w:tc>
        <w:tc>
          <w:tcPr>
            <w:tcW w:type="dxa" w:w="5216"/>
            <w:shd w:fill="F4F6F8"/>
            <w:tcMar>
              <w:top w:w="80" w:type="dxa"/>
              <w:start w:w="95" w:type="dxa"/>
              <w:bottom w:w="80" w:type="dxa"/>
              <w:end w:w="95" w:type="dxa"/>
            </w:tcMar>
          </w:tcPr>
          <w:p>
            <w:pPr>
              <w:spacing w:after="0"/>
            </w:pPr>
            <w:r>
              <w:rPr>
                <w:sz w:val="16"/>
              </w:rPr>
              <w:t>Zwei konkrete Piloten mit Scope, Erfolg und Stop-Regeln anbieten</w:t>
            </w:r>
          </w:p>
        </w:tc>
        <w:tc>
          <w:tcPr>
            <w:tcW w:type="dxa" w:w="3402"/>
            <w:shd w:fill="F4F6F8"/>
            <w:tcMar>
              <w:top w:w="80" w:type="dxa"/>
              <w:start w:w="95" w:type="dxa"/>
              <w:bottom w:w="80" w:type="dxa"/>
              <w:end w:w="95" w:type="dxa"/>
            </w:tcMar>
          </w:tcPr>
          <w:p>
            <w:pPr>
              <w:spacing w:after="0"/>
            </w:pPr>
            <w:r>
              <w:rPr>
                <w:sz w:val="16"/>
              </w:rPr>
              <w:t>Ein bezahlter Pilot als Lernziel</w:t>
            </w:r>
          </w:p>
        </w:tc>
      </w:tr>
    </w:tbl>
    <w:tbl>
      <w:tblPr>
        <w:tblW w:type="auto" w:w="0"/>
        <w:jc w:val="left"/>
        <w:tblLayout w:type="fixed"/>
        <w:tblLook w:firstColumn="1" w:firstRow="1" w:lastColumn="0" w:lastRow="0" w:noHBand="0" w:noVBand="1" w:val="04A0"/>
      </w:tblPr>
      <w:tblGrid>
        <w:gridCol w:w="3345"/>
        <w:gridCol w:w="3345"/>
        <w:gridCol w:w="3345"/>
      </w:tblGrid>
      <w:tr>
        <w:tc>
          <w:tcPr>
            <w:tcW w:type="dxa" w:w="3345"/>
            <w:shd w:fill="EAF5FB"/>
            <w:tcMar>
              <w:top w:w="150" w:type="dxa"/>
              <w:start w:w="130" w:type="dxa"/>
              <w:bottom w:w="150" w:type="dxa"/>
              <w:end w:w="130" w:type="dxa"/>
            </w:tcMar>
            <w:vAlign w:val="center"/>
          </w:tcPr>
          <w:p>
            <w:pPr>
              <w:jc w:val="left"/>
            </w:pPr>
            <w:r>
              <w:rPr>
                <w:b/>
                <w:color w:val="0A0A0A"/>
                <w:sz w:val="40"/>
              </w:rPr>
              <w:t>8</w:t>
              <w:br/>
            </w:r>
            <w:r>
              <w:rPr>
                <w:color w:val="666A73"/>
                <w:sz w:val="16"/>
              </w:rPr>
              <w:t>qualifizierte Gespräche</w:t>
            </w:r>
          </w:p>
        </w:tc>
        <w:tc>
          <w:tcPr>
            <w:tcW w:type="dxa" w:w="3345"/>
            <w:shd w:fill="F4F6F8"/>
            <w:tcMar>
              <w:top w:w="150" w:type="dxa"/>
              <w:start w:w="130" w:type="dxa"/>
              <w:bottom w:w="150" w:type="dxa"/>
              <w:end w:w="130" w:type="dxa"/>
            </w:tcMar>
            <w:vAlign w:val="center"/>
          </w:tcPr>
          <w:p>
            <w:pPr>
              <w:jc w:val="left"/>
            </w:pPr>
            <w:r>
              <w:rPr>
                <w:b/>
                <w:color w:val="0A0A0A"/>
                <w:sz w:val="40"/>
              </w:rPr>
              <w:t>2</w:t>
              <w:br/>
            </w:r>
            <w:r>
              <w:rPr>
                <w:color w:val="666A73"/>
                <w:sz w:val="16"/>
              </w:rPr>
              <w:t>Pilotangebote</w:t>
            </w:r>
          </w:p>
        </w:tc>
        <w:tc>
          <w:tcPr>
            <w:tcW w:type="dxa" w:w="3345"/>
            <w:shd w:fill="EAF5FB"/>
            <w:tcMar>
              <w:top w:w="150" w:type="dxa"/>
              <w:start w:w="130" w:type="dxa"/>
              <w:bottom w:w="150" w:type="dxa"/>
              <w:end w:w="130" w:type="dxa"/>
            </w:tcMar>
            <w:vAlign w:val="center"/>
          </w:tcPr>
          <w:p>
            <w:pPr>
              <w:jc w:val="left"/>
            </w:pPr>
            <w:r>
              <w:rPr>
                <w:b/>
                <w:color w:val="0A0A0A"/>
                <w:sz w:val="40"/>
              </w:rPr>
              <w:t>1</w:t>
              <w:br/>
            </w:r>
            <w:r>
              <w:rPr>
                <w:color w:val="666A73"/>
                <w:sz w:val="16"/>
              </w:rPr>
              <w:t>bezahlter Pilot</w:t>
            </w:r>
          </w:p>
        </w:tc>
      </w:tr>
    </w:tbl>
    <w:p>
      <w:pPr>
        <w:pStyle w:val="Heading2"/>
      </w:pPr>
      <w:r>
        <w:t>Kanäle</w:t>
      </w:r>
    </w:p>
    <w:p>
      <w:pPr>
        <w:pStyle w:val="ListBullet"/>
      </w:pPr>
      <w:r>
        <w:t>KI Bundesverband / aiSpace: fachlicher Beitrag, kein Sales-Spam.</w:t>
      </w:r>
    </w:p>
    <w:p>
      <w:pPr>
        <w:pStyle w:val="ListBullet"/>
      </w:pPr>
      <w:r>
        <w:t>Bitkom AIDAQ / Privacy Conference: Opt-ins über ein konkretes Evidenzthema.</w:t>
      </w:r>
    </w:p>
    <w:p>
      <w:pPr>
        <w:pStyle w:val="ListBullet"/>
      </w:pPr>
      <w:r>
        <w:t>Mittelstand-Digital: vendor-neutrale Bildung respektieren.</w:t>
      </w:r>
    </w:p>
    <w:p>
      <w:pPr>
        <w:pStyle w:val="ListBullet"/>
      </w:pPr>
      <w:r>
        <w:t>Kanzleien / Auditorganisationen: Methodenkritik und permissioned Intros.</w:t>
      </w:r>
    </w:p>
    <w:p>
      <w:r>
        <w:br w:type="page"/>
      </w:r>
    </w:p>
    <w:p>
      <w:pPr>
        <w:spacing w:after="60"/>
      </w:pPr>
      <w:r>
        <w:rPr>
          <w:b/>
          <w:color w:val="199BD3"/>
          <w:sz w:val="16"/>
        </w:rPr>
        <w:t>READINESS</w:t>
      </w:r>
    </w:p>
    <w:p>
      <w:pPr>
        <w:pStyle w:val="Heading1"/>
      </w:pPr>
      <w:r>
        <w:t>10. Proof Pack vor dem ersten Gespräch</w:t>
      </w:r>
    </w:p>
    <w:p>
      <w:pPr>
        <w:pStyle w:val="ListBullet"/>
      </w:pPr>
      <w:r>
        <w:t>Diese deutschsprachige Pitch-Präsentation und ein 5–8-minütiger synthetischer Demo-Flow.</w:t>
      </w:r>
    </w:p>
    <w:p>
      <w:pPr>
        <w:pStyle w:val="ListBullet"/>
      </w:pPr>
      <w:r>
        <w:t>Synthetisches Nachweispaket plus Offline-Verifier und eine kurze Erklärung, was die Signatur beweist und nicht beweist.</w:t>
      </w:r>
    </w:p>
    <w:p>
      <w:pPr>
        <w:pStyle w:val="ListBullet"/>
      </w:pPr>
      <w:r>
        <w:t>DPA, Subprozessoren, Datenorte, Rollen, Retention/Löschung, Incident-Prozess und Export/Offboarding.</w:t>
      </w:r>
    </w:p>
    <w:p>
      <w:pPr>
        <w:pStyle w:val="ListBullet"/>
      </w:pPr>
      <w:r>
        <w:t>Offene Liste aktueller Attestierungsgrenzen: keine erfundene ISO-, SOC-, HIPAA- oder Residency-Aussage.</w:t>
      </w:r>
    </w:p>
    <w:p>
      <w:pPr>
        <w:pStyle w:val="ListBullet"/>
      </w:pPr>
      <w:r>
        <w:t>Pilot-Order-Form mit Scope, Preis netto zzgl. USt., Datenarten, Support, Erfolg, Stop und Löschung.</w:t>
      </w:r>
    </w:p>
    <w:p>
      <w:pPr>
        <w:pStyle w:val="ListBullet"/>
      </w:pPr>
      <w:r>
        <w:t>CRM-Felder für Quelle, konkrete Relevanz, Kontaktpermission, Art.-14-Hinweis und Widerspruch/Suppression.</w:t>
      </w:r>
    </w:p>
    <w:p>
      <w:pPr>
        <w:pStyle w:val="ListBullet"/>
      </w:pPr>
      <w:r>
        <w:t>Public-Copy-Fix für „sufficient AI literacy“ vor Wiederverwendung.</w:t>
      </w:r>
    </w:p>
    <w:tbl>
      <w:tblPr>
        <w:tblW w:type="auto" w:w="0"/>
        <w:jc w:val="left"/>
        <w:tblLook w:firstColumn="1" w:firstRow="1" w:lastColumn="0" w:lastRow="0" w:noHBand="0" w:noVBand="1" w:val="04A0"/>
      </w:tblPr>
      <w:tblGrid>
        <w:gridCol w:w="10036"/>
      </w:tblGrid>
      <w:tr>
        <w:tc>
          <w:tcPr>
            <w:tcW w:type="dxa" w:w="10036"/>
            <w:shd w:fill="0A0A0A"/>
            <w:tcMar>
              <w:top w:w="170" w:type="dxa"/>
              <w:start w:w="180" w:type="dxa"/>
              <w:bottom w:w="170" w:type="dxa"/>
              <w:end w:w="180" w:type="dxa"/>
            </w:tcMar>
          </w:tcPr>
          <w:p>
            <w:r>
              <w:rPr>
                <w:b/>
                <w:color w:val="78C7EA"/>
                <w:sz w:val="17"/>
              </w:rPr>
              <w:t>STOP-REGEL</w:t>
              <w:br/>
            </w:r>
            <w:r>
              <w:rPr>
                <w:b/>
                <w:color w:val="FFFFFF"/>
                <w:sz w:val="25"/>
              </w:rPr>
              <w:t>Nicht skalieren, bevor mindestens fünf qualifizierte Gespräche, zwei lawful Sample-Zugänge und ein externer Leser mit echtem Interesse am Nachweispaket vorliegen.</w:t>
            </w:r>
          </w:p>
        </w:tc>
      </w:tr>
    </w:tbl>
    <w:p>
      <w:r>
        <w:br w:type="page"/>
      </w:r>
    </w:p>
    <w:p>
      <w:pPr>
        <w:spacing w:after="60"/>
      </w:pPr>
      <w:r>
        <w:rPr>
          <w:b/>
          <w:color w:val="199BD3"/>
          <w:sz w:val="16"/>
        </w:rPr>
        <w:t>STAND 4. AUGUST 2026</w:t>
      </w:r>
    </w:p>
    <w:p>
      <w:pPr>
        <w:pStyle w:val="Heading1"/>
      </w:pPr>
      <w:r>
        <w:t>Quellen</w:t>
      </w:r>
    </w:p>
    <w:p>
      <w:pPr>
        <w:spacing w:after="60"/>
      </w:pPr>
      <w:r>
        <w:rPr>
          <w:b/>
          <w:sz w:val="16"/>
        </w:rPr>
        <w:t xml:space="preserve">1. Destatis, KI-Nutzung nach Unternehmensgröße 2025: </w:t>
      </w:r>
      <w:hyperlink r:id="rId13">
        <w:r>
          <w:rPr>
            <w:color w:val="199BD3"/>
            <w:u w:val="single"/>
            <w:sz w:val="15"/>
            <w:szCs w:val="15"/>
          </w:rPr>
          <w:t>https://www.destatis.de/DE/Themen/Branchen-Unternehmen/Unternehmen/IKT-in-Unternehmen-IKT-Branche/Tabellen/ikti-unternehmen-kuenstliche-intelligenz.html</w:t>
        </w:r>
      </w:hyperlink>
    </w:p>
    <w:p>
      <w:pPr>
        <w:spacing w:after="60"/>
      </w:pPr>
      <w:r>
        <w:rPr>
          <w:b/>
          <w:sz w:val="16"/>
        </w:rPr>
        <w:t xml:space="preserve">2. KfW Research, KI im Mittelstand: </w:t>
      </w:r>
      <w:hyperlink r:id="rId14">
        <w:r>
          <w:rPr>
            <w:color w:val="199BD3"/>
            <w:u w:val="single"/>
            <w:sz w:val="15"/>
            <w:szCs w:val="15"/>
          </w:rPr>
          <w:t>https://www.kfw.de/%C3%9Cber-die-KfW/Newsroom/Aktuelles/Pressemitteilungen-Details_880896.html</w:t>
        </w:r>
      </w:hyperlink>
    </w:p>
    <w:p>
      <w:pPr>
        <w:spacing w:after="60"/>
      </w:pPr>
      <w:r>
        <w:rPr>
          <w:b/>
          <w:sz w:val="16"/>
        </w:rPr>
        <w:t xml:space="preserve">3. Bitkom, Digitalisierung und KI in der Wirtschaft 2026: </w:t>
      </w:r>
      <w:hyperlink r:id="rId15">
        <w:r>
          <w:rPr>
            <w:color w:val="199BD3"/>
            <w:u w:val="single"/>
            <w:sz w:val="15"/>
            <w:szCs w:val="15"/>
          </w:rPr>
          <w:t>https://www.bitkom.org/Presse/Presseinformation/Digitalisierung-der-Wirtschaft-Unternehmen-beschaeftigen-sich-mit-KI</w:t>
        </w:r>
      </w:hyperlink>
    </w:p>
    <w:p>
      <w:pPr>
        <w:spacing w:after="60"/>
      </w:pPr>
      <w:r>
        <w:rPr>
          <w:b/>
          <w:sz w:val="16"/>
        </w:rPr>
        <w:t xml:space="preserve">4. UWG § 7, unzumutbare Belästigungen: </w:t>
      </w:r>
      <w:hyperlink r:id="rId16">
        <w:r>
          <w:rPr>
            <w:color w:val="199BD3"/>
            <w:u w:val="single"/>
            <w:sz w:val="15"/>
            <w:szCs w:val="15"/>
          </w:rPr>
          <w:t>https://www.gesetze-im-internet.de/uwg_2004/__7.html</w:t>
        </w:r>
      </w:hyperlink>
    </w:p>
    <w:p>
      <w:pPr>
        <w:spacing w:after="60"/>
      </w:pPr>
      <w:r>
        <w:rPr>
          <w:b/>
          <w:sz w:val="16"/>
        </w:rPr>
        <w:t xml:space="preserve">5. DSK, Orientierungshilfe Direktwerbung: </w:t>
      </w:r>
      <w:hyperlink r:id="rId17">
        <w:r>
          <w:rPr>
            <w:color w:val="199BD3"/>
            <w:u w:val="single"/>
            <w:sz w:val="15"/>
            <w:szCs w:val="15"/>
          </w:rPr>
          <w:t>https://www.datenschutzkonferenz-online.de/media/oh/OH-Werbung_Februar%202022_final.pdf</w:t>
        </w:r>
      </w:hyperlink>
    </w:p>
    <w:p>
      <w:pPr>
        <w:spacing w:after="60"/>
      </w:pPr>
      <w:r>
        <w:rPr>
          <w:b/>
          <w:sz w:val="16"/>
        </w:rPr>
        <w:t xml:space="preserve">6. IHK, Werbung per Telefon/E-Mail/Social Media: </w:t>
      </w:r>
      <w:hyperlink r:id="rId18">
        <w:r>
          <w:rPr>
            <w:color w:val="199BD3"/>
            <w:u w:val="single"/>
            <w:sz w:val="15"/>
            <w:szCs w:val="15"/>
          </w:rPr>
          <w:t>https://www.ihk.de/ostwuerttemberg/produktmarken/recht/recht-a-z/internet-und-neue-medien/werbung-mittels-telefon-sms-fax-e-mail-oder-brief/was-ist-erlaubt-3291380</w:t>
        </w:r>
      </w:hyperlink>
    </w:p>
    <w:p>
      <w:pPr>
        <w:spacing w:after="60"/>
      </w:pPr>
      <w:r>
        <w:rPr>
          <w:b/>
          <w:sz w:val="16"/>
        </w:rPr>
        <w:t xml:space="preserve">7. Regulation (EU) 2026/1744, geänderter AI-Act-Zeitplan: </w:t>
      </w:r>
      <w:hyperlink r:id="rId19">
        <w:r>
          <w:rPr>
            <w:color w:val="199BD3"/>
            <w:u w:val="single"/>
            <w:sz w:val="15"/>
            <w:szCs w:val="15"/>
          </w:rPr>
          <w:t>https://eur-lex.europa.eu/legal-content/EN/TXT/?uri=CELEX%3A32026R1744</w:t>
        </w:r>
      </w:hyperlink>
    </w:p>
    <w:p>
      <w:pPr>
        <w:spacing w:after="60"/>
      </w:pPr>
      <w:r>
        <w:rPr>
          <w:b/>
          <w:sz w:val="16"/>
        </w:rPr>
        <w:t xml:space="preserve">8. EU-Kommission, AI-Literacy-Q&amp;A: </w:t>
      </w:r>
      <w:hyperlink r:id="rId20">
        <w:r>
          <w:rPr>
            <w:color w:val="199BD3"/>
            <w:u w:val="single"/>
            <w:sz w:val="15"/>
            <w:szCs w:val="15"/>
          </w:rPr>
          <w:t>https://digital-strategy.ec.europa.eu/en/faqs/ai-literacy-questions-answers</w:t>
        </w:r>
      </w:hyperlink>
    </w:p>
    <w:p>
      <w:pPr>
        <w:spacing w:after="60"/>
      </w:pPr>
      <w:r>
        <w:rPr>
          <w:b/>
          <w:sz w:val="16"/>
        </w:rPr>
        <w:t xml:space="preserve">9. BSI, Generative KI-Modelle: </w:t>
      </w:r>
      <w:hyperlink r:id="rId21">
        <w:r>
          <w:rPr>
            <w:color w:val="199BD3"/>
            <w:u w:val="single"/>
            <w:sz w:val="15"/>
            <w:szCs w:val="15"/>
          </w:rPr>
          <w:t>https://www.bsi.bund.de/SharedDocs/Downloads/DE/BSI/KI/Generative_KI-Modelle.pdf?__blob=publicationFile&amp;v=7</w:t>
        </w:r>
      </w:hyperlink>
    </w:p>
    <w:p>
      <w:pPr>
        <w:spacing w:after="60"/>
      </w:pPr>
      <w:r>
        <w:rPr>
          <w:b/>
          <w:sz w:val="16"/>
        </w:rPr>
        <w:t xml:space="preserve">10. BetrVG § 87: </w:t>
      </w:r>
      <w:hyperlink r:id="rId22">
        <w:r>
          <w:rPr>
            <w:color w:val="199BD3"/>
            <w:u w:val="single"/>
            <w:sz w:val="15"/>
            <w:szCs w:val="15"/>
          </w:rPr>
          <w:t>https://www.gesetze-im-internet.de/betrvg/__87.html</w:t>
        </w:r>
      </w:hyperlink>
    </w:p>
    <w:p>
      <w:pPr>
        <w:spacing w:after="60"/>
      </w:pPr>
      <w:r>
        <w:rPr>
          <w:b/>
          <w:sz w:val="16"/>
        </w:rPr>
        <w:t xml:space="preserve">11. EDPB, Automated Decision-Making and Profiling: </w:t>
      </w:r>
      <w:hyperlink r:id="rId23">
        <w:r>
          <w:rPr>
            <w:color w:val="199BD3"/>
            <w:u w:val="single"/>
            <w:sz w:val="15"/>
            <w:szCs w:val="15"/>
          </w:rPr>
          <w:t>https://www.edpb.europa.eu/documents/guideline/automated-decision-making-and-profiling_en</w:t>
        </w:r>
      </w:hyperlink>
    </w:p>
    <w:p>
      <w:pPr>
        <w:spacing w:after="60"/>
      </w:pPr>
      <w:r>
        <w:rPr>
          <w:b/>
          <w:sz w:val="16"/>
        </w:rPr>
        <w:t xml:space="preserve">12. Bundesnetzagentur/DSC, Tätigkeitsbericht 2025: </w:t>
      </w:r>
      <w:hyperlink r:id="rId24">
        <w:r>
          <w:rPr>
            <w:color w:val="199BD3"/>
            <w:u w:val="single"/>
            <w:sz w:val="15"/>
            <w:szCs w:val="15"/>
          </w:rPr>
          <w:t>https://bundesnetzagentur.de/SharedDocs/Pressemitteilungen/DE/2026/20260430_TB_DSC.html</w:t>
        </w:r>
      </w:hyperlink>
    </w:p>
    <w:p>
      <w:pPr>
        <w:spacing w:after="60"/>
      </w:pPr>
      <w:r>
        <w:rPr>
          <w:b/>
          <w:sz w:val="16"/>
        </w:rPr>
        <w:t xml:space="preserve">13. RateLoop, Human Oversight: </w:t>
      </w:r>
      <w:hyperlink r:id="rId25">
        <w:r>
          <w:rPr>
            <w:color w:val="199BD3"/>
            <w:u w:val="single"/>
            <w:sz w:val="15"/>
            <w:szCs w:val="15"/>
          </w:rPr>
          <w:t>https://rateloop-tokenless.vercel.app/docs/human-oversight</w:t>
        </w:r>
      </w:hyperlink>
    </w:p>
    <w:p>
      <w:pPr>
        <w:spacing w:after="60"/>
      </w:pPr>
      <w:r>
        <w:rPr>
          <w:b/>
          <w:sz w:val="16"/>
        </w:rPr>
        <w:t xml:space="preserve">14. RateLoop, Evidence: </w:t>
      </w:r>
      <w:hyperlink r:id="rId26">
        <w:r>
          <w:rPr>
            <w:color w:val="199BD3"/>
            <w:u w:val="single"/>
            <w:sz w:val="15"/>
            <w:szCs w:val="15"/>
          </w:rPr>
          <w:t>https://rateloop-tokenless.vercel.app/docs/evidence</w:t>
        </w:r>
      </w:hyperlink>
    </w:p>
    <w:p>
      <w:pPr>
        <w:spacing w:after="60"/>
      </w:pPr>
      <w:r>
        <w:rPr>
          <w:b/>
          <w:sz w:val="16"/>
        </w:rPr>
        <w:t xml:space="preserve">15. RateLoop, tokenless Design of Record: </w:t>
      </w:r>
      <w:hyperlink r:id="rId27">
        <w:r>
          <w:rPr>
            <w:color w:val="199BD3"/>
            <w:u w:val="single"/>
            <w:sz w:val="15"/>
            <w:szCs w:val="15"/>
          </w:rPr>
          <w:t>https://github.com/RateLoop/RateLoop/blob/tokenless/docs/tokenless-immutable-implementation-plan-2026-07.md</w:t>
        </w:r>
      </w:hyperlink>
    </w:p>
    <w:sectPr w:rsidR="00FC693F" w:rsidRPr="0006063C" w:rsidSect="00034616">
      <w:headerReference w:type="default" r:id="rId9"/>
      <w:headerReference w:type="even" r:id="rId10"/>
      <w:footerReference w:type="default" r:id="rId11"/>
      <w:footerReference w:type="even" r:id="rId12"/>
      <w:pgSz w:w="11906" w:h="16838"/>
      <w:pgMar w:top="879" w:right="935" w:bottom="1077"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A73"/>
        <w:sz w:val="15"/>
      </w:rPr>
      <w:t xml:space="preserve">Deutschland-Vertriebsleitfaden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A73"/>
        <w:sz w:val="15"/>
      </w:rPr>
      <w:t xml:space="preserve">Deutschland-Vertriebsleitfaden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666A73"/>
        <w:sz w:val="15"/>
      </w:rPr>
      <w:t>RateLoop  /  Human Assurance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666A73"/>
        <w:sz w:val="15"/>
      </w:rPr>
      <w:t>RateLoop  /  Human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D1D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60"/>
      <w:outlineLvl w:val="0"/>
    </w:pPr>
    <w:rPr>
      <w:rFonts w:asciiTheme="majorHAnsi" w:eastAsiaTheme="majorEastAsia" w:hAnsiTheme="majorHAnsi" w:cstheme="majorBidi" w:ascii="Aptos Display" w:hAnsi="Aptos Display"/>
      <w:b/>
      <w:bCs/>
      <w:color w:val="0A0A0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99BD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A0A0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666A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12" w:hanging="14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51" w:hanging="159"/>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destatis.de/DE/Themen/Branchen-Unternehmen/Unternehmen/IKT-in-Unternehmen-IKT-Branche/Tabellen/ikti-unternehmen-kuenstliche-intelligenz.html" TargetMode="External"/><Relationship Id="rId14" Type="http://schemas.openxmlformats.org/officeDocument/2006/relationships/hyperlink" Target="https://www.kfw.de/%C3%9Cber-die-KfW/Newsroom/Aktuelles/Pressemitteilungen-Details_880896.html" TargetMode="External"/><Relationship Id="rId15" Type="http://schemas.openxmlformats.org/officeDocument/2006/relationships/hyperlink" Target="https://www.bitkom.org/Presse/Presseinformation/Digitalisierung-der-Wirtschaft-Unternehmen-beschaeftigen-sich-mit-KI" TargetMode="External"/><Relationship Id="rId16" Type="http://schemas.openxmlformats.org/officeDocument/2006/relationships/hyperlink" Target="https://www.gesetze-im-internet.de/uwg_2004/__7.html" TargetMode="External"/><Relationship Id="rId17" Type="http://schemas.openxmlformats.org/officeDocument/2006/relationships/hyperlink" Target="https://www.datenschutzkonferenz-online.de/media/oh/OH-Werbung_Februar%202022_final.pdf" TargetMode="External"/><Relationship Id="rId18" Type="http://schemas.openxmlformats.org/officeDocument/2006/relationships/hyperlink" Target="https://www.ihk.de/ostwuerttemberg/produktmarken/recht/recht-a-z/internet-und-neue-medien/werbung-mittels-telefon-sms-fax-e-mail-oder-brief/was-ist-erlaubt-3291380" TargetMode="External"/><Relationship Id="rId19" Type="http://schemas.openxmlformats.org/officeDocument/2006/relationships/hyperlink" Target="https://eur-lex.europa.eu/legal-content/EN/TXT/?uri=CELEX%3A32026R1744" TargetMode="External"/><Relationship Id="rId20" Type="http://schemas.openxmlformats.org/officeDocument/2006/relationships/hyperlink" Target="https://digital-strategy.ec.europa.eu/en/faqs/ai-literacy-questions-answers" TargetMode="External"/><Relationship Id="rId21" Type="http://schemas.openxmlformats.org/officeDocument/2006/relationships/hyperlink" Target="https://www.bsi.bund.de/SharedDocs/Downloads/DE/BSI/KI/Generative_KI-Modelle.pdf?__blob=publicationFile&amp;v=7" TargetMode="External"/><Relationship Id="rId22" Type="http://schemas.openxmlformats.org/officeDocument/2006/relationships/hyperlink" Target="https://www.gesetze-im-internet.de/betrvg/__87.html" TargetMode="External"/><Relationship Id="rId23" Type="http://schemas.openxmlformats.org/officeDocument/2006/relationships/hyperlink" Target="https://www.edpb.europa.eu/documents/guideline/automated-decision-making-and-profiling_en" TargetMode="External"/><Relationship Id="rId24" Type="http://schemas.openxmlformats.org/officeDocument/2006/relationships/hyperlink" Target="https://bundesnetzagentur.de/SharedDocs/Pressemitteilungen/DE/2026/20260430_TB_DSC.html" TargetMode="External"/><Relationship Id="rId25" Type="http://schemas.openxmlformats.org/officeDocument/2006/relationships/hyperlink" Target="https://rateloop-tokenless.vercel.app/docs/human-oversight" TargetMode="External"/><Relationship Id="rId26" Type="http://schemas.openxmlformats.org/officeDocument/2006/relationships/hyperlink" Target="https://rateloop-tokenless.vercel.app/docs/evidence" TargetMode="External"/><Relationship Id="rId27" Type="http://schemas.openxmlformats.org/officeDocument/2006/relationships/hyperlink" Target="https://github.com/RateLoop/RateLoop/blob/tokenless/docs/tokenless-immutable-implementation-plan-2026-07.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