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표준운영절차 SOP-001</w:t>
      </w:r>
    </w:p>
    <w:p>
      <w:r>
        <w:t>This document describes the standard preparation procedure.</w:t>
      </w:r>
    </w:p>
    <w:p>
      <w:pPr>
        <w:numPr>
          <w:ilvl w:val="0"/>
          <w:numId w:val="99"/>
        </w:numPr>
      </w:pPr>
      <w:r>
        <w:t>작업 준비 (Preparation)</w:t>
      </w:r>
    </w:p>
    <w:p>
      <w:pPr>
        <w:numPr>
          <w:ilvl w:val="1"/>
          <w:numId w:val="99"/>
        </w:numPr>
      </w:pPr>
      <w:r>
        <w:t>Verify equipment status</w:t>
      </w:r>
    </w:p>
    <w:p>
      <w:pPr>
        <w:numPr>
          <w:ilvl w:val="2"/>
          <w:numId w:val="99"/>
        </w:numPr>
      </w:pPr>
      <w:r>
        <w:t>Check power supply</w:t>
      </w:r>
    </w:p>
    <w:p>
      <w:pPr>
        <w:numPr>
          <w:ilvl w:val="0"/>
          <w:numId w:val="99"/>
        </w:numPr>
      </w:pPr>
      <w:r>
        <w:t>작업 수행 (Execution)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1: System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전원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</w:tbl>
    <w:p>
      <w:pPr>
        <w:pStyle w:val="Caption"/>
      </w:pPr>
      <w:r>
        <w:t>표 1: Equipment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9">
    <w:lvl w:ilvl="0">
      <w:start w:val="1"/>
      <w:numFmt w:val="decimal"/>
      <w:lvlText w:val="%1."/>
      <w:pPr>
        <w:ind w:left="0"/>
      </w:pPr>
    </w:lvl>
    <w:lvl w:ilvl="1">
      <w:start w:val="1"/>
      <w:numFmt w:val="decimal"/>
      <w:lvlText w:val="%2)"/>
      <w:pPr>
        <w:ind w:left="720"/>
      </w:pPr>
    </w:lvl>
    <w:lvl w:ilvl="2">
      <w:start w:val="1"/>
      <w:numFmt w:val="lowerLetter"/>
      <w:lvlText w:val="(%3)"/>
      <w:pPr>
        <w:ind w:left="1440"/>
      </w:pPr>
    </w:lvl>
  </w:abstract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