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ACFBE">
      <w:pPr>
        <w:spacing w:line="360" w:lineRule="auto"/>
        <w:ind w:firstLine="720"/>
        <w:jc w:val="center"/>
        <w:rPr>
          <w:rStyle w:val="12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2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Corporación Universitaria </w:t>
      </w:r>
      <w:r>
        <w:rPr>
          <w:rStyle w:val="12"/>
          <w:b/>
          <w:bCs/>
          <w:color w:val="000000" w:themeColor="text1"/>
          <w:lang w:val="es-CO"/>
          <w14:textFill>
            <w14:solidFill>
              <w14:schemeClr w14:val="tx1"/>
            </w14:solidFill>
          </w14:textFill>
        </w:rPr>
        <w:t>Iberoamerica</w:t>
      </w:r>
      <w:bookmarkStart w:id="0" w:name="_GoBack"/>
      <w:bookmarkEnd w:id="0"/>
      <w:r>
        <w:rPr>
          <w:rStyle w:val="12"/>
          <w:b/>
          <w:bCs/>
          <w:color w:val="000000" w:themeColor="text1"/>
          <w:lang w:val="es-CO"/>
          <w14:textFill>
            <w14:solidFill>
              <w14:schemeClr w14:val="tx1"/>
            </w14:solidFill>
          </w14:textFill>
        </w:rPr>
        <w:t>na</w:t>
      </w:r>
    </w:p>
    <w:p w14:paraId="69EA0239">
      <w:pPr>
        <w:spacing w:line="360" w:lineRule="auto"/>
        <w:ind w:firstLine="720"/>
        <w:jc w:val="center"/>
        <w:rPr>
          <w:rStyle w:val="12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0027BF8">
      <w:pPr>
        <w:spacing w:line="360" w:lineRule="auto"/>
        <w:ind w:firstLine="720"/>
        <w:jc w:val="center"/>
        <w:rPr>
          <w:rStyle w:val="12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E417F87">
      <w:pPr>
        <w:spacing w:line="360" w:lineRule="auto"/>
        <w:jc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</w:rPr>
        <w:t>Análisis y diseño de sistemas</w:t>
      </w:r>
    </w:p>
    <w:p w14:paraId="7A8C2DD4">
      <w:pPr>
        <w:spacing w:line="360" w:lineRule="auto"/>
        <w:ind w:firstLine="720"/>
        <w:jc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E894CDE">
      <w:pPr>
        <w:spacing w:line="360" w:lineRule="auto"/>
        <w:ind w:firstLine="720"/>
        <w:jc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6B393C6">
      <w:pPr>
        <w:spacing w:line="360" w:lineRule="auto"/>
        <w:jc w:val="center"/>
        <w:rPr>
          <w:rStyle w:val="12"/>
          <w:b/>
          <w:bCs/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2"/>
          <w:b/>
          <w:bCs/>
        </w:rPr>
        <w:t>Identificar el proyecto tecnológico a trabajar</w:t>
      </w:r>
    </w:p>
    <w:p w14:paraId="603D20C9">
      <w:pPr>
        <w:pStyle w:val="2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Formulación del proyecto: Plataforma de reclutamiento empresarial TalentoLink</w:t>
      </w:r>
    </w:p>
    <w:p w14:paraId="5F7660E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TalentoLink: </w:t>
      </w:r>
      <w:r>
        <w:rPr>
          <w:b/>
          <w:bCs/>
          <w:sz w:val="22"/>
          <w:szCs w:val="22"/>
          <w:lang w:val="es-ES"/>
        </w:rPr>
        <w:t>página</w:t>
      </w:r>
      <w:r>
        <w:rPr>
          <w:rFonts w:hint="default"/>
          <w:b/>
          <w:bCs/>
          <w:sz w:val="22"/>
          <w:szCs w:val="22"/>
          <w:lang w:val="es-ES"/>
        </w:rPr>
        <w:t xml:space="preserve"> </w:t>
      </w:r>
      <w:r>
        <w:rPr>
          <w:b/>
          <w:bCs/>
          <w:sz w:val="22"/>
          <w:szCs w:val="22"/>
        </w:rPr>
        <w:t>web para la</w:t>
      </w:r>
      <w:r>
        <w:rPr>
          <w:rFonts w:hint="default"/>
          <w:b/>
          <w:bCs/>
          <w:sz w:val="22"/>
          <w:szCs w:val="22"/>
          <w:lang w:val="es-ES"/>
        </w:rPr>
        <w:t xml:space="preserve"> </w:t>
      </w:r>
      <w:r>
        <w:rPr>
          <w:b/>
          <w:bCs/>
          <w:sz w:val="22"/>
          <w:szCs w:val="22"/>
        </w:rPr>
        <w:t xml:space="preserve"> gestión </w:t>
      </w:r>
      <w:r>
        <w:rPr>
          <w:rFonts w:hint="default"/>
          <w:b/>
          <w:bCs/>
          <w:sz w:val="22"/>
          <w:szCs w:val="22"/>
          <w:lang w:val="es-ES"/>
        </w:rPr>
        <w:t xml:space="preserve">y la automatización </w:t>
      </w:r>
      <w:r>
        <w:rPr>
          <w:b/>
          <w:bCs/>
          <w:sz w:val="22"/>
          <w:szCs w:val="22"/>
        </w:rPr>
        <w:t>de hojas de vida en</w:t>
      </w:r>
      <w:r>
        <w:rPr>
          <w:rFonts w:hint="default"/>
          <w:b/>
          <w:bCs/>
          <w:sz w:val="22"/>
          <w:szCs w:val="22"/>
          <w:lang w:val="es-ES"/>
        </w:rPr>
        <w:t xml:space="preserve"> las</w:t>
      </w:r>
      <w:r>
        <w:rPr>
          <w:b/>
          <w:bCs/>
          <w:sz w:val="22"/>
          <w:szCs w:val="22"/>
        </w:rPr>
        <w:t xml:space="preserve"> empresas</w:t>
      </w:r>
    </w:p>
    <w:p w14:paraId="1B6A45D8">
      <w:pPr>
        <w:spacing w:line="360" w:lineRule="auto"/>
        <w:jc w:val="center"/>
        <w:rPr>
          <w:rStyle w:val="12"/>
          <w:b/>
          <w:bCs/>
        </w:rPr>
      </w:pPr>
    </w:p>
    <w:p w14:paraId="657D38FC">
      <w:pPr>
        <w:spacing w:line="360" w:lineRule="auto"/>
        <w:ind w:firstLine="720"/>
        <w:jc w:val="center"/>
        <w:rPr>
          <w:rStyle w:val="12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667495F">
      <w:pPr>
        <w:spacing w:line="360" w:lineRule="auto"/>
        <w:jc w:val="center"/>
        <w:rPr>
          <w:rStyle w:val="12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2"/>
          <w:b/>
          <w:bCs/>
        </w:rPr>
        <w:t>Actividad 1</w:t>
      </w:r>
    </w:p>
    <w:p w14:paraId="0EB5F643">
      <w:pPr>
        <w:spacing w:line="360" w:lineRule="auto"/>
        <w:jc w:val="center"/>
        <w:rPr>
          <w:rStyle w:val="12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147ED08">
      <w:pPr>
        <w:spacing w:line="360" w:lineRule="auto"/>
        <w:jc w:val="center"/>
        <w:rPr>
          <w:rStyle w:val="12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2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Erolin yedicza Angel Lemus y Andres Felipe Campo Serna</w:t>
      </w:r>
    </w:p>
    <w:p w14:paraId="5A3FD91A">
      <w:pPr>
        <w:spacing w:line="360" w:lineRule="auto"/>
        <w:jc w:val="center"/>
        <w:rPr>
          <w:rStyle w:val="12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5E39929">
      <w:pPr>
        <w:spacing w:line="360" w:lineRule="auto"/>
        <w:ind w:firstLine="720"/>
        <w:jc w:val="center"/>
        <w:rPr>
          <w:rStyle w:val="12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2"/>
          <w:b/>
          <w:bCs/>
        </w:rPr>
        <w:t>Docente: Tatiana Cabrera</w:t>
      </w:r>
    </w:p>
    <w:p w14:paraId="02A2801F">
      <w:pPr>
        <w:spacing w:line="360" w:lineRule="auto"/>
        <w:jc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BA80EC2">
      <w:pPr>
        <w:spacing w:line="360" w:lineRule="auto"/>
        <w:ind w:firstLine="720"/>
        <w:jc w:val="center"/>
        <w:rPr>
          <w:sz w:val="22"/>
          <w:szCs w:val="22"/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12"/>
          <w:b/>
          <w:bCs/>
        </w:rPr>
        <w:t>04 de octubre de 2026</w:t>
      </w:r>
    </w:p>
    <w:p w14:paraId="288F5B47">
      <w:pPr>
        <w:pStyle w:val="3"/>
        <w:rPr>
          <w:sz w:val="22"/>
          <w:szCs w:val="22"/>
        </w:rPr>
      </w:pPr>
      <w:r>
        <w:rPr>
          <w:sz w:val="22"/>
          <w:szCs w:val="22"/>
        </w:rPr>
        <w:t>Introducción</w:t>
      </w:r>
    </w:p>
    <w:p w14:paraId="4FF7CF87">
      <w:pPr>
        <w:rPr>
          <w:sz w:val="22"/>
          <w:szCs w:val="22"/>
        </w:rPr>
      </w:pPr>
      <w:r>
        <w:rPr>
          <w:sz w:val="22"/>
          <w:szCs w:val="22"/>
        </w:rPr>
        <w:t>El presente documento formula el proyecto TalentoLink, una plataforma web orientada al módulo de negocio de un portal de empleo similar a Computrabajo. Su propósito es que las empresas publiquen vacantes, reciban hojas de vida de manera centralizada y gestionen a los candidatos durante todo el proceso de selección.</w:t>
      </w:r>
    </w:p>
    <w:p w14:paraId="58EB38FE">
      <w:pPr>
        <w:rPr>
          <w:sz w:val="22"/>
          <w:szCs w:val="22"/>
        </w:rPr>
      </w:pPr>
      <w:r>
        <w:rPr>
          <w:sz w:val="22"/>
          <w:szCs w:val="22"/>
        </w:rPr>
        <w:t>El objetivo principal es construir una solución de software de calidad que reduzca el tiempo y el desorden con que las pequeñas y medianas empresas colombianas</w:t>
      </w:r>
      <w:r>
        <w:rPr>
          <w:rFonts w:hint="default"/>
          <w:sz w:val="22"/>
          <w:szCs w:val="22"/>
          <w:lang w:val="es-ES"/>
        </w:rPr>
        <w:t xml:space="preserve"> donde</w:t>
      </w:r>
      <w:r>
        <w:rPr>
          <w:sz w:val="22"/>
          <w:szCs w:val="22"/>
        </w:rPr>
        <w:t xml:space="preserve"> reciben y filtran </w:t>
      </w:r>
      <w:r>
        <w:rPr>
          <w:sz w:val="22"/>
          <w:szCs w:val="22"/>
          <w:lang w:val="es-ES"/>
        </w:rPr>
        <w:t>las postulaciones</w:t>
      </w:r>
      <w:r>
        <w:rPr>
          <w:sz w:val="22"/>
          <w:szCs w:val="22"/>
        </w:rPr>
        <w:t>. Hoy muchas de ellas dependen del correo electrónico</w:t>
      </w:r>
      <w:r>
        <w:rPr>
          <w:rFonts w:hint="default"/>
          <w:sz w:val="22"/>
          <w:szCs w:val="22"/>
          <w:lang w:val="es-ES"/>
        </w:rPr>
        <w:t xml:space="preserve"> y </w:t>
      </w:r>
      <w:r>
        <w:rPr>
          <w:sz w:val="22"/>
          <w:szCs w:val="22"/>
        </w:rPr>
        <w:t>de WhatsApp, lo que provoca pérdida de información y decisiones lentas.</w:t>
      </w:r>
    </w:p>
    <w:p w14:paraId="3E6CD3C7">
      <w:pPr>
        <w:rPr>
          <w:sz w:val="22"/>
          <w:szCs w:val="22"/>
        </w:rPr>
      </w:pPr>
      <w:r>
        <w:rPr>
          <w:sz w:val="22"/>
          <w:szCs w:val="22"/>
        </w:rPr>
        <w:t>Para lograrlo, el documento aplica los conceptos de la gestión de proyectos de software propuestos por Pressman y Sommerville: definición del problema, objetivos, alcance, estructura de desglose del trabajo (EDT), matriz de riesgos, cronograma y presupuesto. También retoma los principios de manufactura aplicados al software, que buscan eliminar desperdicios y entregar valor al cliente desde las primeras iteraciones.</w:t>
      </w:r>
    </w:p>
    <w:p w14:paraId="5531B37A">
      <w:pPr>
        <w:rPr>
          <w:sz w:val="22"/>
          <w:szCs w:val="22"/>
        </w:rPr>
      </w:pPr>
      <w:r>
        <w:rPr>
          <w:sz w:val="22"/>
          <w:szCs w:val="22"/>
        </w:rPr>
        <w:t>Como reflexión inicial,</w:t>
      </w:r>
      <w:r>
        <w:rPr>
          <w:rFonts w:hint="default"/>
          <w:sz w:val="22"/>
          <w:szCs w:val="22"/>
          <w:lang w:val="es-ES"/>
        </w:rPr>
        <w:t xml:space="preserve"> nuestro</w:t>
      </w:r>
      <w:r>
        <w:rPr>
          <w:sz w:val="22"/>
          <w:szCs w:val="22"/>
        </w:rPr>
        <w:t xml:space="preserve"> equipo considera que la calidad del resultado no depende solo del código, sino de una planeación clara y ordenada. Un proyecto bien formulado permite anticipar riesgos, controlar costos y responder a lo que realmente necesitan las empresas y los candidatos.</w:t>
      </w:r>
    </w:p>
    <w:p w14:paraId="2E9FAD2A">
      <w:pPr>
        <w:pStyle w:val="3"/>
        <w:rPr>
          <w:sz w:val="22"/>
          <w:szCs w:val="22"/>
        </w:rPr>
      </w:pPr>
      <w:r>
        <w:rPr>
          <w:sz w:val="22"/>
          <w:szCs w:val="22"/>
        </w:rPr>
        <w:t>Descripción del problema</w:t>
      </w:r>
    </w:p>
    <w:p w14:paraId="2E77344A">
      <w:pPr>
        <w:rPr>
          <w:sz w:val="22"/>
          <w:szCs w:val="22"/>
        </w:rPr>
      </w:pPr>
      <w:r>
        <w:rPr>
          <w:sz w:val="22"/>
          <w:szCs w:val="22"/>
        </w:rPr>
        <w:t>Las pymes del sector productivo colombiano (comercio, servicios, manufactura y tecnología) no cuentan con una herramienta propia y económica para recibir y organizar las hojas de vida de sus aspirantes. El proceso de reclutamiento se realiza de forma manual y dispersa.</w:t>
      </w:r>
    </w:p>
    <w:p w14:paraId="7A0BF18B">
      <w:pPr>
        <w:rPr>
          <w:sz w:val="22"/>
          <w:szCs w:val="22"/>
        </w:rPr>
      </w:pPr>
      <w:r>
        <w:rPr>
          <w:b/>
          <w:sz w:val="22"/>
          <w:szCs w:val="22"/>
        </w:rPr>
        <w:t>Situación actual.</w:t>
      </w:r>
      <w:r>
        <w:rPr>
          <w:sz w:val="22"/>
          <w:szCs w:val="22"/>
        </w:rPr>
        <w:t xml:space="preserve"> Cuando una empresa necesita personal, publica la vacante en redes sociales o </w:t>
      </w:r>
      <w:r>
        <w:rPr>
          <w:sz w:val="22"/>
          <w:szCs w:val="22"/>
          <w:lang w:val="es-ES"/>
        </w:rPr>
        <w:t>en grupos</w:t>
      </w:r>
      <w:r>
        <w:rPr>
          <w:sz w:val="22"/>
          <w:szCs w:val="22"/>
        </w:rPr>
        <w:t xml:space="preserve"> de mensajería y pide que le envíen la hoja de vida por correo o </w:t>
      </w:r>
      <w:r>
        <w:rPr>
          <w:sz w:val="22"/>
          <w:szCs w:val="22"/>
          <w:lang w:val="es-ES"/>
        </w:rPr>
        <w:t>por WhatsApp</w:t>
      </w:r>
      <w:r>
        <w:rPr>
          <w:sz w:val="22"/>
          <w:szCs w:val="22"/>
        </w:rPr>
        <w:t>. Esto genera los siguientes problemas:</w:t>
      </w:r>
    </w:p>
    <w:p w14:paraId="3D38EDF7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Las hojas de vida llegan en formatos distintos (PDF, Word, fotos) y </w:t>
      </w:r>
      <w:r>
        <w:rPr>
          <w:sz w:val="22"/>
          <w:szCs w:val="22"/>
          <w:lang w:val="es-ES"/>
        </w:rPr>
        <w:t>por</w:t>
      </w:r>
      <w:r>
        <w:rPr>
          <w:sz w:val="22"/>
          <w:szCs w:val="22"/>
        </w:rPr>
        <w:t xml:space="preserve"> canales diferentes, por lo que se pierden o se duplican.</w:t>
      </w:r>
    </w:p>
    <w:p w14:paraId="0F55011E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El encargado de talento humano revisa cada documento a mano, sin filtros por experiencia, nivel de estudios, ciudad </w:t>
      </w:r>
      <w:r>
        <w:rPr>
          <w:sz w:val="22"/>
          <w:szCs w:val="22"/>
          <w:lang w:val="es-ES"/>
        </w:rPr>
        <w:t>ni</w:t>
      </w:r>
      <w:r>
        <w:rPr>
          <w:sz w:val="22"/>
          <w:szCs w:val="22"/>
        </w:rPr>
        <w:t xml:space="preserve"> aspiración salarial.</w:t>
      </w:r>
    </w:p>
    <w:p w14:paraId="4833AE6F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No existe un registro del estado de cada candidato (recibido, en revisión, entrevista, descartado, contratado), ni un historial para futuras vacantes.</w:t>
      </w:r>
    </w:p>
    <w:p w14:paraId="5E9D64B2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Los aspirantes no reciben respuesta, lo que deteriora la imagen de la empresa.</w:t>
      </w:r>
    </w:p>
    <w:p w14:paraId="7A9D8356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Los datos personales se almacenan sin control, lo que expone a la empresa frente a la Ley 1581 de 2012 de protección de datos personales.</w:t>
      </w:r>
    </w:p>
    <w:p w14:paraId="342E053B">
      <w:pPr>
        <w:rPr>
          <w:sz w:val="22"/>
          <w:szCs w:val="22"/>
        </w:rPr>
      </w:pPr>
      <w:r>
        <w:rPr>
          <w:b/>
          <w:sz w:val="22"/>
          <w:szCs w:val="22"/>
        </w:rPr>
        <w:t>Necesidad.</w:t>
      </w:r>
      <w:r>
        <w:rPr>
          <w:sz w:val="22"/>
          <w:szCs w:val="22"/>
        </w:rPr>
        <w:t xml:space="preserve"> Las empresas requieren un sistema centralizado donde publicar ofertas, recibir postulaciones estructuradas, filtrar candidatos y hacer seguimiento al proceso de selección, con un costo accesible para su tamaño.</w:t>
      </w:r>
    </w:p>
    <w:p w14:paraId="65F1919D">
      <w:pPr>
        <w:rPr>
          <w:sz w:val="22"/>
          <w:szCs w:val="22"/>
        </w:rPr>
      </w:pPr>
    </w:p>
    <w:p w14:paraId="3EB087AA">
      <w:pPr>
        <w:rPr>
          <w:sz w:val="22"/>
          <w:szCs w:val="22"/>
        </w:rPr>
      </w:pPr>
    </w:p>
    <w:p w14:paraId="00C55BDC">
      <w:pPr>
        <w:rPr>
          <w:sz w:val="22"/>
          <w:szCs w:val="22"/>
        </w:rPr>
      </w:pPr>
      <w:r>
        <w:rPr>
          <w:b/>
          <w:sz w:val="22"/>
          <w:szCs w:val="22"/>
        </w:rPr>
        <w:t>Posibles soluciones.</w:t>
      </w:r>
      <w:r>
        <w:rPr>
          <w:sz w:val="22"/>
          <w:szCs w:val="22"/>
        </w:rPr>
        <w:t xml:space="preserve"> Se evaluaron tres alternativas:</w:t>
      </w:r>
    </w:p>
    <w:tbl>
      <w:tblPr>
        <w:tblStyle w:val="15"/>
        <w:tblW w:w="9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3320"/>
        <w:gridCol w:w="3320"/>
      </w:tblGrid>
      <w:tr w14:paraId="727EF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tblHeader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017EDC7B">
            <w:pPr>
              <w:rPr>
                <w:rFonts w:hint="default"/>
                <w:b/>
                <w:i w:val="0"/>
                <w:color w:val="FFFFFF"/>
                <w:sz w:val="22"/>
                <w:szCs w:val="22"/>
                <w:lang w:val="es-ES"/>
              </w:rPr>
            </w:pPr>
            <w:r>
              <w:rPr>
                <w:rFonts w:hint="default"/>
                <w:b/>
                <w:i w:val="0"/>
                <w:color w:val="FFFFFF"/>
                <w:sz w:val="22"/>
                <w:szCs w:val="22"/>
                <w:lang w:val="es-ES"/>
              </w:rPr>
              <w:t>Alternativas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46F67FC9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Ventajas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376864BB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Desventajas</w:t>
            </w:r>
          </w:p>
        </w:tc>
      </w:tr>
      <w:tr w14:paraId="253F4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550D16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Seguir con correo y hojas de cálculo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8324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Sin costo inicial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9C1F6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No escala, no filtra, alto riesgo de pérdida de datos</w:t>
            </w:r>
          </w:p>
        </w:tc>
      </w:tr>
      <w:tr w14:paraId="6D70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0687E66F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Pagar planes de portales existentes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196DAA65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Gran volumen de candidatos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08A1EE3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Costo alto para pymes, poca personalización, datos fuera de la empresa</w:t>
            </w:r>
          </w:p>
        </w:tc>
      </w:tr>
      <w:tr w14:paraId="69FCF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5" w:hRule="atLeast"/>
        </w:trPr>
        <w:tc>
          <w:tcPr>
            <w:tcW w:w="332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1EEE3F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Desarrollar TalentoLink (propuesta)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2DB6BB1D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Filtros, seguimiento y reportes a la medida, modelo por suscripción económico</w:t>
            </w:r>
          </w:p>
        </w:tc>
        <w:tc>
          <w:tcPr>
            <w:tcW w:w="332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8C35562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Requiere inversión inicial y tiempo de desarrollo</w:t>
            </w:r>
          </w:p>
        </w:tc>
      </w:tr>
    </w:tbl>
    <w:p w14:paraId="54C8B695">
      <w:pPr>
        <w:rPr>
          <w:sz w:val="22"/>
          <w:szCs w:val="22"/>
        </w:rPr>
      </w:pPr>
      <w:r>
        <w:rPr>
          <w:sz w:val="22"/>
          <w:szCs w:val="22"/>
        </w:rPr>
        <w:t>El equipo selecciona la tercera alternativa: desarrollar una plataforma web propia enfocada en el lado empresarial del reclutamiento.</w:t>
      </w:r>
    </w:p>
    <w:p w14:paraId="0455784A">
      <w:pPr>
        <w:pStyle w:val="3"/>
        <w:rPr>
          <w:sz w:val="22"/>
          <w:szCs w:val="22"/>
        </w:rPr>
      </w:pPr>
      <w:r>
        <w:rPr>
          <w:sz w:val="22"/>
          <w:szCs w:val="22"/>
        </w:rPr>
        <w:t>Objetivos</w:t>
      </w:r>
    </w:p>
    <w:p w14:paraId="517BDFA6">
      <w:pPr>
        <w:pStyle w:val="4"/>
        <w:rPr>
          <w:sz w:val="22"/>
          <w:szCs w:val="22"/>
        </w:rPr>
      </w:pPr>
      <w:r>
        <w:rPr>
          <w:sz w:val="22"/>
          <w:szCs w:val="22"/>
        </w:rPr>
        <w:t>Objetivo general</w:t>
      </w:r>
    </w:p>
    <w:p w14:paraId="256D5701">
      <w:pPr>
        <w:rPr>
          <w:sz w:val="22"/>
          <w:szCs w:val="22"/>
        </w:rPr>
      </w:pPr>
      <w:r>
        <w:rPr>
          <w:sz w:val="22"/>
          <w:szCs w:val="22"/>
        </w:rPr>
        <w:t xml:space="preserve">Desarrollar una </w:t>
      </w:r>
      <w:r>
        <w:rPr>
          <w:sz w:val="22"/>
          <w:szCs w:val="22"/>
          <w:lang w:val="es-ES"/>
        </w:rPr>
        <w:t>página</w:t>
      </w:r>
      <w:r>
        <w:rPr>
          <w:rFonts w:hint="default"/>
          <w:sz w:val="22"/>
          <w:szCs w:val="22"/>
          <w:lang w:val="es-ES"/>
        </w:rPr>
        <w:t xml:space="preserve"> </w:t>
      </w:r>
      <w:r>
        <w:rPr>
          <w:sz w:val="22"/>
          <w:szCs w:val="22"/>
        </w:rPr>
        <w:t>web que permita a las empresas publicar vacantes, recibir hojas de vida de forma centralizada y gestionar el proceso de selección de candidatos, aplicando buenas prácticas de ingeniería de software y gestión de proyectos.</w:t>
      </w:r>
    </w:p>
    <w:p w14:paraId="5F713703">
      <w:pPr>
        <w:pStyle w:val="4"/>
        <w:rPr>
          <w:sz w:val="22"/>
          <w:szCs w:val="22"/>
        </w:rPr>
      </w:pPr>
      <w:r>
        <w:rPr>
          <w:sz w:val="22"/>
          <w:szCs w:val="22"/>
        </w:rPr>
        <w:t>Objetivos específicos</w:t>
      </w:r>
    </w:p>
    <w:p w14:paraId="1E77E1D4">
      <w:pPr>
        <w:pStyle w:val="19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Identificar los requerimientos funcionales y no funcionales del módulo empresarial mediante entrevistas y encuestas a por lo menos cinco empresas.</w:t>
      </w:r>
    </w:p>
    <w:p w14:paraId="133842CD">
      <w:pPr>
        <w:pStyle w:val="19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Diseñar la arquitectura, el modelo de base de datos y las interfaces de usuario de la plataforma.</w:t>
      </w:r>
    </w:p>
    <w:p w14:paraId="3546409F">
      <w:pPr>
        <w:pStyle w:val="19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Construir los módulos de registro de empresas, publicación de vacantes, recepción de hojas de vida, filtrado de candidatos y seguimiento del proceso.</w:t>
      </w:r>
    </w:p>
    <w:p w14:paraId="332EE5C2">
      <w:pPr>
        <w:pStyle w:val="19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Implementar mecanismos de seguridad y tratamiento de datos personales conforme a la Ley 1581 de 2012.</w:t>
      </w:r>
    </w:p>
    <w:p w14:paraId="4BCF41DD">
      <w:pPr>
        <w:pStyle w:val="19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Validar la plataforma con pruebas funcionales, de usabilidad y de rendimiento con empresas piloto.</w:t>
      </w:r>
    </w:p>
    <w:p w14:paraId="0B0A7A1C">
      <w:pPr>
        <w:pStyle w:val="19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Desplegar la solución en un servicio de nube y documentar su uso para empresas y administradores.</w:t>
      </w:r>
    </w:p>
    <w:p w14:paraId="1865D1C6">
      <w:pPr>
        <w:pStyle w:val="3"/>
        <w:rPr>
          <w:sz w:val="22"/>
          <w:szCs w:val="22"/>
        </w:rPr>
      </w:pPr>
      <w:r>
        <w:rPr>
          <w:sz w:val="22"/>
          <w:szCs w:val="22"/>
        </w:rPr>
        <w:t>Justificación</w:t>
      </w:r>
    </w:p>
    <w:p w14:paraId="4BC4E56D">
      <w:pPr>
        <w:rPr>
          <w:rFonts w:hint="default"/>
          <w:sz w:val="22"/>
          <w:szCs w:val="22"/>
          <w:lang w:val="es-ES"/>
        </w:rPr>
      </w:pPr>
      <w:r>
        <w:rPr>
          <w:sz w:val="22"/>
          <w:szCs w:val="22"/>
        </w:rPr>
        <w:t>TalentoLink se justifica porque convierte un proceso manual, lento y riesgoso en un flujo digital ordenado, a un costo que una pyme puede asumir.</w:t>
      </w:r>
      <w:r>
        <w:rPr>
          <w:rFonts w:hint="default"/>
          <w:sz w:val="22"/>
          <w:szCs w:val="22"/>
          <w:lang w:val="es-ES"/>
        </w:rPr>
        <w:t xml:space="preserve"> U</w:t>
      </w:r>
      <w:r>
        <w:rPr>
          <w:sz w:val="22"/>
          <w:szCs w:val="22"/>
        </w:rPr>
        <w:t xml:space="preserve">n proyecto de software tiene éxito cuando responde a una necesidad real del negocio y se gestiona con </w:t>
      </w:r>
      <w:r>
        <w:rPr>
          <w:sz w:val="22"/>
          <w:szCs w:val="22"/>
          <w:lang w:val="es-ES"/>
        </w:rPr>
        <w:t>el alcance</w:t>
      </w:r>
      <w:r>
        <w:rPr>
          <w:sz w:val="22"/>
          <w:szCs w:val="22"/>
        </w:rPr>
        <w:t xml:space="preserve">, </w:t>
      </w:r>
      <w:r>
        <w:rPr>
          <w:sz w:val="22"/>
          <w:szCs w:val="22"/>
          <w:lang w:val="es-ES"/>
        </w:rPr>
        <w:t>el tiempo</w:t>
      </w:r>
      <w:r>
        <w:rPr>
          <w:sz w:val="22"/>
          <w:szCs w:val="22"/>
        </w:rPr>
        <w:t xml:space="preserve"> y </w:t>
      </w:r>
      <w:r>
        <w:rPr>
          <w:sz w:val="22"/>
          <w:szCs w:val="22"/>
          <w:lang w:val="es-ES"/>
        </w:rPr>
        <w:t>el costo</w:t>
      </w:r>
      <w:r>
        <w:rPr>
          <w:sz w:val="22"/>
          <w:szCs w:val="22"/>
        </w:rPr>
        <w:t xml:space="preserve"> controlados</w:t>
      </w:r>
      <w:r>
        <w:rPr>
          <w:rFonts w:hint="default"/>
          <w:sz w:val="22"/>
          <w:szCs w:val="22"/>
          <w:lang w:val="es-ES"/>
        </w:rPr>
        <w:t>.</w:t>
      </w:r>
    </w:p>
    <w:p w14:paraId="4390A8CA">
      <w:pPr>
        <w:rPr>
          <w:sz w:val="22"/>
          <w:szCs w:val="22"/>
        </w:rPr>
      </w:pPr>
      <w:r>
        <w:rPr>
          <w:b/>
          <w:sz w:val="22"/>
          <w:szCs w:val="22"/>
        </w:rPr>
        <w:t>Descripción de la solución.</w:t>
      </w:r>
      <w:r>
        <w:rPr>
          <w:sz w:val="22"/>
          <w:szCs w:val="22"/>
        </w:rPr>
        <w:t xml:space="preserve"> La plataforma ofrece a cada empresa un panel donde publica vacantes con requisitos definidos. Los aspirantes se postulan mediante un formulario estándar y adjuntan su hoja de vida en PDF. La empresa filtra por experiencia, estudios, ciudad y salario, cambia el estado de cada candidato, agenda entrevistas y consulta reportes del proceso.</w:t>
      </w:r>
    </w:p>
    <w:p w14:paraId="13781166">
      <w:pPr>
        <w:rPr>
          <w:sz w:val="22"/>
          <w:szCs w:val="22"/>
        </w:rPr>
      </w:pPr>
      <w:r>
        <w:rPr>
          <w:b/>
          <w:sz w:val="22"/>
          <w:szCs w:val="22"/>
        </w:rPr>
        <w:t>Impacto en el corto plazo (0 a 6 meses).</w:t>
      </w:r>
      <w:r>
        <w:rPr>
          <w:sz w:val="22"/>
          <w:szCs w:val="22"/>
        </w:rPr>
        <w:t xml:space="preserve"> Las empresas piloto dejan de recibir hojas de vida por correo y WhatsApp. Se reduce el tiempo de revisión inicial y se cuenta con un registro único de postulaciones.</w:t>
      </w:r>
    </w:p>
    <w:p w14:paraId="3856192D">
      <w:pPr>
        <w:rPr>
          <w:sz w:val="22"/>
          <w:szCs w:val="22"/>
        </w:rPr>
      </w:pPr>
      <w:r>
        <w:rPr>
          <w:b/>
          <w:sz w:val="22"/>
          <w:szCs w:val="22"/>
        </w:rPr>
        <w:t>Impacto en el mediano plazo (6 a 18 meses).</w:t>
      </w:r>
      <w:r>
        <w:rPr>
          <w:sz w:val="22"/>
          <w:szCs w:val="22"/>
        </w:rPr>
        <w:t xml:space="preserve"> Las empresas construyen un banco propio de candidatos reutilizable para nuevas vacantes. Se mide el tiempo promedio de contratación y se mejora la comunicación con los aspirantes.</w:t>
      </w:r>
    </w:p>
    <w:p w14:paraId="309521CF">
      <w:pPr>
        <w:rPr>
          <w:sz w:val="22"/>
          <w:szCs w:val="22"/>
        </w:rPr>
      </w:pPr>
      <w:r>
        <w:rPr>
          <w:b/>
          <w:sz w:val="22"/>
          <w:szCs w:val="22"/>
        </w:rPr>
        <w:t>Impacto en el largo plazo (más de 18 meses).</w:t>
      </w:r>
      <w:r>
        <w:rPr>
          <w:sz w:val="22"/>
          <w:szCs w:val="22"/>
        </w:rPr>
        <w:t xml:space="preserve"> La plataforma crece en número de empresas suscritas e incorpora funciones como puntuación automática de hojas de vida, integración con bolsas de empleo públicas y analítica de talento.</w:t>
      </w:r>
    </w:p>
    <w:p w14:paraId="071030B2">
      <w:pPr>
        <w:rPr>
          <w:sz w:val="22"/>
          <w:szCs w:val="22"/>
        </w:rPr>
      </w:pPr>
      <w:r>
        <w:rPr>
          <w:b/>
          <w:sz w:val="22"/>
          <w:szCs w:val="22"/>
        </w:rPr>
        <w:t>Respuesta a los stakeholders.</w:t>
      </w:r>
    </w:p>
    <w:tbl>
      <w:tblPr>
        <w:tblStyle w:val="15"/>
        <w:tblW w:w="10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0"/>
        <w:gridCol w:w="3440"/>
        <w:gridCol w:w="3440"/>
      </w:tblGrid>
      <w:tr w14:paraId="5C349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  <w:tblHeader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14BDC9FB">
            <w:pPr>
              <w:rPr>
                <w:rFonts w:hint="default"/>
                <w:b/>
                <w:i w:val="0"/>
                <w:color w:val="FFFFFF"/>
                <w:sz w:val="22"/>
                <w:szCs w:val="22"/>
                <w:lang w:val="es-ES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Interesado</w:t>
            </w:r>
            <w:r>
              <w:rPr>
                <w:rFonts w:hint="default"/>
                <w:b/>
                <w:i w:val="0"/>
                <w:color w:val="FFFFFF"/>
                <w:sz w:val="22"/>
                <w:szCs w:val="22"/>
                <w:lang w:val="es-ES"/>
              </w:rPr>
              <w:t>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015E0671">
            <w:pPr>
              <w:rPr>
                <w:rFonts w:hint="default"/>
                <w:b/>
                <w:i w:val="0"/>
                <w:color w:val="FFFFFF"/>
                <w:sz w:val="22"/>
                <w:szCs w:val="22"/>
                <w:lang w:val="es-ES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Necesidad</w:t>
            </w:r>
            <w:r>
              <w:rPr>
                <w:rFonts w:hint="default"/>
                <w:b/>
                <w:i w:val="0"/>
                <w:color w:val="FFFFFF"/>
                <w:sz w:val="22"/>
                <w:szCs w:val="22"/>
                <w:lang w:val="es-ES"/>
              </w:rPr>
              <w:t>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4D259C8C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Respuesta</w:t>
            </w:r>
            <w:r>
              <w:rPr>
                <w:rFonts w:hint="default"/>
                <w:b/>
                <w:i w:val="0"/>
                <w:color w:val="FFFFFF"/>
                <w:sz w:val="22"/>
                <w:szCs w:val="22"/>
                <w:lang w:val="es-ES"/>
              </w:rPr>
              <w:t>s</w:t>
            </w:r>
            <w:r>
              <w:rPr>
                <w:b/>
                <w:i w:val="0"/>
                <w:color w:val="FFFFFF"/>
                <w:sz w:val="22"/>
                <w:szCs w:val="22"/>
              </w:rPr>
              <w:t xml:space="preserve"> de TalentoLink</w:t>
            </w:r>
          </w:p>
        </w:tc>
      </w:tr>
      <w:tr w14:paraId="2B30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5D74B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Empresas (gerentes y talento humano)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66900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Recibir y filtrar candidatos rápido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D0A47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Panel de vacantes, filtros y estados del proceso</w:t>
            </w:r>
          </w:p>
        </w:tc>
      </w:tr>
      <w:tr w14:paraId="5AEE3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4772A922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Aspirantes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7F69B928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Postularse fácil y saber en qué va su proceso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6647E4F2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Formulario único y notificaciones por correo</w:t>
            </w:r>
          </w:p>
        </w:tc>
      </w:tr>
      <w:tr w14:paraId="7B0C8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71FF8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Equipo de desarrollo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54F54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Requisitos claros y alcance controlado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B8A13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EDT, cronograma y criterios de aceptación definidos</w:t>
            </w:r>
          </w:p>
        </w:tc>
      </w:tr>
      <w:tr w14:paraId="746EB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66E07020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rFonts w:hint="default"/>
                <w:b w:val="0"/>
                <w:i w:val="0"/>
                <w:color w:val="000000"/>
                <w:sz w:val="22"/>
                <w:szCs w:val="22"/>
                <w:lang w:val="es-ES"/>
              </w:rPr>
              <w:t>I</w:t>
            </w:r>
            <w:r>
              <w:rPr>
                <w:b w:val="0"/>
                <w:i w:val="0"/>
                <w:color w:val="000000"/>
                <w:sz w:val="22"/>
                <w:szCs w:val="22"/>
              </w:rPr>
              <w:t>nversionista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4A0CA2D7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Retorno de la inversión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61BF99F6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Modelo de suscripción mensual por empresa</w:t>
            </w:r>
          </w:p>
        </w:tc>
      </w:tr>
      <w:tr w14:paraId="4077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344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7D4C5CAC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Entes de control</w:t>
            </w:r>
          </w:p>
        </w:tc>
        <w:tc>
          <w:tcPr>
            <w:tcW w:w="344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12B52A09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Cumplimiento legal</w:t>
            </w:r>
          </w:p>
        </w:tc>
        <w:tc>
          <w:tcPr>
            <w:tcW w:w="344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08CE6A4C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Autorización y tratamiento de datos según Ley 1581 de 2012</w:t>
            </w:r>
          </w:p>
        </w:tc>
      </w:tr>
    </w:tbl>
    <w:p w14:paraId="37EF9729">
      <w:pPr>
        <w:pStyle w:val="3"/>
        <w:rPr>
          <w:sz w:val="22"/>
          <w:szCs w:val="22"/>
        </w:rPr>
      </w:pPr>
      <w:r>
        <w:rPr>
          <w:sz w:val="22"/>
          <w:szCs w:val="22"/>
        </w:rPr>
        <w:t>Alcance del proyecto</w:t>
      </w:r>
    </w:p>
    <w:p w14:paraId="18C801A4">
      <w:pPr>
        <w:rPr>
          <w:sz w:val="22"/>
          <w:szCs w:val="22"/>
        </w:rPr>
      </w:pPr>
      <w:r>
        <w:rPr>
          <w:sz w:val="22"/>
          <w:szCs w:val="22"/>
        </w:rPr>
        <w:t>El proyecto entrega, en 20 semanas, una versión funcional (producto mínimo viable) del módulo empresarial de TalentoLink, probada con tres empresas piloto en Bogotá.</w:t>
      </w:r>
    </w:p>
    <w:p w14:paraId="5739F51E">
      <w:pPr>
        <w:pStyle w:val="4"/>
        <w:rPr>
          <w:sz w:val="22"/>
          <w:szCs w:val="22"/>
        </w:rPr>
      </w:pPr>
      <w:r>
        <w:rPr>
          <w:sz w:val="22"/>
          <w:szCs w:val="22"/>
        </w:rPr>
        <w:t>Incluye</w:t>
      </w:r>
    </w:p>
    <w:p w14:paraId="4562801A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Registro e inicio de sesión de empresas, con roles de administrador y reclutador.</w:t>
      </w:r>
    </w:p>
    <w:p w14:paraId="0776C69E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Publicación, edición, pausa y cierre de vacantes.</w:t>
      </w:r>
    </w:p>
    <w:p w14:paraId="1943BDD0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Página pública de cada vacante con formulario de postulación y carga de hoja de vida en PDF.</w:t>
      </w:r>
    </w:p>
    <w:p w14:paraId="7C2BAD8A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Bandeja de candidatos por vacante, con filtros por experiencia, estudios, ciudad y aspiración salarial.</w:t>
      </w:r>
    </w:p>
    <w:p w14:paraId="0E227E2B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Estados del candidato: recibido, en revisión, entrevista, descartado y contratado.</w:t>
      </w:r>
    </w:p>
    <w:p w14:paraId="30825F54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Notificaciones por correo a la empresa y al aspirante.</w:t>
      </w:r>
    </w:p>
    <w:p w14:paraId="1D2291A6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Reportes básicos: postulaciones por vacante y tiempo promedio de cierre.</w:t>
      </w:r>
    </w:p>
    <w:p w14:paraId="4BD51CCF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Autorización de tratamiento de datos personales en cada postulación.</w:t>
      </w:r>
    </w:p>
    <w:p w14:paraId="183AD5A1">
      <w:pPr>
        <w:pStyle w:val="4"/>
        <w:rPr>
          <w:sz w:val="22"/>
          <w:szCs w:val="22"/>
        </w:rPr>
      </w:pPr>
      <w:r>
        <w:rPr>
          <w:sz w:val="22"/>
          <w:szCs w:val="22"/>
        </w:rPr>
        <w:t>No incluye</w:t>
      </w:r>
    </w:p>
    <w:p w14:paraId="6CF0FCB2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Aplicación móvil nativa (la web será adaptable a celulares).</w:t>
      </w:r>
    </w:p>
    <w:p w14:paraId="09115E11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Pasarela de pagos en línea para las suscripciones.</w:t>
      </w:r>
    </w:p>
    <w:p w14:paraId="1FE4A009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Análisis de hojas de vida con inteligencia artificial.</w:t>
      </w:r>
    </w:p>
    <w:p w14:paraId="1F49665D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Pruebas psicotécnicas o videoentrevistas integradas.</w:t>
      </w:r>
    </w:p>
    <w:p w14:paraId="7F34F951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Integración con portales externos de empleo.</w:t>
      </w:r>
    </w:p>
    <w:p w14:paraId="621B2F97">
      <w:pPr>
        <w:pStyle w:val="4"/>
        <w:rPr>
          <w:sz w:val="22"/>
          <w:szCs w:val="22"/>
        </w:rPr>
      </w:pPr>
      <w:r>
        <w:rPr>
          <w:sz w:val="22"/>
          <w:szCs w:val="22"/>
        </w:rPr>
        <w:t>Restricciones</w:t>
      </w:r>
    </w:p>
    <w:p w14:paraId="49F1901C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b/>
          <w:sz w:val="22"/>
          <w:szCs w:val="22"/>
        </w:rPr>
        <w:t>Tiempo:</w:t>
      </w:r>
      <w:r>
        <w:rPr>
          <w:sz w:val="22"/>
          <w:szCs w:val="22"/>
        </w:rPr>
        <w:t xml:space="preserve"> 20 semanas, del 5 de octubre de 2026 al 19 de febrero de 2027.</w:t>
      </w:r>
    </w:p>
    <w:p w14:paraId="12668185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b/>
          <w:sz w:val="22"/>
          <w:szCs w:val="22"/>
        </w:rPr>
        <w:t>Presupuesto:</w:t>
      </w:r>
      <w:r>
        <w:rPr>
          <w:sz w:val="22"/>
          <w:szCs w:val="22"/>
        </w:rPr>
        <w:t xml:space="preserve"> máximo $ 66.000.000 COP (ver presupuesto).</w:t>
      </w:r>
    </w:p>
    <w:p w14:paraId="1AC1C1F4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b/>
          <w:sz w:val="22"/>
          <w:szCs w:val="22"/>
        </w:rPr>
        <w:t>Equipo:</w:t>
      </w:r>
      <w:r>
        <w:rPr>
          <w:sz w:val="22"/>
          <w:szCs w:val="22"/>
        </w:rPr>
        <w:t xml:space="preserve"> tres integrantes con dedicación parcial, apoyados por perfiles contratados.</w:t>
      </w:r>
    </w:p>
    <w:p w14:paraId="09091BDC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b/>
          <w:sz w:val="22"/>
          <w:szCs w:val="22"/>
        </w:rPr>
        <w:t>Tecnología:</w:t>
      </w:r>
      <w:r>
        <w:rPr>
          <w:sz w:val="22"/>
          <w:szCs w:val="22"/>
        </w:rPr>
        <w:t xml:space="preserve"> desarrollo web con software libre y despliegue en un proveedor de nube con plan de bajo costo.</w:t>
      </w:r>
    </w:p>
    <w:p w14:paraId="01355DCE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b/>
          <w:sz w:val="22"/>
          <w:szCs w:val="22"/>
        </w:rPr>
        <w:t>Legal:</w:t>
      </w:r>
      <w:r>
        <w:rPr>
          <w:sz w:val="22"/>
          <w:szCs w:val="22"/>
        </w:rPr>
        <w:t xml:space="preserve"> cumplimiento obligatorio de la Ley 1581 de 2012 y el Decreto 1377 de 2013.</w:t>
      </w:r>
    </w:p>
    <w:p w14:paraId="3A60D02D">
      <w:pPr>
        <w:pStyle w:val="4"/>
        <w:rPr>
          <w:sz w:val="22"/>
          <w:szCs w:val="22"/>
        </w:rPr>
      </w:pPr>
      <w:r>
        <w:rPr>
          <w:sz w:val="22"/>
          <w:szCs w:val="22"/>
        </w:rPr>
        <w:t>Criterios de aceptación</w:t>
      </w:r>
    </w:p>
    <w:p w14:paraId="4DEE6FA9">
      <w:pPr>
        <w:pStyle w:val="19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Una empresa puede registrarse, publicar una vacante y recibir postulaciones sin ayuda del equipo técnico.</w:t>
      </w:r>
    </w:p>
    <w:p w14:paraId="2638BF58">
      <w:pPr>
        <w:pStyle w:val="19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Los filtros devuelven resultados en menos de 3 segundos con 1.000 hojas de vida cargadas.</w:t>
      </w:r>
    </w:p>
    <w:p w14:paraId="25196364">
      <w:pPr>
        <w:pStyle w:val="19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El 100 % de las postulaciones registra la autorización de tratamiento de datos.</w:t>
      </w:r>
    </w:p>
    <w:p w14:paraId="27F767B4">
      <w:pPr>
        <w:pStyle w:val="19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Las pruebas funcionales pasan sin errores críticos ni altos abiertos.</w:t>
      </w:r>
    </w:p>
    <w:p w14:paraId="2682AC97">
      <w:pPr>
        <w:pStyle w:val="19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Las tres empresas piloto califican la usabilidad con un promedio mínimo de 4 sobre 5.</w:t>
      </w:r>
    </w:p>
    <w:p w14:paraId="2CFC3703">
      <w:pPr>
        <w:pStyle w:val="19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Se entregan el manual de usuario, el manual técnico y el código fuente en el repositorio.</w:t>
      </w:r>
    </w:p>
    <w:p w14:paraId="5EAE2873">
      <w:pPr>
        <w:pStyle w:val="3"/>
        <w:rPr>
          <w:sz w:val="22"/>
          <w:szCs w:val="22"/>
        </w:rPr>
      </w:pPr>
      <w:r>
        <w:rPr>
          <w:sz w:val="22"/>
          <w:szCs w:val="22"/>
        </w:rPr>
        <w:t>Estructura del desglose del trabajo (EDT)</w:t>
      </w:r>
    </w:p>
    <w:p w14:paraId="6ACEFD6F">
      <w:pPr>
        <w:rPr>
          <w:sz w:val="22"/>
          <w:szCs w:val="22"/>
        </w:rPr>
      </w:pPr>
      <w:r>
        <w:rPr>
          <w:sz w:val="22"/>
          <w:szCs w:val="22"/>
        </w:rPr>
        <w:t>El trabajo se divide en seis paquetes que siguen el ciclo de vida del software, desde la gestión del proyecto hasta la implantación con empresas piloto.</w:t>
      </w:r>
    </w:p>
    <w:p w14:paraId="2145241B"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5486400" cy="3575685"/>
            <wp:effectExtent l="0" t="0" r="0" b="5715"/>
            <wp:docPr id="1" name="image1" descr="Figura 1. Estructura de desglose del trabajo (EDT) · 6 paquetes, 24 entregab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igura 1. Estructura de desglose del trabajo (EDT) · 6 paquetes, 24 entregabl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7273">
      <w:pPr>
        <w:rPr>
          <w:sz w:val="22"/>
          <w:szCs w:val="22"/>
        </w:rPr>
      </w:pPr>
      <w:r>
        <w:rPr>
          <w:sz w:val="22"/>
          <w:szCs w:val="22"/>
        </w:rPr>
        <w:t>Figura 1. Estructura de desglose del trabajo (EDT) · 6 paquetes, 24 entregables</w:t>
      </w:r>
    </w:p>
    <w:p w14:paraId="0FB87F97">
      <w:pPr>
        <w:rPr>
          <w:sz w:val="22"/>
          <w:szCs w:val="22"/>
        </w:rPr>
      </w:pPr>
      <w:r>
        <w:rPr>
          <w:sz w:val="22"/>
          <w:szCs w:val="22"/>
        </w:rPr>
        <w:t>Cada entregable de segundo nivel tiene un responsable y aparece en el cronograma; el paquete 1 acompaña al proyecto de principio a fin.</w:t>
      </w:r>
    </w:p>
    <w:p w14:paraId="16BF81C3">
      <w:pPr>
        <w:pStyle w:val="3"/>
        <w:rPr>
          <w:sz w:val="22"/>
          <w:szCs w:val="22"/>
        </w:rPr>
      </w:pPr>
    </w:p>
    <w:p w14:paraId="3FE9F97D">
      <w:pPr>
        <w:pStyle w:val="3"/>
        <w:rPr>
          <w:sz w:val="22"/>
          <w:szCs w:val="22"/>
        </w:rPr>
      </w:pPr>
    </w:p>
    <w:p w14:paraId="0D3EAFF5">
      <w:pPr>
        <w:pStyle w:val="3"/>
        <w:rPr>
          <w:sz w:val="22"/>
          <w:szCs w:val="22"/>
        </w:rPr>
      </w:pPr>
    </w:p>
    <w:p w14:paraId="31B97176">
      <w:pPr>
        <w:pStyle w:val="3"/>
        <w:rPr>
          <w:sz w:val="22"/>
          <w:szCs w:val="22"/>
        </w:rPr>
      </w:pPr>
    </w:p>
    <w:p w14:paraId="13C55D2A">
      <w:pPr>
        <w:pStyle w:val="3"/>
        <w:rPr>
          <w:sz w:val="22"/>
          <w:szCs w:val="22"/>
        </w:rPr>
      </w:pPr>
    </w:p>
    <w:p w14:paraId="2741F8B6">
      <w:pPr>
        <w:pStyle w:val="3"/>
        <w:rPr>
          <w:sz w:val="22"/>
          <w:szCs w:val="22"/>
        </w:rPr>
      </w:pPr>
    </w:p>
    <w:p w14:paraId="6F3BB2BC">
      <w:pPr>
        <w:rPr>
          <w:sz w:val="22"/>
          <w:szCs w:val="22"/>
        </w:rPr>
      </w:pPr>
    </w:p>
    <w:p w14:paraId="178B85E2">
      <w:pPr>
        <w:rPr>
          <w:sz w:val="22"/>
          <w:szCs w:val="22"/>
        </w:rPr>
      </w:pPr>
    </w:p>
    <w:p w14:paraId="7E10105B">
      <w:pPr>
        <w:pStyle w:val="3"/>
        <w:rPr>
          <w:sz w:val="22"/>
          <w:szCs w:val="22"/>
        </w:rPr>
      </w:pPr>
    </w:p>
    <w:p w14:paraId="19F33B22">
      <w:pPr>
        <w:pStyle w:val="3"/>
        <w:rPr>
          <w:sz w:val="22"/>
          <w:szCs w:val="22"/>
        </w:rPr>
      </w:pPr>
      <w:r>
        <w:rPr>
          <w:sz w:val="22"/>
          <w:szCs w:val="22"/>
        </w:rPr>
        <w:t>Matriz de riesgos</w:t>
      </w:r>
    </w:p>
    <w:p w14:paraId="2AA1ED52">
      <w:pPr>
        <w:rPr>
          <w:sz w:val="22"/>
          <w:szCs w:val="22"/>
        </w:rPr>
      </w:pPr>
      <w:r>
        <w:rPr>
          <w:sz w:val="22"/>
          <w:szCs w:val="22"/>
        </w:rPr>
        <w:t>Los riesgos más críticos son la filtración de datos personales y el cambio constante de requerimientos; ambos tienen respuesta definida desde la planeación. La calificación usa una escala de 1 (bajo) a 5 (alto); el nivel resulta de multiplicar probabilidad por impacto: bajo de 1 a 6, medio de 7 a 14 y alto de 15 a 25 (Pressman, 2021).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14:paraId="42EC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78CB6C2C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ID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2C81EB16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Riesgo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67944111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Categoría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3D385471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Probabilidad (1-5)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4A12F669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Impacto (1-5)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5F47A15E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Nivel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5D055CD9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Respuesta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1A73FBDC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Responsable</w:t>
            </w:r>
          </w:p>
        </w:tc>
      </w:tr>
      <w:tr w14:paraId="1A2E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4EF3A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FEE2D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Filtración o uso indebido de datos personales de aspirantes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96EC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Legal y seguridad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42AD8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22D25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13DCB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15 Alto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D874E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Mitigar: cifrado, control de roles, autorización de datos y pruebas de seguridad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65076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Líder técnico</w:t>
            </w:r>
          </w:p>
        </w:tc>
      </w:tr>
      <w:tr w14:paraId="48F0F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0A7A1C33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01CE51AA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Cambios frecuentes en los requerimientos de las empresas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78DFD066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Alcance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4E63F876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39D2C800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54CB2990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16 Alto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61E884BA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Mitigar: requerimientos firmados y control formal de cambios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1C97395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Líder de proyecto</w:t>
            </w:r>
          </w:p>
        </w:tc>
      </w:tr>
      <w:tr w14:paraId="3E4F4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37936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6DE7C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Retraso en el desarrollo por falta de experiencia en la tecnología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C87E3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Cronograma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529EF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86EE4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ADA02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12 Medio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F529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Mitigar: capacitación inicial y prototipos tempranos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817AD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Líder técnico</w:t>
            </w:r>
          </w:p>
        </w:tc>
      </w:tr>
      <w:tr w14:paraId="2EB98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117ECE34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115F19E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Retiro o baja disponibilidad de un integrante del equipo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785BC9FB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Recursos humanos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380B1642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5A7ECB8A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5F157E57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8 Medio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4489B837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Mitigar: documentación del código y tareas compartidas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6435EA0D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Líder de proyecto</w:t>
            </w:r>
          </w:p>
        </w:tc>
      </w:tr>
      <w:tr w14:paraId="10854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B08EA7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F71EEF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Sobrecosto en servicios de nube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387F6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Costos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CD04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4D7CA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C7553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6 Bajo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12B77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Aceptar: monitoreo mensual y reserva de imprevistos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BDB69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Líder de proyecto</w:t>
            </w:r>
          </w:p>
        </w:tc>
      </w:tr>
      <w:tr w14:paraId="24AE9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7A8D96D4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1B66DE79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Baja participación de las empresas piloto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6AADB20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Negocio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641BB525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7289A1D2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1830C3B7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12 Medio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6CC8D90D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Mitigar: acuerdos firmados y acompañamiento durante el piloto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67BF3C93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Equipo comercial</w:t>
            </w:r>
          </w:p>
        </w:tc>
      </w:tr>
      <w:tr w14:paraId="629BC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11E5E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R7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6CC298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Caída del servidor o pérdida de información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0BA8B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Técnico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BEAEF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EA579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CBF75A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10 Medio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E772B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Mitigar: copias de seguridad diarias y monitoreo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B6A0CB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Líder técnico</w:t>
            </w:r>
          </w:p>
        </w:tc>
      </w:tr>
      <w:tr w14:paraId="503FB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571FF29C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446F90DC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Rendimiento lento de los filtros con muchas hojas de vida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3DED7795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Técnico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1B6444F9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11FB9CDD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4F20231F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9 Medio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074D6A68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Mitigar: índices en la base de datos y pruebas de carga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3DA0EF18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Desarrolladores</w:t>
            </w:r>
          </w:p>
        </w:tc>
      </w:tr>
      <w:tr w14:paraId="7B39E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83A50BA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R9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79C4FE7A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Carga de archivos maliciosos en las hojas de vida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32519C4D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Seguridad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02E4EE07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693D5DF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3DC0941D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8 Medio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48272400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Mitigar: validar formato PDF, tamaño máximo y antivirus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FFFFFF"/>
          </w:tcPr>
          <w:p w14:paraId="715638D2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Desarrolladores</w:t>
            </w:r>
          </w:p>
        </w:tc>
      </w:tr>
    </w:tbl>
    <w:p w14:paraId="10A13FD0">
      <w:pPr>
        <w:rPr>
          <w:sz w:val="22"/>
          <w:szCs w:val="22"/>
        </w:rPr>
      </w:pPr>
    </w:p>
    <w:p w14:paraId="0CFF17F1">
      <w:pPr>
        <w:rPr>
          <w:sz w:val="22"/>
          <w:szCs w:val="22"/>
        </w:rPr>
      </w:pPr>
    </w:p>
    <w:p w14:paraId="1FA6A4FB">
      <w:pPr>
        <w:rPr>
          <w:sz w:val="22"/>
          <w:szCs w:val="22"/>
        </w:rPr>
      </w:pPr>
      <w:r>
        <w:rPr>
          <w:sz w:val="22"/>
          <w:szCs w:val="22"/>
        </w:rPr>
        <w:t>Los riesgos se revisarán cada dos semanas en la reunión de seguimiento y su nivel se actualizará según su evolución.</w:t>
      </w:r>
    </w:p>
    <w:p w14:paraId="47DE7886">
      <w:pPr>
        <w:pStyle w:val="3"/>
        <w:rPr>
          <w:sz w:val="22"/>
          <w:szCs w:val="22"/>
        </w:rPr>
      </w:pPr>
      <w:r>
        <w:rPr>
          <w:sz w:val="22"/>
          <w:szCs w:val="22"/>
        </w:rPr>
        <w:t>Cronograma</w:t>
      </w:r>
    </w:p>
    <w:p w14:paraId="4AA4DBF9">
      <w:pPr>
        <w:rPr>
          <w:sz w:val="22"/>
          <w:szCs w:val="22"/>
        </w:rPr>
      </w:pPr>
      <w:r>
        <w:rPr>
          <w:sz w:val="22"/>
          <w:szCs w:val="22"/>
        </w:rPr>
        <w:t>El proyecto dura 20 semanas: inicia el 5 de octubre de 2026 y entrega la plataforma el 19 de febrero de 2027. El desarrollo es la fase más larga, con 9 semanas organizadas en sprints de dos semanas, e incluye el receso de fin de año.</w:t>
      </w:r>
    </w:p>
    <w:p w14:paraId="7427060D"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6393180" cy="2828290"/>
            <wp:effectExtent l="0" t="0" r="7620" b="6350"/>
            <wp:docPr id="2" name="image2" descr="Figura 2. Cronograma del proyecto · 6 fases, 2 hit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igura 2. Cronograma del proyecto · 6 fases, 2 hito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1620">
      <w:pPr>
        <w:rPr>
          <w:sz w:val="22"/>
          <w:szCs w:val="22"/>
        </w:rPr>
      </w:pPr>
      <w:r>
        <w:rPr>
          <w:sz w:val="22"/>
          <w:szCs w:val="22"/>
        </w:rPr>
        <w:t>Figura 2. Cronograma del proyecto · 6 fases, 2 hitos</w:t>
      </w:r>
    </w:p>
    <w:p w14:paraId="59BC66CB">
      <w:pPr>
        <w:rPr>
          <w:sz w:val="22"/>
          <w:szCs w:val="22"/>
        </w:rPr>
      </w:pPr>
      <w:r>
        <w:rPr>
          <w:sz w:val="22"/>
          <w:szCs w:val="22"/>
        </w:rPr>
        <w:t>La gestión del proyecto (paquete 1 de la EDT) se ejecuta en paralelo a todas las fases, con reuniones de seguimiento cada dos semanas.</w:t>
      </w:r>
    </w:p>
    <w:p w14:paraId="4F697D80">
      <w:pPr>
        <w:pStyle w:val="3"/>
        <w:rPr>
          <w:sz w:val="22"/>
          <w:szCs w:val="22"/>
        </w:rPr>
      </w:pPr>
      <w:r>
        <w:rPr>
          <w:sz w:val="22"/>
          <w:szCs w:val="22"/>
        </w:rPr>
        <w:t>Presupuesto</w:t>
      </w:r>
    </w:p>
    <w:p w14:paraId="064E34CD">
      <w:pPr>
        <w:rPr>
          <w:sz w:val="22"/>
          <w:szCs w:val="22"/>
        </w:rPr>
      </w:pPr>
      <w:r>
        <w:rPr>
          <w:sz w:val="22"/>
          <w:szCs w:val="22"/>
        </w:rPr>
        <w:t>El proyecto cuesta $ 65.520.000 COP, de los cuales el 89 % corresponde al talento humano. Los valores son estimados en pesos colombianos de 2026 e incluyen un 5 % de imprevistos.</w:t>
      </w:r>
    </w:p>
    <w:tbl>
      <w:tblPr>
        <w:tblStyle w:val="15"/>
        <w:tblW w:w="10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2048"/>
        <w:gridCol w:w="2048"/>
        <w:gridCol w:w="2048"/>
        <w:gridCol w:w="2048"/>
      </w:tblGrid>
      <w:tr w14:paraId="47CB5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  <w:tblHeader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08A16D77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Concepto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4CE92B99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Unidad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77DAFFD6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Cantidad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347BEED9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Valor unitario (COP)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4F81BD" w:themeFill="accent1"/>
          </w:tcPr>
          <w:p w14:paraId="4D3C264A">
            <w:pPr>
              <w:rPr>
                <w:b/>
                <w:i w:val="0"/>
                <w:color w:val="FFFFFF"/>
                <w:sz w:val="22"/>
                <w:szCs w:val="22"/>
              </w:rPr>
            </w:pPr>
            <w:r>
              <w:rPr>
                <w:b/>
                <w:i w:val="0"/>
                <w:color w:val="FFFFFF"/>
                <w:sz w:val="22"/>
                <w:szCs w:val="22"/>
              </w:rPr>
              <w:t>Valor total (COP)</w:t>
            </w:r>
          </w:p>
        </w:tc>
      </w:tr>
      <w:tr w14:paraId="6B989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36113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Líder de proyecto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ED55F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Mes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4592B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A131F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4.000.000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0C6E5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20.000.000</w:t>
            </w:r>
          </w:p>
        </w:tc>
      </w:tr>
      <w:tr w14:paraId="4610E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13D7D0EC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Desarrolladores full stack (2)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403B1317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Mes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12E76F22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5A04C81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3.500.000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0127ECE7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28.000.000</w:t>
            </w:r>
          </w:p>
        </w:tc>
      </w:tr>
      <w:tr w14:paraId="5C42B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1F97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Diseñador UX/UI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EDE3D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Mes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59A68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1,5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6D56E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3.000.000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DBABE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4.500.000</w:t>
            </w:r>
          </w:p>
        </w:tc>
      </w:tr>
      <w:tr w14:paraId="373E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0ED06F8E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Analista de pruebas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735E43F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Mes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3B2771C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205644AC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2.800.000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67675D0A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5.600.000</w:t>
            </w:r>
          </w:p>
        </w:tc>
      </w:tr>
      <w:tr w14:paraId="651A2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2514D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Subtotal talento humano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ACD23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6BB95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72AF2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5FF48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58.100.000</w:t>
            </w:r>
          </w:p>
        </w:tc>
      </w:tr>
      <w:tr w14:paraId="10BB8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4AE6E0DD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Servidor en la nube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5B7727D8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Mes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2EDBB9C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4EE7327C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250.000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10863D4F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1.250.000</w:t>
            </w:r>
          </w:p>
        </w:tc>
      </w:tr>
      <w:tr w14:paraId="3CAF2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96C99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Dominio y certificado SSL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10A1D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Año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C46EE7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BF04D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150.000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C70403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150.000</w:t>
            </w:r>
          </w:p>
        </w:tc>
      </w:tr>
      <w:tr w14:paraId="7EFC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7443802F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Servicio de correo transaccional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095AF7D6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Mes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1220C42A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07FF69EC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80.000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66032C84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400.000</w:t>
            </w:r>
          </w:p>
        </w:tc>
      </w:tr>
      <w:tr w14:paraId="439A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A8372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Herramientas de diseño y gestión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FAB89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Mes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AA550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28AB3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200.000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89BC4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1.000.000</w:t>
            </w:r>
          </w:p>
        </w:tc>
      </w:tr>
      <w:tr w14:paraId="372D9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78082DF8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Asesoría legal en protección de datos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58756BFA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Servicio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2D273654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1DE6AA6B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1.500.000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76153983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1.500.000</w:t>
            </w:r>
          </w:p>
        </w:tc>
      </w:tr>
      <w:tr w14:paraId="40DFB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783AC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Subtotal tecnología y servicios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942AE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48AFB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27CD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99E83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4.300.000</w:t>
            </w:r>
          </w:p>
        </w:tc>
      </w:tr>
      <w:tr w14:paraId="70AD3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70707112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Costo directo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0160F5F9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4DCC8ECE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4F70321C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EDF2F8" w:themeFill="accent1" w:themeFillTint="19"/>
          </w:tcPr>
          <w:p w14:paraId="3ACFA6C1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62.400.000</w:t>
            </w:r>
          </w:p>
        </w:tc>
      </w:tr>
      <w:tr w14:paraId="6FB6B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23B29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Imprevistos (5 %)</w:t>
            </w: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A7C77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57D79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1D795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0F16E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3.120.000</w:t>
            </w:r>
          </w:p>
        </w:tc>
      </w:tr>
      <w:tr w14:paraId="18A81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048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</w:tcPr>
          <w:p w14:paraId="55EE65DC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Total del proyecto</w:t>
            </w:r>
          </w:p>
        </w:tc>
        <w:tc>
          <w:tcPr>
            <w:tcW w:w="2048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</w:tcPr>
          <w:p w14:paraId="6F5305E5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</w:tcPr>
          <w:p w14:paraId="6A5376CC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</w:tcPr>
          <w:p w14:paraId="784CA930">
            <w:pPr>
              <w:rPr>
                <w:b w:val="0"/>
                <w:i w:val="0"/>
                <w:color w:val="000000"/>
                <w:sz w:val="22"/>
                <w:szCs w:val="22"/>
              </w:rPr>
            </w:pPr>
          </w:p>
        </w:tc>
        <w:tc>
          <w:tcPr>
            <w:tcW w:w="2048" w:type="dxa"/>
            <w:tcBorders>
              <w:top w:val="nil"/>
              <w:left w:val="nil"/>
              <w:bottom w:val="single" w:color="4F81BD" w:themeColor="accent1" w:sz="6" w:space="0"/>
              <w:right w:val="nil"/>
            </w:tcBorders>
            <w:shd w:val="clear" w:color="auto" w:fill="EDF2F8" w:themeFill="accent1" w:themeFillTint="19"/>
          </w:tcPr>
          <w:p w14:paraId="2DDC2DD5">
            <w:pPr>
              <w:rPr>
                <w:b w:val="0"/>
                <w:i w:val="0"/>
                <w:color w:val="000000"/>
                <w:sz w:val="22"/>
                <w:szCs w:val="22"/>
              </w:rPr>
            </w:pPr>
            <w:r>
              <w:rPr>
                <w:b w:val="0"/>
                <w:i w:val="0"/>
                <w:color w:val="000000"/>
                <w:sz w:val="22"/>
                <w:szCs w:val="22"/>
              </w:rPr>
              <w:t>65.520.000</w:t>
            </w:r>
          </w:p>
        </w:tc>
      </w:tr>
    </w:tbl>
    <w:p w14:paraId="2AED41A0">
      <w:pPr>
        <w:rPr>
          <w:sz w:val="22"/>
          <w:szCs w:val="22"/>
        </w:rPr>
      </w:pPr>
      <w:r>
        <w:rPr>
          <w:sz w:val="22"/>
          <w:szCs w:val="22"/>
        </w:rPr>
        <w:t>Modelo de sostenibilidad: tras el piloto, la plataforma se ofrecerá por suscripción mensual a las empresas. Los precios se definirán con base en los resultados del piloto.</w:t>
      </w:r>
    </w:p>
    <w:p w14:paraId="2FC27EBA">
      <w:pPr>
        <w:pStyle w:val="3"/>
        <w:rPr>
          <w:sz w:val="22"/>
          <w:szCs w:val="22"/>
        </w:rPr>
      </w:pPr>
      <w:r>
        <w:rPr>
          <w:sz w:val="22"/>
          <w:szCs w:val="22"/>
        </w:rPr>
        <w:t>Conclusiones</w:t>
      </w:r>
    </w:p>
    <w:p w14:paraId="75829AAD">
      <w:pPr>
        <w:rPr>
          <w:sz w:val="22"/>
          <w:szCs w:val="22"/>
        </w:rPr>
      </w:pPr>
      <w:r>
        <w:rPr>
          <w:sz w:val="22"/>
          <w:szCs w:val="22"/>
        </w:rPr>
        <w:t>La formulación demuestra que TalentoLink es viable en 20 semanas y con $ 65.520.000 COP, siempre que se controle el alcance definido para el producto mínimo viable.</w:t>
      </w:r>
    </w:p>
    <w:p w14:paraId="64412394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El problema es real y frecuente: las pymes reciben hojas de vida por canales dispersos y sin un proceso de seguimiento.</w:t>
      </w:r>
    </w:p>
    <w:p w14:paraId="767E9F6E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La EDT y el cronograma permiten distribuir el trabajo por fases del ciclo de vida del software y medir el avance con hitos claros.</w:t>
      </w:r>
    </w:p>
    <w:p w14:paraId="02829993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Los riesgos de mayor nivel, seguridad de los datos y cambios de requerimientos, se atienden desde el diseño y no al final del proyecto.</w:t>
      </w:r>
    </w:p>
    <w:p w14:paraId="6BFC3BBD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Aplicar los principios de manufactura esbelta (Omaña, 2012) orienta al equipo a entregar primero las funciones que más valor generan para las empresas.</w:t>
      </w:r>
    </w:p>
    <w:p w14:paraId="2D509B11">
      <w:pPr>
        <w:pStyle w:val="19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Como reflexión, </w:t>
      </w:r>
      <w:r>
        <w:rPr>
          <w:sz w:val="22"/>
          <w:szCs w:val="22"/>
          <w:lang w:val="es-CO"/>
        </w:rPr>
        <w:t>planificar</w:t>
      </w:r>
      <w:r>
        <w:rPr>
          <w:sz w:val="22"/>
          <w:szCs w:val="22"/>
        </w:rPr>
        <w:t xml:space="preserve"> antes de programar evita reprocesos y mejora la calidad del producto final</w:t>
      </w:r>
    </w:p>
    <w:p w14:paraId="20ED46FF">
      <w:pPr>
        <w:pStyle w:val="19"/>
        <w:numPr>
          <w:numId w:val="0"/>
        </w:numPr>
        <w:spacing w:after="160" w:line="259" w:lineRule="auto"/>
        <w:contextualSpacing/>
        <w:rPr>
          <w:sz w:val="22"/>
          <w:szCs w:val="22"/>
        </w:rPr>
      </w:pPr>
    </w:p>
    <w:p w14:paraId="524E4281">
      <w:pPr>
        <w:pStyle w:val="19"/>
        <w:numPr>
          <w:numId w:val="0"/>
        </w:numPr>
        <w:spacing w:after="160" w:line="259" w:lineRule="auto"/>
        <w:contextualSpacing/>
        <w:rPr>
          <w:sz w:val="22"/>
          <w:szCs w:val="22"/>
        </w:rPr>
      </w:pPr>
    </w:p>
    <w:p w14:paraId="432108D3">
      <w:pPr>
        <w:pStyle w:val="19"/>
        <w:numPr>
          <w:numId w:val="0"/>
        </w:numPr>
        <w:spacing w:after="160" w:line="259" w:lineRule="auto"/>
        <w:contextualSpacing/>
        <w:rPr>
          <w:sz w:val="22"/>
          <w:szCs w:val="22"/>
        </w:rPr>
      </w:pPr>
    </w:p>
    <w:p w14:paraId="05B39C70">
      <w:pPr>
        <w:pStyle w:val="19"/>
        <w:numPr>
          <w:numId w:val="0"/>
        </w:numPr>
        <w:spacing w:after="160" w:line="259" w:lineRule="auto"/>
        <w:contextualSpacing/>
        <w:rPr>
          <w:sz w:val="22"/>
          <w:szCs w:val="22"/>
        </w:rPr>
      </w:pPr>
    </w:p>
    <w:p w14:paraId="4E164823">
      <w:pPr>
        <w:pStyle w:val="19"/>
        <w:numPr>
          <w:numId w:val="0"/>
        </w:numPr>
        <w:spacing w:after="160" w:line="259" w:lineRule="auto"/>
        <w:contextualSpacing/>
        <w:rPr>
          <w:sz w:val="22"/>
          <w:szCs w:val="22"/>
        </w:rPr>
      </w:pPr>
    </w:p>
    <w:p w14:paraId="10483A8C">
      <w:pPr>
        <w:pStyle w:val="19"/>
        <w:numPr>
          <w:numId w:val="0"/>
        </w:numPr>
        <w:spacing w:after="160" w:line="259" w:lineRule="auto"/>
        <w:contextualSpacing/>
        <w:rPr>
          <w:sz w:val="22"/>
          <w:szCs w:val="22"/>
        </w:rPr>
      </w:pPr>
    </w:p>
    <w:p w14:paraId="39D44FEB">
      <w:pPr>
        <w:pStyle w:val="3"/>
        <w:rPr>
          <w:sz w:val="22"/>
          <w:szCs w:val="22"/>
        </w:rPr>
      </w:pPr>
      <w:r>
        <w:rPr>
          <w:sz w:val="22"/>
          <w:szCs w:val="22"/>
        </w:rPr>
        <w:t>Referencias</w:t>
      </w:r>
    </w:p>
    <w:p w14:paraId="756C5223">
      <w:pPr>
        <w:rPr>
          <w:sz w:val="22"/>
          <w:szCs w:val="22"/>
        </w:rPr>
      </w:pPr>
      <w:r>
        <w:rPr>
          <w:sz w:val="22"/>
          <w:szCs w:val="22"/>
        </w:rPr>
        <w:t xml:space="preserve">Congreso de la República de Colombia. (2012, 17 de octubre). </w:t>
      </w:r>
      <w:r>
        <w:rPr>
          <w:i/>
          <w:sz w:val="22"/>
          <w:szCs w:val="22"/>
        </w:rPr>
        <w:t>Ley Estatutaria 1581 de 2012, por la cual se dictan disposiciones generales para la protección de datos personales</w:t>
      </w:r>
      <w:r>
        <w:rPr>
          <w:sz w:val="22"/>
          <w:szCs w:val="22"/>
        </w:rPr>
        <w:t>. Diario Oficial No. 48.587.</w:t>
      </w:r>
    </w:p>
    <w:p w14:paraId="2D746492">
      <w:pPr>
        <w:rPr>
          <w:sz w:val="22"/>
          <w:szCs w:val="22"/>
        </w:rPr>
      </w:pPr>
      <w:r>
        <w:rPr>
          <w:sz w:val="22"/>
          <w:szCs w:val="22"/>
        </w:rPr>
        <w:t xml:space="preserve">Omaña, M. (2012). Manufactura esbelta: una contribución para el desarrollo de software con calidad. </w:t>
      </w:r>
      <w:r>
        <w:rPr>
          <w:i/>
          <w:sz w:val="22"/>
          <w:szCs w:val="22"/>
        </w:rPr>
        <w:t>Red Enlace</w:t>
      </w:r>
      <w:r>
        <w:rPr>
          <w:sz w:val="22"/>
          <w:szCs w:val="22"/>
        </w:rPr>
        <w:t>, 14–18.</w:t>
      </w:r>
    </w:p>
    <w:p w14:paraId="6F49388A">
      <w:pPr>
        <w:rPr>
          <w:sz w:val="22"/>
          <w:szCs w:val="22"/>
        </w:rPr>
      </w:pPr>
      <w:r>
        <w:rPr>
          <w:sz w:val="22"/>
          <w:szCs w:val="22"/>
        </w:rPr>
        <w:t xml:space="preserve">Presidencia de la República de Colombia. (2013, 27 de junio). </w:t>
      </w:r>
      <w:r>
        <w:rPr>
          <w:i/>
          <w:sz w:val="22"/>
          <w:szCs w:val="22"/>
        </w:rPr>
        <w:t>Decreto 1377 de 2013, por el cual se reglamenta parcialmente la Ley 1581 de 2012</w:t>
      </w:r>
      <w:r>
        <w:rPr>
          <w:sz w:val="22"/>
          <w:szCs w:val="22"/>
        </w:rPr>
        <w:t>. Diario Oficial No. 48.834.</w:t>
      </w:r>
    </w:p>
    <w:p w14:paraId="18E136A9">
      <w:pPr>
        <w:rPr>
          <w:sz w:val="22"/>
          <w:szCs w:val="22"/>
        </w:rPr>
      </w:pPr>
      <w:r>
        <w:rPr>
          <w:sz w:val="22"/>
          <w:szCs w:val="22"/>
        </w:rPr>
        <w:t xml:space="preserve">Pressman, R. S. (2021). </w:t>
      </w:r>
      <w:r>
        <w:rPr>
          <w:i/>
          <w:sz w:val="22"/>
          <w:szCs w:val="22"/>
        </w:rPr>
        <w:t>Ingeniería de software: un enfoque práctico</w:t>
      </w:r>
      <w:r>
        <w:rPr>
          <w:sz w:val="22"/>
          <w:szCs w:val="22"/>
        </w:rPr>
        <w:t>. McGraw-Hill Interamericana.</w:t>
      </w:r>
    </w:p>
    <w:p w14:paraId="5B5BA76B">
      <w:pPr>
        <w:rPr>
          <w:sz w:val="22"/>
          <w:szCs w:val="22"/>
        </w:rPr>
      </w:pPr>
      <w:r>
        <w:rPr>
          <w:sz w:val="22"/>
          <w:szCs w:val="22"/>
        </w:rPr>
        <w:t xml:space="preserve">Sommerville, I. (2005). </w:t>
      </w:r>
      <w:r>
        <w:rPr>
          <w:i/>
          <w:sz w:val="22"/>
          <w:szCs w:val="22"/>
        </w:rPr>
        <w:t>Ingeniería del software</w:t>
      </w:r>
      <w:r>
        <w:rPr>
          <w:sz w:val="22"/>
          <w:szCs w:val="22"/>
        </w:rPr>
        <w:t>. Pearson Educación.</w:t>
      </w:r>
    </w:p>
    <w:sectPr>
      <w:pgSz w:w="12240" w:h="15840"/>
      <w:pgMar w:top="1417" w:right="1417" w:bottom="1417" w:left="1417" w:header="720" w:footer="720" w:gutter="0"/>
      <w:paperSrc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o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o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705C7"/>
    <w:rsid w:val="04DD3789"/>
    <w:rsid w:val="19436102"/>
    <w:rsid w:val="2F413C94"/>
    <w:rsid w:val="506A727A"/>
    <w:rsid w:val="579569BD"/>
    <w:rsid w:val="5B345801"/>
    <w:rsid w:val="64744D5D"/>
    <w:rsid w:val="687264E6"/>
    <w:rsid w:val="793D5F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  <w:lsdException w:qFormat="1" w:unhideWhenUsed="0" w:uiPriority="0" w:semiHidden="0" w:name="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/>
      <w:outlineLvl w:val="0"/>
    </w:pPr>
    <w:rPr>
      <w:b/>
      <w:sz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00"/>
      <w:outlineLvl w:val="1"/>
    </w:pPr>
    <w:rPr>
      <w:b/>
      <w:sz w:val="26"/>
    </w:rPr>
  </w:style>
  <w:style w:type="paragraph" w:styleId="4">
    <w:name w:val="heading 3"/>
    <w:basedOn w:val="1"/>
    <w:next w:val="1"/>
    <w:qFormat/>
    <w:uiPriority w:val="0"/>
    <w:pPr>
      <w:keepNext/>
      <w:spacing w:before="240" w:after="80"/>
      <w:outlineLvl w:val="2"/>
    </w:pPr>
    <w:rPr>
      <w:b/>
      <w:sz w:val="24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sz w:val="22"/>
    </w:rPr>
  </w:style>
  <w:style w:type="paragraph" w:styleId="6">
    <w:name w:val="heading 5"/>
    <w:basedOn w:val="1"/>
    <w:next w:val="1"/>
    <w:qFormat/>
    <w:uiPriority w:val="0"/>
    <w:pPr>
      <w:keepNext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keepNext/>
      <w:outlineLvl w:val="5"/>
    </w:pPr>
    <w:rPr>
      <w:i/>
      <w:sz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qFormat/>
    <w:uiPriority w:val="0"/>
    <w:rPr>
      <w:sz w:val="16"/>
      <w:szCs w:val="16"/>
    </w:rPr>
  </w:style>
  <w:style w:type="character" w:styleId="11">
    <w:name w:val="Hyperlink"/>
    <w:qFormat/>
    <w:uiPriority w:val="0"/>
    <w:rPr>
      <w:color w:val="0563C1"/>
      <w:u w:val="single"/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annotation text"/>
    <w:basedOn w:val="1"/>
    <w:qFormat/>
    <w:uiPriority w:val="0"/>
    <w:pPr>
      <w:spacing w:line="240" w:lineRule="auto"/>
    </w:pPr>
    <w:rPr>
      <w:sz w:val="20"/>
      <w:szCs w:val="20"/>
    </w:rPr>
  </w:style>
  <w:style w:type="paragraph" w:styleId="14">
    <w:name w:val="Title"/>
    <w:basedOn w:val="1"/>
    <w:next w:val="1"/>
    <w:qFormat/>
    <w:uiPriority w:val="0"/>
    <w:pPr>
      <w:spacing w:after="80"/>
      <w:contextualSpacing/>
    </w:pPr>
    <w:rPr>
      <w:sz w:val="56"/>
    </w:rPr>
  </w:style>
  <w:style w:type="table" w:styleId="15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Quote"/>
    <w:basedOn w:val="1"/>
    <w:qFormat/>
    <w:uiPriority w:val="0"/>
    <w:pPr>
      <w:pBdr>
        <w:left w:val="single" w:color="A0A0A0" w:sz="12" w:space="8"/>
      </w:pBdr>
      <w:ind w:left="720" w:right="720"/>
    </w:pPr>
    <w:rPr>
      <w:i/>
      <w:color w:val="404040"/>
    </w:rPr>
  </w:style>
  <w:style w:type="paragraph" w:customStyle="1" w:styleId="17">
    <w:name w:val="Code"/>
    <w:basedOn w:val="1"/>
    <w:link w:val="18"/>
    <w:qFormat/>
    <w:uiPriority w:val="0"/>
    <w:pPr>
      <w:shd w:val="clear" w:color="auto" w:fill="F5F5F5"/>
      <w:spacing w:after="0" w:line="240" w:lineRule="auto"/>
      <w:contextualSpacing/>
    </w:pPr>
    <w:rPr>
      <w:rFonts w:ascii="Consolas" w:hAnsi="Consolas" w:eastAsia="Consolas" w:cs="Consolas"/>
      <w:sz w:val="20"/>
    </w:rPr>
  </w:style>
  <w:style w:type="character" w:customStyle="1" w:styleId="18">
    <w:name w:val="Code Char"/>
    <w:link w:val="17"/>
    <w:qFormat/>
    <w:uiPriority w:val="0"/>
    <w:rPr>
      <w:rFonts w:ascii="Consolas" w:hAnsi="Consolas" w:eastAsia="Consolas" w:cs="Consolas"/>
      <w:sz w:val="20"/>
      <w:shd w:val="clear" w:color="auto" w:fill="F5F5F5"/>
    </w:rPr>
  </w:style>
  <w:style w:type="paragraph" w:styleId="19">
    <w:name w:val="List Paragraph"/>
    <w:basedOn w:val="1"/>
    <w:qFormat/>
    <w:uiPriority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2179</Words>
  <Characters>11860</Characters>
  <TotalTime>4</TotalTime>
  <ScaleCrop>false</ScaleCrop>
  <LinksUpToDate>false</LinksUpToDate>
  <CharactersWithSpaces>13771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2026-10-04T05:31:54Z</dcterms:created>
  <dc:creator>andyf</dc:creator>
  <dc:description>Claude Docs node/d6612670-55f5@18 docx-w6</dc:description>
  <cp:lastModifiedBy>andyf</cp:lastModifiedBy>
  <dcterms:modified xsi:type="dcterms:W3CDTF">2026-10-04T15:02:06Z</dcterms:modified>
  <dc:title>Formulación del proyecto Plataforma de reclutamiento empresarial TalentoLink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eyJoZGlkIjoiMWFmMTFhODgyMTVlZjljZmEwZTBhMDJjN2Q4OTc3YjgiLCJ1c2VySWQiOiIxNjY2NTc1MzEzODc0In0=</vt:lpwstr>
  </property>
  <property fmtid="{D5CDD505-2E9C-101B-9397-08002B2CF9AE}" pid="3" name="KSOProductBuildVer">
    <vt:lpwstr>3082-12.1.0.28485</vt:lpwstr>
  </property>
  <property fmtid="{D5CDD505-2E9C-101B-9397-08002B2CF9AE}" pid="4" name="ICV">
    <vt:lpwstr>A20FE45DCCDF4203919DA20FB868D5BE_13</vt:lpwstr>
  </property>
</Properties>
</file>