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9472C3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fldSimple w:instr=" DATE  \* MERGEFORMAT ">
                        <w:r w:rsidR="0098507F" w:rsidRPr="0098507F">
                          <w:rPr>
                            <w:rFonts w:asciiTheme="minorHAnsi" w:hAnsiTheme="minorHAnsi"/>
                            <w:noProof/>
                            <w:color w:val="1F497D" w:themeColor="text2"/>
                          </w:rPr>
                          <w:t>22/02/2016</w:t>
                        </w:r>
                      </w:fldSimple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9472C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98507F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98507F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9472C3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9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L’an dernier un projet M1 a consisté à développer un robot similaire à R2D2 de la saga Star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développement s’effectuera sur une carte Beagle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travail demandé consiste à actualiser la partie robotique, faire la liaison entre la carte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BeagleBone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Start w:id="5" w:name="_Toc440009594"/>
      <w:bookmarkEnd w:id="1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40009595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 xml:space="preserve">Un robot R2D2 a été créé l’année dernière afin de servir de promotion sur les forums post-bac. Il possède actuellement une partie Son &amp; Lumière commandée par une carte </w:t>
      </w:r>
      <w:proofErr w:type="spellStart"/>
      <w:r>
        <w:t>Beaglebone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 xml:space="preserve">Le robot R2D2 actuel est constitué d’une carcasse en cuivre qui contient la carte </w:t>
      </w:r>
      <w:proofErr w:type="spellStart"/>
      <w:r>
        <w:t>beaglebone</w:t>
      </w:r>
      <w:proofErr w:type="spellEnd"/>
      <w:r>
        <w:t xml:space="preserve"> ainsi que diverses LED et </w:t>
      </w:r>
      <w:proofErr w:type="spellStart"/>
      <w:r>
        <w:t>buzzers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 xml:space="preserve">La carte </w:t>
      </w:r>
      <w:proofErr w:type="spellStart"/>
      <w:r>
        <w:t>Beaglebone</w:t>
      </w:r>
      <w:proofErr w:type="spellEnd"/>
      <w:r>
        <w:t xml:space="preserve"> contient une distribution Debian spécialement adaptée. Les communications avec les moteurs se feront au travers d’un port série de la </w:t>
      </w:r>
      <w:proofErr w:type="spellStart"/>
      <w:r>
        <w:t>beaglebone</w:t>
      </w:r>
      <w:proofErr w:type="spellEnd"/>
      <w:r>
        <w:t xml:space="preserve">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6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40009597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40009598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40009599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6C313C" w:rsidRPr="005150A5" w:rsidRDefault="00036A89" w:rsidP="006C313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5150A5" w:rsidRDefault="005150A5" w:rsidP="005150A5">
      <w:pPr>
        <w:rPr>
          <w:u w:val="single"/>
          <w:lang w:eastAsia="fr-FR"/>
        </w:rPr>
      </w:pPr>
    </w:p>
    <w:p w:rsidR="005150A5" w:rsidRDefault="005150A5" w:rsidP="005150A5">
      <w:pPr>
        <w:rPr>
          <w:u w:val="single"/>
          <w:lang w:eastAsia="fr-FR"/>
        </w:rPr>
      </w:pPr>
    </w:p>
    <w:p w:rsidR="005150A5" w:rsidRPr="005150A5" w:rsidRDefault="005150A5" w:rsidP="005150A5">
      <w:pPr>
        <w:rPr>
          <w:u w:val="single"/>
          <w:lang w:eastAsia="fr-FR"/>
        </w:rPr>
      </w:pPr>
    </w:p>
    <w:p w:rsidR="006C313C" w:rsidRPr="006C313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lastRenderedPageBreak/>
        <w:t>Batterie externe :</w:t>
      </w:r>
      <w:r w:rsidR="0077393F">
        <w:rPr>
          <w:lang w:eastAsia="fr-FR"/>
        </w:rPr>
        <w:t xml:space="preserve"> </w:t>
      </w:r>
      <w:r w:rsidR="00A03ADC">
        <w:rPr>
          <w:lang w:eastAsia="fr-FR"/>
        </w:rPr>
        <w:t>2</w:t>
      </w:r>
      <w:bookmarkStart w:id="11" w:name="_GoBack"/>
      <w:bookmarkEnd w:id="11"/>
      <w:r w:rsidR="0077393F">
        <w:rPr>
          <w:lang w:eastAsia="fr-FR"/>
        </w:rPr>
        <w:t xml:space="preserve"> (une pour la carte </w:t>
      </w:r>
      <w:proofErr w:type="spellStart"/>
      <w:r w:rsidR="0077393F">
        <w:rPr>
          <w:lang w:eastAsia="fr-FR"/>
        </w:rPr>
        <w:t>BeagleBone</w:t>
      </w:r>
      <w:proofErr w:type="spellEnd"/>
      <w:r w:rsidR="0077393F">
        <w:rPr>
          <w:lang w:eastAsia="fr-FR"/>
        </w:rPr>
        <w:t xml:space="preserve"> en elle-même, </w:t>
      </w:r>
      <w:r w:rsidR="00A03ADC">
        <w:rPr>
          <w:lang w:eastAsia="fr-FR"/>
        </w:rPr>
        <w:t>une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</w:p>
    <w:p w:rsidR="00036A89" w:rsidRDefault="006C313C" w:rsidP="006C313C">
      <w:pPr>
        <w:pStyle w:val="Paragraphedeliste"/>
        <w:ind w:firstLine="696"/>
        <w:rPr>
          <w:rStyle w:val="Lienhypertexte"/>
          <w:lang w:eastAsia="fr-FR"/>
        </w:rPr>
      </w:pPr>
      <w:r>
        <w:rPr>
          <w:lang w:eastAsia="fr-FR"/>
        </w:rPr>
        <w:t xml:space="preserve">- Pour l’alimentation de la carte : </w:t>
      </w:r>
      <w:hyperlink r:id="rId13" w:anchor="productDetails" w:history="1">
        <w:r w:rsidR="00036A89"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811EF5" w:rsidRDefault="006C313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>-Pour l’alimentation des moteurs :</w:t>
      </w:r>
    </w:p>
    <w:p w:rsidR="006C313C" w:rsidRDefault="009472C3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hyperlink r:id="rId14" w:history="1">
        <w:r w:rsidR="00811EF5" w:rsidRPr="004066F0">
          <w:rPr>
            <w:rStyle w:val="Lienhypertexte"/>
            <w:lang w:eastAsia="fr-FR"/>
          </w:rPr>
          <w:t>http://www.cdiscount.com/informatique/ordinateurs-pc-portables/batterie-externe-20000mah-sortie-5v-9v-12v/f-1070929-auc3760235710514.html</w:t>
        </w:r>
      </w:hyperlink>
    </w:p>
    <w:p w:rsidR="00811EF5" w:rsidRPr="006C313C" w:rsidRDefault="00811EF5" w:rsidP="00641748">
      <w:pPr>
        <w:pStyle w:val="Paragraphedeliste"/>
        <w:ind w:firstLine="696"/>
        <w:rPr>
          <w:lang w:eastAsia="fr-FR"/>
        </w:rPr>
      </w:pPr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</w:t>
      </w:r>
      <w:r w:rsidR="00641748">
        <w:rPr>
          <w:lang w:eastAsia="fr-FR"/>
        </w:rPr>
        <w:t xml:space="preserve"> : </w:t>
      </w:r>
      <w:r w:rsidR="00EC0EB4">
        <w:rPr>
          <w:lang w:eastAsia="fr-FR"/>
        </w:rPr>
        <w:t>fourni avec les moteurs</w:t>
      </w:r>
    </w:p>
    <w:p w:rsidR="00DA68CC" w:rsidRPr="000B7C66" w:rsidRDefault="00DA68CC" w:rsidP="00DA68CC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lang w:eastAsia="fr-FR"/>
        </w:rPr>
        <w:t xml:space="preserve">Câble convertisseur USB vers alimentation (si 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 retenue) </w:t>
      </w:r>
      <w:hyperlink r:id="rId15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0B7C66" w:rsidRDefault="000B7C66" w:rsidP="005150A5">
      <w:pPr>
        <w:pStyle w:val="Paragraphedeliste"/>
        <w:rPr>
          <w:rStyle w:val="Lienhypertexte"/>
          <w:lang w:eastAsia="fr-FR"/>
        </w:rPr>
      </w:pPr>
    </w:p>
    <w:p w:rsidR="005150A5" w:rsidRPr="004F6417" w:rsidRDefault="005150A5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 xml:space="preserve">Routeur Wifi portable : </w:t>
      </w:r>
      <w:hyperlink r:id="rId16" w:anchor="specifications" w:history="1">
        <w:r w:rsidRPr="00176CD9">
          <w:rPr>
            <w:rStyle w:val="Lienhypertexte"/>
            <w:lang w:eastAsia="fr-FR"/>
          </w:rPr>
          <w:t>http://www.tp-link.fr/products/details/cat-9_TL-WR802N.html#specifications</w:t>
        </w:r>
      </w:hyperlink>
    </w:p>
    <w:p w:rsidR="004F6417" w:rsidRPr="004F6417" w:rsidRDefault="004F6417" w:rsidP="004F6417">
      <w:pPr>
        <w:pStyle w:val="Paragraphedeliste"/>
        <w:rPr>
          <w:rStyle w:val="Lienhypertexte"/>
          <w:color w:val="auto"/>
          <w:lang w:eastAsia="fr-FR"/>
        </w:rPr>
      </w:pPr>
    </w:p>
    <w:p w:rsidR="005150A5" w:rsidRDefault="009472C3" w:rsidP="004F6417">
      <w:pPr>
        <w:pStyle w:val="Paragraphedeliste"/>
        <w:rPr>
          <w:rStyle w:val="Lienhypertexte"/>
          <w:color w:val="auto"/>
          <w:lang w:eastAsia="fr-FR"/>
        </w:rPr>
      </w:pPr>
      <w:hyperlink r:id="rId17" w:history="1">
        <w:r w:rsidR="004F6417" w:rsidRPr="00E917F9">
          <w:rPr>
            <w:rStyle w:val="Lienhypertexte"/>
            <w:lang w:eastAsia="fr-FR"/>
          </w:rPr>
          <w:t>http://www.amazon.fr/TP-LINK-TL-WR802N-Routeur-300Mbps-Ethernet/dp/B00XPUIDFQ</w:t>
        </w:r>
      </w:hyperlink>
    </w:p>
    <w:p w:rsidR="004F6417" w:rsidRPr="004F6417" w:rsidRDefault="004F6417" w:rsidP="004F6417">
      <w:pPr>
        <w:pStyle w:val="Paragraphedeliste"/>
        <w:rPr>
          <w:u w:val="single"/>
          <w:lang w:eastAsia="fr-FR"/>
        </w:rPr>
      </w:pPr>
    </w:p>
    <w:p w:rsidR="00DA68CC" w:rsidRDefault="00DA68CC" w:rsidP="00DA68CC">
      <w:pPr>
        <w:pStyle w:val="Paragraphedeliste"/>
        <w:rPr>
          <w:lang w:eastAsia="fr-FR"/>
        </w:rPr>
      </w:pPr>
      <w:r>
        <w:rPr>
          <w:lang w:eastAsia="fr-FR"/>
        </w:rPr>
        <w:t xml:space="preserve"> </w:t>
      </w: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16182F" w:rsidRDefault="0016182F" w:rsidP="00DA68CC">
      <w:pPr>
        <w:pStyle w:val="Paragraphedeliste"/>
        <w:rPr>
          <w:lang w:eastAsia="fr-FR"/>
        </w:rPr>
      </w:pPr>
    </w:p>
    <w:p w:rsidR="005150A5" w:rsidRPr="00C000F1" w:rsidRDefault="005150A5" w:rsidP="00DA68CC">
      <w:pPr>
        <w:pStyle w:val="Paragraphedeliste"/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lastRenderedPageBreak/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 xml:space="preserve">Partie </w:t>
      </w:r>
      <w:proofErr w:type="spellStart"/>
      <w:r>
        <w:rPr>
          <w:u w:val="single"/>
          <w:lang w:eastAsia="fr-FR"/>
        </w:rPr>
        <w:t>BeagleBone</w:t>
      </w:r>
      <w:proofErr w:type="spellEnd"/>
      <w:r>
        <w:rPr>
          <w:u w:val="single"/>
          <w:lang w:eastAsia="fr-FR"/>
        </w:rPr>
        <w:t>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Carte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BeagleBone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210mA/h pour </w:t>
            </w:r>
            <w:proofErr w:type="gram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la</w:t>
            </w:r>
            <w:proofErr w:type="gram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5150A5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Routeur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lcd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t>Partie moteurs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BC08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BC08B0">
              <w:rPr>
                <w:rFonts w:ascii="Calibri" w:eastAsia="Times New Roman" w:hAnsi="Calibri" w:cs="Times New Roman"/>
                <w:color w:val="000000"/>
                <w:lang w:eastAsia="fr-FR"/>
              </w:rPr>
              <w:t>5000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mA/h max</w:t>
            </w:r>
          </w:p>
        </w:tc>
      </w:tr>
    </w:tbl>
    <w:p w:rsidR="001D2ABD" w:rsidRDefault="001D2ABD" w:rsidP="007D6BE1">
      <w:pPr>
        <w:rPr>
          <w:u w:val="single"/>
          <w:lang w:eastAsia="fr-FR"/>
        </w:rPr>
      </w:pP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</w:t>
      </w:r>
      <w:r w:rsidR="006A3A4E">
        <w:rPr>
          <w:lang w:eastAsia="fr-FR"/>
        </w:rPr>
        <w:t xml:space="preserve">, ou </w:t>
      </w:r>
      <w:r w:rsidR="006A3A4E" w:rsidRPr="006A3A4E">
        <w:rPr>
          <w:sz w:val="24"/>
          <w:lang w:eastAsia="fr-FR"/>
        </w:rPr>
        <w:t>P</w:t>
      </w:r>
      <w:r w:rsidR="006A3A4E">
        <w:rPr>
          <w:lang w:eastAsia="fr-FR"/>
        </w:rPr>
        <w:t>ython</w:t>
      </w:r>
      <w:r>
        <w:rPr>
          <w:lang w:eastAsia="fr-FR"/>
        </w:rPr>
        <w:t>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</w:t>
      </w:r>
      <w:r w:rsidR="000B7C66">
        <w:rPr>
          <w:lang w:eastAsia="fr-FR"/>
        </w:rPr>
        <w:t xml:space="preserve"> système </w:t>
      </w:r>
      <w:proofErr w:type="spellStart"/>
      <w:r w:rsidR="000B7C66">
        <w:rPr>
          <w:lang w:eastAsia="fr-FR"/>
        </w:rPr>
        <w:t>android</w:t>
      </w:r>
      <w:proofErr w:type="spellEnd"/>
      <w:r>
        <w:rPr>
          <w:lang w:eastAsia="fr-FR"/>
        </w:rPr>
        <w:t xml:space="preserve"> et </w:t>
      </w:r>
      <w:r w:rsidR="000B7C66">
        <w:rPr>
          <w:lang w:eastAsia="fr-FR"/>
        </w:rPr>
        <w:t xml:space="preserve">la carte </w:t>
      </w:r>
      <w:proofErr w:type="spellStart"/>
      <w:r w:rsidR="000B7C66">
        <w:rPr>
          <w:lang w:eastAsia="fr-FR"/>
        </w:rPr>
        <w:t>BeagleBone</w:t>
      </w:r>
      <w:proofErr w:type="spellEnd"/>
      <w:r w:rsidR="000B7C66">
        <w:rPr>
          <w:lang w:eastAsia="fr-FR"/>
        </w:rPr>
        <w:t xml:space="preserve"> sera</w:t>
      </w:r>
      <w:r>
        <w:rPr>
          <w:lang w:eastAsia="fr-FR"/>
        </w:rPr>
        <w:t xml:space="preserve"> faite avec la technologie ROS (Robot Operating System)</w:t>
      </w:r>
    </w:p>
    <w:p w:rsidR="000B7C66" w:rsidRDefault="000B7C66" w:rsidP="006F3D9C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y aura </w:t>
      </w:r>
      <w:r w:rsidR="006F3D9C">
        <w:rPr>
          <w:lang w:eastAsia="fr-FR"/>
        </w:rPr>
        <w:t>développement d’une application JAVA</w:t>
      </w:r>
      <w:r>
        <w:rPr>
          <w:lang w:eastAsia="fr-FR"/>
        </w:rPr>
        <w:t xml:space="preserve"> pour interagir avec la carte </w:t>
      </w:r>
      <w:proofErr w:type="spellStart"/>
      <w:r>
        <w:rPr>
          <w:lang w:eastAsia="fr-FR"/>
        </w:rPr>
        <w:t>BeagleBone</w:t>
      </w:r>
      <w:proofErr w:type="spellEnd"/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79205E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Ethernet : Pour le routeur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Green) ou port alimentation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DA68CC" w:rsidRPr="006B5A21" w:rsidRDefault="00DA68CC" w:rsidP="00DA68CC">
      <w:pPr>
        <w:rPr>
          <w:lang w:eastAsia="fr-FR"/>
        </w:rPr>
      </w:pP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BC08B0" w:rsidRPr="00757F37" w:rsidRDefault="00BC08B0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moteurs (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carte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 euros (en promotion)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BC08B0" w:rsidTr="006B5A21">
        <w:tc>
          <w:tcPr>
            <w:tcW w:w="4283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Routeur wifi</w:t>
            </w:r>
          </w:p>
        </w:tc>
        <w:tc>
          <w:tcPr>
            <w:tcW w:w="4285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19.58</w:t>
            </w:r>
            <w:r w:rsidR="00BC08B0">
              <w:rPr>
                <w:rFonts w:cstheme="minorHAnsi"/>
              </w:rPr>
              <w:t xml:space="preserve"> euros</w:t>
            </w:r>
          </w:p>
        </w:tc>
      </w:tr>
      <w:tr w:rsidR="00BC08B0" w:rsidTr="006B5A21">
        <w:tc>
          <w:tcPr>
            <w:tcW w:w="4283" w:type="dxa"/>
          </w:tcPr>
          <w:p w:rsidR="00BC08B0" w:rsidRPr="00DA68CC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Câble convertisseur USB vers alimentation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5.51 euros</w:t>
            </w:r>
          </w:p>
        </w:tc>
      </w:tr>
      <w:tr w:rsidR="00BC08B0" w:rsidTr="006B5A21">
        <w:tc>
          <w:tcPr>
            <w:tcW w:w="4283" w:type="dxa"/>
          </w:tcPr>
          <w:p w:rsidR="00BC08B0" w:rsidRPr="006B5A21" w:rsidRDefault="00BC08B0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BC08B0" w:rsidRDefault="0079205E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103.51 euros (sans batterie alim moteur</w:t>
            </w:r>
            <w:r w:rsidR="00BC08B0">
              <w:rPr>
                <w:rFonts w:cstheme="minorHAnsi"/>
              </w:rPr>
              <w:t>)</w:t>
            </w:r>
          </w:p>
        </w:tc>
      </w:tr>
    </w:tbl>
    <w:p w:rsidR="008149C2" w:rsidRDefault="008149C2" w:rsidP="008149C2">
      <w:pPr>
        <w:rPr>
          <w:u w:val="single"/>
          <w:lang w:eastAsia="fr-FR"/>
        </w:rPr>
      </w:pPr>
      <w:bookmarkStart w:id="12" w:name="_Toc408068883"/>
      <w:bookmarkStart w:id="13" w:name="_Toc439768548"/>
      <w:bookmarkEnd w:id="12"/>
      <w:bookmarkEnd w:id="13"/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  <w:r w:rsidRPr="008149C2">
        <w:rPr>
          <w:u w:val="single"/>
          <w:lang w:eastAsia="fr-FR"/>
        </w:rPr>
        <w:lastRenderedPageBreak/>
        <w:t xml:space="preserve">Application </w:t>
      </w:r>
      <w:proofErr w:type="spellStart"/>
      <w:r w:rsidRPr="008149C2">
        <w:rPr>
          <w:u w:val="single"/>
          <w:lang w:eastAsia="fr-FR"/>
        </w:rPr>
        <w:t>android</w:t>
      </w:r>
      <w:proofErr w:type="spellEnd"/>
      <w:r w:rsidRPr="008149C2">
        <w:rPr>
          <w:u w:val="single"/>
          <w:lang w:eastAsia="fr-FR"/>
        </w:rPr>
        <w:t> :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ab/>
        <w:t>Nous avons réalisé une maquette de l’application qui permettra le contrôle du robot.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 xml:space="preserve">Maquette de l’application : </w:t>
      </w:r>
    </w:p>
    <w:p w:rsidR="008149C2" w:rsidRDefault="00A03ADC" w:rsidP="008149C2">
      <w:pPr>
        <w:rPr>
          <w:lang w:eastAsia="fr-FR"/>
        </w:rPr>
      </w:pPr>
      <w:r>
        <w:rPr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54.5pt">
            <v:imagedata r:id="rId18" o:title="vue1"/>
          </v:shape>
        </w:pict>
      </w:r>
    </w:p>
    <w:p w:rsidR="008149C2" w:rsidRDefault="00A03ADC" w:rsidP="008149C2">
      <w:pPr>
        <w:rPr>
          <w:lang w:eastAsia="fr-FR"/>
        </w:rPr>
      </w:pPr>
      <w:r>
        <w:rPr>
          <w:lang w:eastAsia="fr-FR"/>
        </w:rPr>
        <w:pict>
          <v:shape id="_x0000_i1026" type="#_x0000_t75" style="width:452.95pt;height:254.5pt">
            <v:imagedata r:id="rId19" o:title="vue2"/>
          </v:shape>
        </w:pict>
      </w:r>
    </w:p>
    <w:p w:rsidR="008149C2" w:rsidRDefault="008149C2" w:rsidP="008149C2">
      <w:pPr>
        <w:rPr>
          <w:lang w:eastAsia="fr-FR"/>
        </w:rPr>
      </w:pPr>
    </w:p>
    <w:p w:rsidR="008149C2" w:rsidRPr="008149C2" w:rsidRDefault="00A03ADC" w:rsidP="008149C2">
      <w:pPr>
        <w:rPr>
          <w:lang w:eastAsia="fr-FR"/>
        </w:rPr>
      </w:pPr>
      <w:r>
        <w:rPr>
          <w:lang w:eastAsia="fr-FR"/>
        </w:rPr>
        <w:lastRenderedPageBreak/>
        <w:pict>
          <v:shape id="_x0000_i1027" type="#_x0000_t75" style="width:452.95pt;height:254.5pt">
            <v:imagedata r:id="rId20" o:title="vue3"/>
          </v:shape>
        </w:pict>
      </w:r>
    </w:p>
    <w:p w:rsidR="008149C2" w:rsidRPr="008149C2" w:rsidRDefault="008149C2" w:rsidP="008149C2">
      <w:pPr>
        <w:rPr>
          <w:u w:val="single"/>
          <w:lang w:eastAsia="fr-FR"/>
        </w:rPr>
      </w:pPr>
    </w:p>
    <w:p w:rsidR="008149C2" w:rsidRPr="00757F37" w:rsidRDefault="008149C2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C546F3" w:rsidRDefault="00C546F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A358B5" w:rsidRPr="00757F37" w:rsidRDefault="005150A5" w:rsidP="00757F37">
      <w:pPr>
        <w:jc w:val="both"/>
        <w:rPr>
          <w:color w:val="000000" w:themeColor="text1"/>
          <w:sz w:val="24"/>
          <w:szCs w:val="24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t>Nota :</w:t>
      </w:r>
      <w:r>
        <w:rPr>
          <w:color w:val="000000" w:themeColor="text1"/>
          <w:sz w:val="24"/>
          <w:szCs w:val="24"/>
        </w:rPr>
        <w:t xml:space="preserve"> </w:t>
      </w:r>
      <w:r w:rsidR="003666F4">
        <w:rPr>
          <w:color w:val="000000" w:themeColor="text1"/>
          <w:sz w:val="24"/>
          <w:szCs w:val="24"/>
        </w:rPr>
        <w:t xml:space="preserve">Pour plus de précisions se référer au </w:t>
      </w:r>
      <w:proofErr w:type="spellStart"/>
      <w:r w:rsidR="003666F4">
        <w:rPr>
          <w:color w:val="000000" w:themeColor="text1"/>
          <w:sz w:val="24"/>
          <w:szCs w:val="24"/>
        </w:rPr>
        <w:t>pdf</w:t>
      </w:r>
      <w:proofErr w:type="spellEnd"/>
      <w:r w:rsidR="003666F4">
        <w:rPr>
          <w:color w:val="000000" w:themeColor="text1"/>
          <w:sz w:val="24"/>
          <w:szCs w:val="24"/>
        </w:rPr>
        <w:t xml:space="preserve"> ci-joint par mail.</w:t>
      </w:r>
      <w:bookmarkEnd w:id="35"/>
    </w:p>
    <w:sectPr w:rsidR="00A358B5" w:rsidRPr="00757F37" w:rsidSect="00B7701C">
      <w:headerReference w:type="default" r:id="rId22"/>
      <w:foot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C3" w:rsidRDefault="009472C3" w:rsidP="00F9701F">
      <w:pPr>
        <w:spacing w:after="0" w:line="240" w:lineRule="auto"/>
      </w:pPr>
      <w:r>
        <w:separator/>
      </w:r>
    </w:p>
  </w:endnote>
  <w:endnote w:type="continuationSeparator" w:id="0">
    <w:p w:rsidR="009472C3" w:rsidRDefault="009472C3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9472C3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98507F" w:rsidRPr="0098507F">
                    <w:rPr>
                      <w:noProof/>
                      <w:color w:val="FFFFFF" w:themeColor="background1"/>
                      <w:sz w:val="20"/>
                      <w:szCs w:val="20"/>
                    </w:rPr>
                    <w:t>9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C3" w:rsidRDefault="009472C3" w:rsidP="00F9701F">
      <w:pPr>
        <w:spacing w:after="0" w:line="240" w:lineRule="auto"/>
      </w:pPr>
      <w:r>
        <w:separator/>
      </w:r>
    </w:p>
  </w:footnote>
  <w:footnote w:type="continuationSeparator" w:id="0">
    <w:p w:rsidR="009472C3" w:rsidRDefault="009472C3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9472C3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1304.8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621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B7C66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3ECF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82F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5A2E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4F6417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0A5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040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1748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3A4E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13C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3D9C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205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1EF5"/>
    <w:rsid w:val="00812C03"/>
    <w:rsid w:val="008149C2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472C3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507F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ADC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8659E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8B0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0AAD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hyperlink" Target="http://www.amazon.fr/TP-LINK-TL-WR802N-Routeur-300Mbps-Ethernet/dp/B00XPUIDFQ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p-link.fr/products/details/cat-9_TL-WR802N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discount.com/informatique/ordinateurs-pc-portables/batterie-externe-20000mah-sortie-5v-9v-12v/f-1070929-auc3760235710514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5E03C-038E-4C92-BBEF-2E92EEA4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221</cp:revision>
  <cp:lastPrinted>2016-02-22T15:34:00Z</cp:lastPrinted>
  <dcterms:created xsi:type="dcterms:W3CDTF">2014-05-30T13:24:00Z</dcterms:created>
  <dcterms:modified xsi:type="dcterms:W3CDTF">2016-02-22T15:34:00Z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