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Project Description(Deliverables/Goals and Objectives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Who is most likely to have a bank account?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Financial Inclusion remains one of the main obstacles to economic and human development 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Africa. For example, across Kenya, Rwanda, Tanzania, and Uganda only 9.1 million adults (or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13.9% of the adult population) have access to or use a commercial bank account.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Traditionally, access to bank accounts has been regarded as an indicator of financial inclusion.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Despite the proliferation of mobile money in Africa, and the growth of innovative fintech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solutions, banks still play a pivotal role in facilitating access to financial services. Access to bank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accounts enable households to save and facilitate payments while also helping businesses build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up their credit-worthiness and improve their access to other finance services. Therefore, access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bank accounts is an essential contributor to long-term economic growth.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00b0f0"/>
          <w:rtl w:val="0"/>
        </w:rPr>
        <w:t xml:space="preserve">Our objective </w:t>
      </w:r>
      <w:r w:rsidDel="00000000" w:rsidR="00000000" w:rsidRPr="00000000">
        <w:rPr>
          <w:rtl w:val="0"/>
        </w:rPr>
        <w:t xml:space="preserve">is to create a machine learning model to predict which individuals are most likely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have or use a bank account. The models and solutions developed can provide an indication of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state of financial inclusion in Kenya, Rwanda, Tanzania and Uganda, while providing insights into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some of the key demographic factors that might drive individuals’ financial outcomes.w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nOAQ/Q4/NME6sRwhA4LO7obZQ==">AMUW2mXLeolKVX4vCGt3M1GyXWEX07l53YkzT+tN2UK9B5ftVBmWVc5rs513C726jtuPFyZ5ZK9g2JsF0XM4FGk5JMtOFNOy97nCRw4ofEZiLSNWXvxRfJM9wwt0ffI5iCUlVwui/nhm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2020-02-04T16:13:00Z</dcterms:created>
  <dc:creator>Mouchira Labidi</dc:creator>
</cp:coreProperties>
</file>