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s-auto-insurance-requirements"/>
    <w:p>
      <w:pPr>
        <w:pStyle w:val="Heading1"/>
      </w:pPr>
      <w:r>
        <w:t xml:space="preserve">US Auto Insurance Requirements</w:t>
      </w:r>
    </w:p>
    <w:p>
      <w:pPr>
        <w:pStyle w:val="FirstParagraph"/>
      </w:pPr>
      <w:r>
        <w:t xml:space="preserve">A free reference tool for researching automobile insurance requirements across all 50 U.S. states.</w:t>
      </w:r>
    </w:p>
    <w:p>
      <w:pPr>
        <w:pStyle w:val="BodyText"/>
      </w:pPr>
      <w:r>
        <w:t xml:space="preserve">This website provides state-by-state information gathered from statutes, administrative regulations, insurance department publications, and other primary legal sources.</w:t>
      </w:r>
    </w:p>
    <w:bookmarkStart w:id="24" w:name="included-information"/>
    <w:p>
      <w:pPr>
        <w:pStyle w:val="Heading2"/>
      </w:pPr>
      <w:r>
        <w:t xml:space="preserve">Included Information</w:t>
      </w:r>
    </w:p>
    <w:bookmarkStart w:id="20" w:name="minimum-insurance-requirements"/>
    <w:p>
      <w:pPr>
        <w:pStyle w:val="Heading3"/>
      </w:pPr>
      <w:r>
        <w:t xml:space="preserve">Minimum Insurance Requirements</w:t>
      </w:r>
    </w:p>
    <w:p>
      <w:pPr>
        <w:pStyle w:val="FirstParagraph"/>
      </w:pPr>
      <w:r>
        <w:t xml:space="preserve">State-specific requirements may include:</w:t>
      </w:r>
    </w:p>
    <w:p>
      <w:pPr>
        <w:pStyle w:val="Compact"/>
        <w:numPr>
          <w:ilvl w:val="0"/>
          <w:numId w:val="1001"/>
        </w:numPr>
      </w:pPr>
      <w:r>
        <w:t xml:space="preserve">Bodily Injury (BI)</w:t>
      </w:r>
    </w:p>
    <w:p>
      <w:pPr>
        <w:pStyle w:val="Compact"/>
        <w:numPr>
          <w:ilvl w:val="0"/>
          <w:numId w:val="1001"/>
        </w:numPr>
      </w:pPr>
      <w:r>
        <w:t xml:space="preserve">Property Damage (PD)</w:t>
      </w:r>
    </w:p>
    <w:p>
      <w:pPr>
        <w:pStyle w:val="Compact"/>
        <w:numPr>
          <w:ilvl w:val="0"/>
          <w:numId w:val="1001"/>
        </w:numPr>
      </w:pPr>
      <w:r>
        <w:t xml:space="preserve">Personal Injury Protection (PIP)</w:t>
      </w:r>
    </w:p>
    <w:p>
      <w:pPr>
        <w:pStyle w:val="Compact"/>
        <w:numPr>
          <w:ilvl w:val="0"/>
          <w:numId w:val="1001"/>
        </w:numPr>
      </w:pPr>
      <w:r>
        <w:t xml:space="preserve">Uninsured Motorist (UM)</w:t>
      </w:r>
    </w:p>
    <w:p>
      <w:pPr>
        <w:pStyle w:val="Compact"/>
        <w:numPr>
          <w:ilvl w:val="0"/>
          <w:numId w:val="1001"/>
        </w:numPr>
      </w:pPr>
      <w:r>
        <w:t xml:space="preserve">Underinsured Motorist (UIM)</w:t>
      </w:r>
    </w:p>
    <w:bookmarkEnd w:id="20"/>
    <w:bookmarkStart w:id="21" w:name="statutes-of-limitation"/>
    <w:p>
      <w:pPr>
        <w:pStyle w:val="Heading3"/>
      </w:pPr>
      <w:r>
        <w:t xml:space="preserve">Statutes of Limitation</w:t>
      </w:r>
    </w:p>
    <w:p>
      <w:pPr>
        <w:pStyle w:val="FirstParagraph"/>
      </w:pPr>
      <w:r>
        <w:t xml:space="preserve">Where available, the site includes:</w:t>
      </w:r>
    </w:p>
    <w:p>
      <w:pPr>
        <w:pStyle w:val="Compact"/>
        <w:numPr>
          <w:ilvl w:val="0"/>
          <w:numId w:val="1002"/>
        </w:numPr>
      </w:pPr>
      <w:r>
        <w:t xml:space="preserve">Bodily Injury limitation periods</w:t>
      </w:r>
    </w:p>
    <w:p>
      <w:pPr>
        <w:pStyle w:val="Compact"/>
        <w:numPr>
          <w:ilvl w:val="0"/>
          <w:numId w:val="1002"/>
        </w:numPr>
      </w:pPr>
      <w:r>
        <w:t xml:space="preserve">Property Damage limitation periods</w:t>
      </w:r>
    </w:p>
    <w:bookmarkEnd w:id="21"/>
    <w:bookmarkStart w:id="22" w:name="policy-disclosure-requirements"/>
    <w:p>
      <w:pPr>
        <w:pStyle w:val="Heading3"/>
      </w:pPr>
      <w:r>
        <w:t xml:space="preserve">Policy Disclosure Requirements</w:t>
      </w:r>
    </w:p>
    <w:p>
      <w:pPr>
        <w:pStyle w:val="FirstParagraph"/>
      </w:pPr>
      <w:r>
        <w:t xml:space="preserve">Where applicable, the site includes:</w:t>
      </w:r>
    </w:p>
    <w:p>
      <w:pPr>
        <w:pStyle w:val="Compact"/>
        <w:numPr>
          <w:ilvl w:val="0"/>
          <w:numId w:val="1003"/>
        </w:numPr>
      </w:pPr>
      <w:r>
        <w:t xml:space="preserve">Whether disclosure is required</w:t>
      </w:r>
    </w:p>
    <w:p>
      <w:pPr>
        <w:pStyle w:val="Compact"/>
        <w:numPr>
          <w:ilvl w:val="0"/>
          <w:numId w:val="1003"/>
        </w:numPr>
      </w:pPr>
      <w:r>
        <w:t xml:space="preserve">Eligible requestors</w:t>
      </w:r>
    </w:p>
    <w:p>
      <w:pPr>
        <w:pStyle w:val="Compact"/>
        <w:numPr>
          <w:ilvl w:val="0"/>
          <w:numId w:val="1003"/>
        </w:numPr>
      </w:pPr>
      <w:r>
        <w:t xml:space="preserve">Disclosure deadlines</w:t>
      </w:r>
    </w:p>
    <w:p>
      <w:pPr>
        <w:pStyle w:val="Compact"/>
        <w:numPr>
          <w:ilvl w:val="0"/>
          <w:numId w:val="1003"/>
        </w:numPr>
      </w:pPr>
      <w:r>
        <w:t xml:space="preserve">Required disclosure contents</w:t>
      </w:r>
    </w:p>
    <w:p>
      <w:pPr>
        <w:pStyle w:val="Compact"/>
        <w:numPr>
          <w:ilvl w:val="0"/>
          <w:numId w:val="1003"/>
        </w:numPr>
      </w:pPr>
      <w:r>
        <w:t xml:space="preserve">Citation and source information</w:t>
      </w:r>
    </w:p>
    <w:bookmarkEnd w:id="22"/>
    <w:bookmarkStart w:id="23" w:name="claims-handling-deadlines"/>
    <w:p>
      <w:pPr>
        <w:pStyle w:val="Heading3"/>
      </w:pPr>
      <w:r>
        <w:t xml:space="preserve">Claims Handling Deadlines</w:t>
      </w:r>
    </w:p>
    <w:p>
      <w:pPr>
        <w:pStyle w:val="FirstParagraph"/>
      </w:pPr>
      <w:r>
        <w:t xml:space="preserve">Where applicable, the site includes:</w:t>
      </w:r>
    </w:p>
    <w:p>
      <w:pPr>
        <w:pStyle w:val="Compact"/>
        <w:numPr>
          <w:ilvl w:val="0"/>
          <w:numId w:val="1004"/>
        </w:numPr>
      </w:pPr>
      <w:r>
        <w:t xml:space="preserve">Claim acknowledgment requirements</w:t>
      </w:r>
    </w:p>
    <w:p>
      <w:pPr>
        <w:pStyle w:val="Compact"/>
        <w:numPr>
          <w:ilvl w:val="0"/>
          <w:numId w:val="1004"/>
        </w:numPr>
      </w:pPr>
      <w:r>
        <w:t xml:space="preserve">Investigation requirements</w:t>
      </w:r>
    </w:p>
    <w:p>
      <w:pPr>
        <w:pStyle w:val="Compact"/>
        <w:numPr>
          <w:ilvl w:val="0"/>
          <w:numId w:val="1004"/>
        </w:numPr>
      </w:pPr>
      <w:r>
        <w:t xml:space="preserve">Payment requirements</w:t>
      </w:r>
    </w:p>
    <w:p>
      <w:pPr>
        <w:pStyle w:val="Compact"/>
        <w:numPr>
          <w:ilvl w:val="0"/>
          <w:numId w:val="1004"/>
        </w:numPr>
      </w:pPr>
      <w:r>
        <w:t xml:space="preserve">Applicable citations and sources</w:t>
      </w:r>
    </w:p>
    <w:bookmarkEnd w:id="23"/>
    <w:bookmarkEnd w:id="24"/>
    <w:bookmarkStart w:id="28" w:name="how-to-use"/>
    <w:p>
      <w:pPr>
        <w:pStyle w:val="Heading2"/>
      </w:pPr>
      <w:r>
        <w:t xml:space="preserve">How To Use</w:t>
      </w:r>
    </w:p>
    <w:bookmarkStart w:id="25" w:name="search"/>
    <w:p>
      <w:pPr>
        <w:pStyle w:val="Heading3"/>
      </w:pPr>
      <w:r>
        <w:t xml:space="preserve">Search</w:t>
      </w:r>
    </w:p>
    <w:p>
      <w:pPr>
        <w:pStyle w:val="FirstParagraph"/>
      </w:pPr>
      <w:r>
        <w:t xml:space="preserve">Use the search box to find:</w:t>
      </w:r>
    </w:p>
    <w:p>
      <w:pPr>
        <w:pStyle w:val="Compact"/>
        <w:numPr>
          <w:ilvl w:val="0"/>
          <w:numId w:val="1005"/>
        </w:numPr>
      </w:pPr>
      <w:r>
        <w:t xml:space="preserve">States</w:t>
      </w:r>
    </w:p>
    <w:p>
      <w:pPr>
        <w:pStyle w:val="Compact"/>
        <w:numPr>
          <w:ilvl w:val="0"/>
          <w:numId w:val="1005"/>
        </w:numPr>
      </w:pPr>
      <w:r>
        <w:t xml:space="preserve">Coverage types</w:t>
      </w:r>
    </w:p>
    <w:p>
      <w:pPr>
        <w:pStyle w:val="Compact"/>
        <w:numPr>
          <w:ilvl w:val="0"/>
          <w:numId w:val="1005"/>
        </w:numPr>
      </w:pPr>
      <w:r>
        <w:t xml:space="preserve">Notes</w:t>
      </w:r>
    </w:p>
    <w:p>
      <w:pPr>
        <w:pStyle w:val="Compact"/>
        <w:numPr>
          <w:ilvl w:val="0"/>
          <w:numId w:val="1005"/>
        </w:numPr>
      </w:pPr>
      <w:r>
        <w:t xml:space="preserve">Legal references</w:t>
      </w:r>
    </w:p>
    <w:bookmarkEnd w:id="25"/>
    <w:bookmarkStart w:id="26" w:name="state-selection"/>
    <w:p>
      <w:pPr>
        <w:pStyle w:val="Heading3"/>
      </w:pPr>
      <w:r>
        <w:t xml:space="preserve">State Selection</w:t>
      </w:r>
    </w:p>
    <w:p>
      <w:pPr>
        <w:pStyle w:val="FirstParagraph"/>
      </w:pPr>
      <w:r>
        <w:t xml:space="preserve">Choose a state from the dropdown menu to view its information.</w:t>
      </w:r>
    </w:p>
    <w:bookmarkEnd w:id="26"/>
    <w:bookmarkStart w:id="27" w:name="sources"/>
    <w:p>
      <w:pPr>
        <w:pStyle w:val="Heading3"/>
      </w:pPr>
      <w:r>
        <w:t xml:space="preserve">Sources</w:t>
      </w:r>
    </w:p>
    <w:p>
      <w:pPr>
        <w:pStyle w:val="FirstParagraph"/>
      </w:pPr>
      <w:r>
        <w:t xml:space="preserve">Whenever available, source links are provided directly to the applicable statute, regulation, administrative code, or insurance department publication.</w:t>
      </w:r>
    </w:p>
    <w:p>
      <w:pPr>
        <w:pStyle w:val="BodyText"/>
      </w:pPr>
      <w:r>
        <w:t xml:space="preserve">Users should always review the cited authority directly before relying on any information.</w:t>
      </w:r>
    </w:p>
    <w:bookmarkEnd w:id="27"/>
    <w:bookmarkEnd w:id="28"/>
    <w:bookmarkStart w:id="29" w:name="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This project prioritizes:</w:t>
      </w:r>
    </w:p>
    <w:p>
      <w:pPr>
        <w:pStyle w:val="Compact"/>
        <w:numPr>
          <w:ilvl w:val="0"/>
          <w:numId w:val="1006"/>
        </w:numPr>
      </w:pPr>
      <w:r>
        <w:t xml:space="preserve">State statutes</w:t>
      </w:r>
    </w:p>
    <w:p>
      <w:pPr>
        <w:pStyle w:val="Compact"/>
        <w:numPr>
          <w:ilvl w:val="0"/>
          <w:numId w:val="1006"/>
        </w:numPr>
      </w:pPr>
      <w:r>
        <w:t xml:space="preserve">Administrative regulations and codes</w:t>
      </w:r>
    </w:p>
    <w:p>
      <w:pPr>
        <w:pStyle w:val="Compact"/>
        <w:numPr>
          <w:ilvl w:val="0"/>
          <w:numId w:val="1006"/>
        </w:numPr>
      </w:pPr>
      <w:r>
        <w:t xml:space="preserve">State insurance department publications</w:t>
      </w:r>
    </w:p>
    <w:p>
      <w:pPr>
        <w:pStyle w:val="Compact"/>
        <w:numPr>
          <w:ilvl w:val="0"/>
          <w:numId w:val="1006"/>
        </w:numPr>
      </w:pPr>
      <w:r>
        <w:t xml:space="preserve">Official government sources</w:t>
      </w:r>
    </w:p>
    <w:p>
      <w:pPr>
        <w:pStyle w:val="FirstParagraph"/>
      </w:pPr>
      <w:r>
        <w:t xml:space="preserve">Whenever possible, direct links to the underlying authority are provided.</w:t>
      </w:r>
    </w:p>
    <w:bookmarkEnd w:id="29"/>
    <w:bookmarkStart w:id="30" w:name="important-disclaimer"/>
    <w:p>
      <w:pPr>
        <w:pStyle w:val="Heading2"/>
      </w:pPr>
      <w:r>
        <w:t xml:space="preserve">Important Disclaimer</w:t>
      </w:r>
    </w:p>
    <w:p>
      <w:pPr>
        <w:pStyle w:val="FirstParagraph"/>
      </w:pPr>
      <w:r>
        <w:t xml:space="preserve">This website is provided for research and informational purposes only.</w:t>
      </w:r>
    </w:p>
    <w:p>
      <w:pPr>
        <w:pStyle w:val="BodyText"/>
      </w:pPr>
      <w:r>
        <w:t xml:space="preserve">It is not legal advice, insurance advice, or a substitute for reviewing applicable laws and regulations.</w:t>
      </w:r>
    </w:p>
    <w:p>
      <w:pPr>
        <w:pStyle w:val="BodyText"/>
      </w:pPr>
      <w:r>
        <w:t xml:space="preserve">Insurance requirements, claims handling standards, and disclosure obligations may change over time.</w:t>
      </w:r>
    </w:p>
    <w:p>
      <w:pPr>
        <w:pStyle w:val="BodyText"/>
      </w:pPr>
      <w:r>
        <w:t xml:space="preserve">Always verify information against the cited source and consult qualified legal or insurance professionals when necessary.</w:t>
      </w:r>
    </w:p>
    <w:bookmarkEnd w:id="30"/>
    <w:bookmarkStart w:id="31" w:name="intended-users"/>
    <w:p>
      <w:pPr>
        <w:pStyle w:val="Heading2"/>
      </w:pPr>
      <w:r>
        <w:t xml:space="preserve">Intended Users</w:t>
      </w:r>
    </w:p>
    <w:p>
      <w:pPr>
        <w:pStyle w:val="FirstParagraph"/>
      </w:pPr>
      <w:r>
        <w:t xml:space="preserve">This resource may be useful for:</w:t>
      </w:r>
    </w:p>
    <w:p>
      <w:pPr>
        <w:pStyle w:val="Compact"/>
        <w:numPr>
          <w:ilvl w:val="0"/>
          <w:numId w:val="1007"/>
        </w:numPr>
      </w:pPr>
      <w:r>
        <w:t xml:space="preserve">Insurance professionals</w:t>
      </w:r>
    </w:p>
    <w:p>
      <w:pPr>
        <w:pStyle w:val="Compact"/>
        <w:numPr>
          <w:ilvl w:val="0"/>
          <w:numId w:val="1007"/>
        </w:numPr>
      </w:pPr>
      <w:r>
        <w:t xml:space="preserve">Claims adjusters</w:t>
      </w:r>
    </w:p>
    <w:p>
      <w:pPr>
        <w:pStyle w:val="Compact"/>
        <w:numPr>
          <w:ilvl w:val="0"/>
          <w:numId w:val="1007"/>
        </w:numPr>
      </w:pPr>
      <w:r>
        <w:t xml:space="preserve">Attorneys</w:t>
      </w:r>
    </w:p>
    <w:p>
      <w:pPr>
        <w:pStyle w:val="Compact"/>
        <w:numPr>
          <w:ilvl w:val="0"/>
          <w:numId w:val="1007"/>
        </w:numPr>
      </w:pPr>
      <w:r>
        <w:t xml:space="preserve">Paralegals</w:t>
      </w:r>
    </w:p>
    <w:p>
      <w:pPr>
        <w:pStyle w:val="Compact"/>
        <w:numPr>
          <w:ilvl w:val="0"/>
          <w:numId w:val="1007"/>
        </w:numPr>
      </w:pPr>
      <w:r>
        <w:t xml:space="preserve">Investigators</w:t>
      </w:r>
    </w:p>
    <w:p>
      <w:pPr>
        <w:pStyle w:val="Compact"/>
        <w:numPr>
          <w:ilvl w:val="0"/>
          <w:numId w:val="1007"/>
        </w:numPr>
      </w:pPr>
      <w:r>
        <w:t xml:space="preserve">Risk managers</w:t>
      </w:r>
    </w:p>
    <w:p>
      <w:pPr>
        <w:pStyle w:val="Compact"/>
        <w:numPr>
          <w:ilvl w:val="0"/>
          <w:numId w:val="1007"/>
        </w:numPr>
      </w:pPr>
      <w:r>
        <w:t xml:space="preserve">Consumers researching state insurance requirements</w:t>
      </w:r>
    </w:p>
    <w:bookmarkEnd w:id="31"/>
    <w:bookmarkStart w:id="32" w:name="project-status"/>
    <w:p>
      <w:pPr>
        <w:pStyle w:val="Heading2"/>
      </w:pPr>
      <w:r>
        <w:t xml:space="preserve">Project Status</w:t>
      </w:r>
    </w:p>
    <w:p>
      <w:pPr>
        <w:pStyle w:val="FirstParagraph"/>
      </w:pPr>
      <w:r>
        <w:t xml:space="preserve">This project is actively maintained and periodically reviewed against official sources.</w:t>
      </w:r>
    </w:p>
    <w:p>
      <w:pPr>
        <w:pStyle w:val="BodyText"/>
      </w:pPr>
      <w:r>
        <w:t xml:space="preserve">Corrections and source updates are welcome.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Created by Noctyrian with assistance from ChatGPT.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2026-06-07T08:33:54Z</dcterms:created>
  <dcterms:modified xsi:type="dcterms:W3CDTF">2026-06-07T08:33:54Z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