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DOC_ID: VAN-0027</w:t>
      </w:r>
    </w:p>
    <w:p>
      <w:r>
        <w:t xml:space="preserve">EVENT_ID: E3</w:t>
      </w:r>
    </w:p>
    <w:p>
      <w:r>
        <w:t xml:space="preserve">TITLE: Trade note: Vanir to Utgard, Rice</w:t>
      </w:r>
    </w:p>
    <w:p>
      <w:r>
        <w:t xml:space="preserve">SOURCE_NAME: Cargo Weekly</w:t>
      </w:r>
    </w:p>
    <w:p>
      <w:r>
        <w:t xml:space="preserve">SOURCE_TYPE: trade_note</w:t>
      </w:r>
    </w:p>
    <w:p>
      <w:r>
        <w:t xml:space="preserve">RELIABILITY: 2</w:t>
      </w:r>
    </w:p>
    <w:p>
      <w:r>
        <w:t xml:space="preserve">PUB_DATE: 2027-04-19</w:t>
      </w:r>
    </w:p>
    <w:p>
      <w:r>
        <w:t xml:space="preserve">PUB_TIME: 09:40</w:t>
      </w:r>
    </w:p>
    <w:p>
      <w:r>
        <w:t xml:space="preserve">COUNTRY: Utgard</w:t>
      </w:r>
    </w:p>
    <w:p>
      <w:r>
        <w:t xml:space="preserve">SECTOR: Rice</w:t>
      </w:r>
    </w:p>
    <w:p>
      <w:r>
        <w:t xml:space="preserve">LANGUAGE: en</w:t>
      </w:r>
    </w:p>
    <w:p>
      <w:r>
        <w:t xml:space="preserve">---</w:t>
      </w:r>
    </w:p>
    <w:p>
      <w:r>
        <w:t xml:space="preserve">Trade note: Vanir to Utgard, Rice</w:t>
      </w:r>
    </w:p>
    <w:p>
      <w:r>
        <w:t xml:space="preserve"/>
      </w:r>
    </w:p>
    <w:p>
      <w:r>
        <w:t xml:space="preserve">[P1] Route: Vanir to Utgard, Rice.</w:t>
      </w:r>
    </w:p>
    <w:p>
      <w:r>
        <w:t xml:space="preserve"/>
      </w:r>
    </w:p>
    <w:p>
      <w:r>
        <w:t xml:space="preserve">[P2] In October 2026, the value was USD 76.7M and the volume was 134,900 tonnes.</w:t>
      </w:r>
    </w:p>
    <w:p>
      <w:r>
        <w:t xml:space="preserve"/>
      </w:r>
    </w:p>
    <w:p>
      <w:r>
        <w:t xml:space="preserve">[P3] In November 2026, the value was USD 76.0M and the volume was 129,000 tonnes.</w:t>
      </w:r>
    </w:p>
    <w:p>
      <w:r>
        <w:t xml:space="preserve"/>
      </w:r>
    </w:p>
    <w:p>
      <w:r>
        <w:t xml:space="preserve">[P4] In December 2026, the value was USD 63.6M and the volume was 107,700 tonnes.</w:t>
      </w:r>
    </w:p>
    <w:p>
      <w:r>
        <w:t xml:space="preserve"/>
      </w:r>
    </w:p>
    <w:p>
      <w:r>
        <w:t xml:space="preserve">[P5] In January 2027, the value was USD 63.2M and the volume was 106,300 tonnes.</w:t>
      </w:r>
    </w:p>
    <w:p>
      <w:r>
        <w:t xml:space="preserve"/>
      </w:r>
    </w:p>
    <w:p>
      <w:r>
        <w:t xml:space="preserve">[P6] In February 2027, the value was USD 63.8M and the volume was 109,700 tonnes.</w:t>
      </w:r>
    </w:p>
    <w:p>
      <w:r>
        <w:t xml:space="preserve"/>
      </w:r>
    </w:p>
    <w:p>
      <w:r>
        <w:t xml:space="preserve">[P7] In March 2027, the value was USD 67.1M and the volume was 112,400 tonnes.</w:t>
      </w:r>
    </w:p>
    <w:p>
      <w:r>
        <w:t xml:space="preserve"/>
      </w:r>
    </w:p>
    <w:p>
      <w:r>
        <w:t xml:space="preserve">[P8] Same months last year.</w:t>
      </w:r>
    </w:p>
    <w:p>
      <w:r>
        <w:t xml:space="preserve"/>
      </w:r>
    </w:p>
    <w:p>
      <w:r>
        <w:t xml:space="preserve">[P9] In October 2025, the value was USD 75.2M and the volume was 134,900 tonnes.</w:t>
      </w:r>
    </w:p>
    <w:p>
      <w:r>
        <w:t xml:space="preserve"/>
      </w:r>
    </w:p>
    <w:p>
      <w:r>
        <w:t xml:space="preserve">[P10] In November 2025, the value was USD 73.8M and the volume was 131,600 tonnes.</w:t>
      </w:r>
    </w:p>
    <w:p>
      <w:r>
        <w:t xml:space="preserve"/>
      </w:r>
    </w:p>
    <w:p>
      <w:r>
        <w:t xml:space="preserve">[P11] In December 2025, the value was USD 66.0M and the volume was 119,600 tonnes.</w:t>
      </w:r>
    </w:p>
    <w:p>
      <w:r>
        <w:t xml:space="preserve"/>
      </w:r>
    </w:p>
    <w:p>
      <w:r>
        <w:t xml:space="preserve">[P12] In January 2026, the value was USD 70.2M and the volume was 127,600 tonnes.</w:t>
      </w:r>
    </w:p>
    <w:p>
      <w:r>
        <w:t xml:space="preserve"/>
      </w:r>
    </w:p>
    <w:p>
      <w:r>
        <w:t xml:space="preserve">[P13] In February 2026, the value was USD 70.9M and the volume was 131,700 tonnes.</w:t>
      </w:r>
    </w:p>
    <w:p>
      <w:r>
        <w:t xml:space="preserve"/>
      </w:r>
    </w:p>
    <w:p>
      <w:r>
        <w:t xml:space="preserve">[P14] In March 2026, the value was USD 74.5M and the volume was 134,900 tonnes.</w:t>
      </w:r>
    </w:p>
    <w:p>
      <w:r>
        <w:t xml:space="preserve"/>
      </w:r>
    </w:p>
    <w:p>
      <w:r>
        <w:t xml:space="preserve">[P15] Most of this route is covered by a government-to-government contract signed before October, so only the uncovered share was affected.</w:t>
      </w:r>
    </w:p>
    <w:p>
      <w:r>
        <w:t xml:space="preserve"/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ourier New" w:hAnsi="Courier New"/>
        <w:sz w:val="20"/>
      </w:rPr>
    </w:rPrDefault>
    <w:pPrDefault>
      <w:pPr>
        <w:spacing w:after="120" w:line="276" w:lineRule="auto"/>
      </w:pPr>
    </w:p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
</file>