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72933" w14:textId="77777777" w:rsidR="00BD7F7A" w:rsidRDefault="00000000">
      <w:pPr>
        <w:pStyle w:val="Heading1"/>
      </w:pPr>
      <w:r>
        <w:t>LLM Acquisition Analysis Worksheet</w:t>
      </w:r>
    </w:p>
    <w:p w14:paraId="64143728" w14:textId="26E50154" w:rsidR="00BD7F7A" w:rsidRDefault="00000000">
      <w:r>
        <w:t>This worksheet is designed to help contracting offices perform an Analysis of Alternatives (AoA) for evaluating LLM-based products. The worksheet is based on initial data captured through strategic prompts, allowing acquisition teams to assess various LLM solutions, their licensing models, cost structures, and added features. Use this template to organize findings, compare options, and make informed contracting decisions.</w:t>
      </w:r>
      <w:r w:rsidR="00307702">
        <w:t xml:space="preserve"> This worksheet is a work in progress but serves as a base 0.1.0 for a blueprint on how to gauge LLM-added value products in the AI space.</w:t>
      </w:r>
    </w:p>
    <w:p w14:paraId="7694EB1F" w14:textId="00729FCE" w:rsidR="00BD7F7A" w:rsidRDefault="00000000">
      <w:pPr>
        <w:pStyle w:val="Heading2"/>
      </w:pPr>
      <w:r>
        <w:t xml:space="preserve">1. </w:t>
      </w:r>
      <w:r w:rsidR="005C27EE">
        <w:t>Base LLM Capture Data</w:t>
      </w:r>
    </w:p>
    <w:p w14:paraId="4A0CEC30" w14:textId="77777777" w:rsidR="00BD7F7A" w:rsidRDefault="00000000">
      <w:r>
        <w:t>Please fill in the information below based on responses received during the initial evaluation:</w:t>
      </w:r>
    </w:p>
    <w:tbl>
      <w:tblPr>
        <w:tblStyle w:val="TableGrid"/>
        <w:tblW w:w="0" w:type="auto"/>
        <w:tblLook w:val="04A0" w:firstRow="1" w:lastRow="0" w:firstColumn="1" w:lastColumn="0" w:noHBand="0" w:noVBand="1"/>
      </w:tblPr>
      <w:tblGrid>
        <w:gridCol w:w="3888"/>
        <w:gridCol w:w="4752"/>
      </w:tblGrid>
      <w:tr w:rsidR="00BD7F7A" w14:paraId="77B13244" w14:textId="77777777" w:rsidTr="005C27EE">
        <w:tc>
          <w:tcPr>
            <w:tcW w:w="3888" w:type="dxa"/>
          </w:tcPr>
          <w:p w14:paraId="6CCDC4E0" w14:textId="0BA62558" w:rsidR="00BD7F7A" w:rsidRDefault="00000000">
            <w:r>
              <w:t>Model Name</w:t>
            </w:r>
            <w:r w:rsidR="005C27EE">
              <w:t xml:space="preserve"> (ex. GPT 4o)</w:t>
            </w:r>
          </w:p>
        </w:tc>
        <w:tc>
          <w:tcPr>
            <w:tcW w:w="4752" w:type="dxa"/>
          </w:tcPr>
          <w:p w14:paraId="2D06C49B" w14:textId="77777777" w:rsidR="00BD7F7A" w:rsidRDefault="00BD7F7A"/>
        </w:tc>
      </w:tr>
      <w:tr w:rsidR="00BD7F7A" w14:paraId="294D98E1" w14:textId="77777777" w:rsidTr="005C27EE">
        <w:tc>
          <w:tcPr>
            <w:tcW w:w="3888" w:type="dxa"/>
          </w:tcPr>
          <w:p w14:paraId="63E2513D" w14:textId="25781ABA" w:rsidR="00BD7F7A" w:rsidRDefault="00000000">
            <w:r>
              <w:t>Vendor</w:t>
            </w:r>
            <w:r w:rsidR="005C27EE">
              <w:t xml:space="preserve"> (ex. OpenAI)</w:t>
            </w:r>
          </w:p>
        </w:tc>
        <w:tc>
          <w:tcPr>
            <w:tcW w:w="4752" w:type="dxa"/>
          </w:tcPr>
          <w:p w14:paraId="7C5378C8" w14:textId="77777777" w:rsidR="00BD7F7A" w:rsidRDefault="00BD7F7A"/>
        </w:tc>
      </w:tr>
      <w:tr w:rsidR="00BD7F7A" w14:paraId="30A34960" w14:textId="77777777" w:rsidTr="005C27EE">
        <w:tc>
          <w:tcPr>
            <w:tcW w:w="3888" w:type="dxa"/>
          </w:tcPr>
          <w:p w14:paraId="20EEABE8" w14:textId="0117F673" w:rsidR="00BD7F7A" w:rsidRDefault="00000000">
            <w:r>
              <w:t>Core Architecture:</w:t>
            </w:r>
            <w:r w:rsidR="005C27EE">
              <w:t xml:space="preserve"> (ex. GPT 4o)</w:t>
            </w:r>
          </w:p>
        </w:tc>
        <w:tc>
          <w:tcPr>
            <w:tcW w:w="4752" w:type="dxa"/>
          </w:tcPr>
          <w:p w14:paraId="7F45B7A6" w14:textId="77777777" w:rsidR="00BD7F7A" w:rsidRDefault="00BD7F7A"/>
        </w:tc>
      </w:tr>
      <w:tr w:rsidR="00BD7F7A" w14:paraId="3D242DF7" w14:textId="77777777" w:rsidTr="005C27EE">
        <w:tc>
          <w:tcPr>
            <w:tcW w:w="3888" w:type="dxa"/>
          </w:tcPr>
          <w:p w14:paraId="0342BB46" w14:textId="1028508F" w:rsidR="00BD7F7A" w:rsidRDefault="005C27EE">
            <w:r>
              <w:t>Token Specification(s):</w:t>
            </w:r>
          </w:p>
        </w:tc>
        <w:tc>
          <w:tcPr>
            <w:tcW w:w="4752" w:type="dxa"/>
          </w:tcPr>
          <w:p w14:paraId="32172647" w14:textId="77777777" w:rsidR="00BD7F7A" w:rsidRDefault="00BD7F7A"/>
        </w:tc>
      </w:tr>
      <w:tr w:rsidR="00BD7F7A" w14:paraId="75E431E6" w14:textId="77777777" w:rsidTr="005C27EE">
        <w:tc>
          <w:tcPr>
            <w:tcW w:w="3888" w:type="dxa"/>
          </w:tcPr>
          <w:p w14:paraId="300421BE" w14:textId="529D2294" w:rsidR="00BD7F7A" w:rsidRDefault="005C27EE">
            <w:r>
              <w:t xml:space="preserve">Token Cost Per Specification: </w:t>
            </w:r>
          </w:p>
        </w:tc>
        <w:tc>
          <w:tcPr>
            <w:tcW w:w="4752" w:type="dxa"/>
          </w:tcPr>
          <w:p w14:paraId="298F34AA" w14:textId="77777777" w:rsidR="00BD7F7A" w:rsidRDefault="00BD7F7A"/>
        </w:tc>
      </w:tr>
    </w:tbl>
    <w:p w14:paraId="0BDDF108" w14:textId="1B9B66B9" w:rsidR="005C27EE" w:rsidRDefault="00000000">
      <w:pPr>
        <w:pStyle w:val="Heading2"/>
      </w:pPr>
      <w:r>
        <w:t>2.</w:t>
      </w:r>
      <w:r w:rsidR="005C27EE">
        <w:t>Vendor LLM Capture Data</w:t>
      </w:r>
      <w:r>
        <w:t xml:space="preserve"> </w:t>
      </w:r>
    </w:p>
    <w:tbl>
      <w:tblPr>
        <w:tblStyle w:val="TableGrid"/>
        <w:tblW w:w="0" w:type="auto"/>
        <w:tblLook w:val="04A0" w:firstRow="1" w:lastRow="0" w:firstColumn="1" w:lastColumn="0" w:noHBand="0" w:noVBand="1"/>
      </w:tblPr>
      <w:tblGrid>
        <w:gridCol w:w="4320"/>
        <w:gridCol w:w="4320"/>
      </w:tblGrid>
      <w:tr w:rsidR="005C27EE" w14:paraId="5D8BA057" w14:textId="77777777" w:rsidTr="006102BE">
        <w:tc>
          <w:tcPr>
            <w:tcW w:w="4320" w:type="dxa"/>
          </w:tcPr>
          <w:p w14:paraId="0C0F8E49" w14:textId="77777777" w:rsidR="005C27EE" w:rsidRDefault="005C27EE" w:rsidP="006102BE">
            <w:r>
              <w:t>Model Name:</w:t>
            </w:r>
          </w:p>
        </w:tc>
        <w:tc>
          <w:tcPr>
            <w:tcW w:w="4320" w:type="dxa"/>
          </w:tcPr>
          <w:p w14:paraId="4BD24AC7" w14:textId="77777777" w:rsidR="005C27EE" w:rsidRDefault="005C27EE" w:rsidP="006102BE"/>
        </w:tc>
      </w:tr>
      <w:tr w:rsidR="005C27EE" w14:paraId="1067B38A" w14:textId="77777777" w:rsidTr="006102BE">
        <w:tc>
          <w:tcPr>
            <w:tcW w:w="4320" w:type="dxa"/>
          </w:tcPr>
          <w:p w14:paraId="50930099" w14:textId="77777777" w:rsidR="005C27EE" w:rsidRDefault="005C27EE" w:rsidP="006102BE">
            <w:r>
              <w:t>Vendor:</w:t>
            </w:r>
          </w:p>
        </w:tc>
        <w:tc>
          <w:tcPr>
            <w:tcW w:w="4320" w:type="dxa"/>
          </w:tcPr>
          <w:p w14:paraId="328AC300" w14:textId="77777777" w:rsidR="005C27EE" w:rsidRDefault="005C27EE" w:rsidP="006102BE"/>
        </w:tc>
      </w:tr>
      <w:tr w:rsidR="005C27EE" w14:paraId="764BEF2C" w14:textId="77777777" w:rsidTr="006102BE">
        <w:tc>
          <w:tcPr>
            <w:tcW w:w="4320" w:type="dxa"/>
          </w:tcPr>
          <w:p w14:paraId="755F751E" w14:textId="77777777" w:rsidR="005C27EE" w:rsidRDefault="005C27EE" w:rsidP="006102BE">
            <w:r>
              <w:t>Core Architecture:</w:t>
            </w:r>
          </w:p>
        </w:tc>
        <w:tc>
          <w:tcPr>
            <w:tcW w:w="4320" w:type="dxa"/>
          </w:tcPr>
          <w:p w14:paraId="6A1D04BE" w14:textId="77777777" w:rsidR="005C27EE" w:rsidRDefault="005C27EE" w:rsidP="006102BE"/>
        </w:tc>
      </w:tr>
      <w:tr w:rsidR="005C27EE" w14:paraId="0B8C5302" w14:textId="77777777" w:rsidTr="006102BE">
        <w:tc>
          <w:tcPr>
            <w:tcW w:w="4320" w:type="dxa"/>
          </w:tcPr>
          <w:p w14:paraId="5A235861" w14:textId="77777777" w:rsidR="005C27EE" w:rsidRDefault="005C27EE" w:rsidP="006102BE">
            <w:r>
              <w:t>Licensing Model (e.g., FFP, CPFF, CPIF, T&amp;M):</w:t>
            </w:r>
          </w:p>
        </w:tc>
        <w:tc>
          <w:tcPr>
            <w:tcW w:w="4320" w:type="dxa"/>
          </w:tcPr>
          <w:p w14:paraId="19026293" w14:textId="77777777" w:rsidR="005C27EE" w:rsidRDefault="005C27EE" w:rsidP="006102BE"/>
        </w:tc>
      </w:tr>
      <w:tr w:rsidR="005C27EE" w14:paraId="6139D6EC" w14:textId="77777777" w:rsidTr="006102BE">
        <w:tc>
          <w:tcPr>
            <w:tcW w:w="4320" w:type="dxa"/>
          </w:tcPr>
          <w:p w14:paraId="215930A5" w14:textId="77777777" w:rsidR="005C27EE" w:rsidRDefault="005C27EE" w:rsidP="006102BE">
            <w:r>
              <w:t>Additional Features Offered:</w:t>
            </w:r>
          </w:p>
        </w:tc>
        <w:tc>
          <w:tcPr>
            <w:tcW w:w="4320" w:type="dxa"/>
          </w:tcPr>
          <w:p w14:paraId="75ABF744" w14:textId="77777777" w:rsidR="005C27EE" w:rsidRDefault="005C27EE" w:rsidP="006102BE"/>
        </w:tc>
      </w:tr>
    </w:tbl>
    <w:p w14:paraId="753BA400" w14:textId="77777777" w:rsidR="005C27EE" w:rsidRPr="005C27EE" w:rsidRDefault="005C27EE" w:rsidP="005C27EE"/>
    <w:p w14:paraId="4E5B4415" w14:textId="48695490" w:rsidR="00BD7F7A" w:rsidRDefault="00000000">
      <w:pPr>
        <w:pStyle w:val="Heading2"/>
      </w:pPr>
      <w:r>
        <w:t>Cost Analysis</w:t>
      </w:r>
    </w:p>
    <w:p w14:paraId="1E4FB977" w14:textId="0613C2FA" w:rsidR="00BD7F7A" w:rsidRDefault="00000000">
      <w:r>
        <w:t>This section allows you to capture and compare the cost structures of various LLM products. Ensure that all relevant costs (e.g., setup, operational, customization) are included to accurately assess total expenses.</w:t>
      </w:r>
      <w:r w:rsidR="005C27EE">
        <w:t xml:space="preserve"> The following table is an </w:t>
      </w:r>
      <w:proofErr w:type="gramStart"/>
      <w:r w:rsidR="005C27EE">
        <w:t>example</w:t>
      </w:r>
      <w:proofErr w:type="gramEnd"/>
      <w:r w:rsidR="005C27EE">
        <w:t xml:space="preserve"> and you must utilize the Vendor’s costs to mirror your need. For example, if the Vendor is a FFP setup fee + per seat cost, you will need to put those costs (and remove unnecessary cost components below).</w:t>
      </w:r>
    </w:p>
    <w:tbl>
      <w:tblPr>
        <w:tblStyle w:val="TableGrid"/>
        <w:tblW w:w="0" w:type="auto"/>
        <w:tblLook w:val="04A0" w:firstRow="1" w:lastRow="0" w:firstColumn="1" w:lastColumn="0" w:noHBand="0" w:noVBand="1"/>
      </w:tblPr>
      <w:tblGrid>
        <w:gridCol w:w="3978"/>
        <w:gridCol w:w="4770"/>
      </w:tblGrid>
      <w:tr w:rsidR="005C27EE" w14:paraId="76BC8D80" w14:textId="77777777" w:rsidTr="00307702">
        <w:tc>
          <w:tcPr>
            <w:tcW w:w="3978" w:type="dxa"/>
            <w:shd w:val="clear" w:color="auto" w:fill="1F497D" w:themeFill="text2"/>
          </w:tcPr>
          <w:p w14:paraId="738AC9EB" w14:textId="77777777" w:rsidR="005C27EE" w:rsidRPr="00307702" w:rsidRDefault="005C27EE">
            <w:pPr>
              <w:rPr>
                <w:color w:val="FFFFFF" w:themeColor="background1"/>
              </w:rPr>
            </w:pPr>
            <w:r w:rsidRPr="00307702">
              <w:rPr>
                <w:b/>
                <w:color w:val="FFFFFF" w:themeColor="background1"/>
              </w:rPr>
              <w:t>Cost Component</w:t>
            </w:r>
          </w:p>
        </w:tc>
        <w:tc>
          <w:tcPr>
            <w:tcW w:w="4770" w:type="dxa"/>
            <w:shd w:val="clear" w:color="auto" w:fill="1F497D" w:themeFill="text2"/>
          </w:tcPr>
          <w:p w14:paraId="2E712559" w14:textId="348AC74E" w:rsidR="005C27EE" w:rsidRPr="00307702" w:rsidRDefault="005C27EE">
            <w:pPr>
              <w:rPr>
                <w:color w:val="FFFFFF" w:themeColor="background1"/>
              </w:rPr>
            </w:pPr>
            <w:r w:rsidRPr="00307702">
              <w:rPr>
                <w:b/>
                <w:color w:val="FFFFFF" w:themeColor="background1"/>
              </w:rPr>
              <w:t>Estimated Cost</w:t>
            </w:r>
          </w:p>
        </w:tc>
      </w:tr>
      <w:tr w:rsidR="005C27EE" w14:paraId="5EF7741D" w14:textId="77777777" w:rsidTr="005C27EE">
        <w:tc>
          <w:tcPr>
            <w:tcW w:w="3978" w:type="dxa"/>
          </w:tcPr>
          <w:p w14:paraId="3A8D6B99" w14:textId="77777777" w:rsidR="005C27EE" w:rsidRDefault="005C27EE">
            <w:r>
              <w:t>Initial Setup</w:t>
            </w:r>
          </w:p>
        </w:tc>
        <w:tc>
          <w:tcPr>
            <w:tcW w:w="4770" w:type="dxa"/>
          </w:tcPr>
          <w:p w14:paraId="5E65AF69" w14:textId="7CE7A2D8" w:rsidR="005C27EE" w:rsidRDefault="00FF0235">
            <w:r>
              <w:t>$10,000</w:t>
            </w:r>
          </w:p>
        </w:tc>
      </w:tr>
      <w:tr w:rsidR="005C27EE" w14:paraId="3A82605D" w14:textId="77777777" w:rsidTr="005C27EE">
        <w:tc>
          <w:tcPr>
            <w:tcW w:w="3978" w:type="dxa"/>
          </w:tcPr>
          <w:p w14:paraId="562E7518" w14:textId="77FF9545" w:rsidR="005C27EE" w:rsidRDefault="00FF0235">
            <w:r>
              <w:t>Seat Cost (Annual)</w:t>
            </w:r>
          </w:p>
        </w:tc>
        <w:tc>
          <w:tcPr>
            <w:tcW w:w="4770" w:type="dxa"/>
          </w:tcPr>
          <w:p w14:paraId="4F4EFD86" w14:textId="33DF9EC9" w:rsidR="005C27EE" w:rsidRDefault="00FF0235">
            <w:r>
              <w:t>$2,500</w:t>
            </w:r>
          </w:p>
        </w:tc>
      </w:tr>
      <w:tr w:rsidR="00FF0235" w14:paraId="73B5CD6A" w14:textId="77777777" w:rsidTr="005C27EE">
        <w:tc>
          <w:tcPr>
            <w:tcW w:w="3978" w:type="dxa"/>
          </w:tcPr>
          <w:p w14:paraId="5B8798E9" w14:textId="3FAC69CB" w:rsidR="00FF0235" w:rsidRDefault="00FF0235">
            <w:r>
              <w:t>Seat Qty</w:t>
            </w:r>
          </w:p>
        </w:tc>
        <w:tc>
          <w:tcPr>
            <w:tcW w:w="4770" w:type="dxa"/>
          </w:tcPr>
          <w:p w14:paraId="7C01FF8D" w14:textId="546361AB" w:rsidR="00FF0235" w:rsidRDefault="00FF0235">
            <w:r>
              <w:t>5</w:t>
            </w:r>
          </w:p>
        </w:tc>
      </w:tr>
      <w:tr w:rsidR="005C27EE" w14:paraId="1A87CE9E" w14:textId="77777777" w:rsidTr="005C27EE">
        <w:tc>
          <w:tcPr>
            <w:tcW w:w="3978" w:type="dxa"/>
          </w:tcPr>
          <w:p w14:paraId="5E22961A" w14:textId="5D5DBD50" w:rsidR="005C27EE" w:rsidRDefault="005C27EE">
            <w:r>
              <w:t xml:space="preserve">Total </w:t>
            </w:r>
            <w:r w:rsidR="00FF0235">
              <w:t>Cost (Initial)</w:t>
            </w:r>
          </w:p>
        </w:tc>
        <w:tc>
          <w:tcPr>
            <w:tcW w:w="4770" w:type="dxa"/>
          </w:tcPr>
          <w:p w14:paraId="6FE54081" w14:textId="626C0FF8" w:rsidR="005C27EE" w:rsidRDefault="00FF0235">
            <w:r>
              <w:t>$22,500</w:t>
            </w:r>
          </w:p>
        </w:tc>
      </w:tr>
      <w:tr w:rsidR="00FF0235" w14:paraId="6C7EBFED" w14:textId="77777777" w:rsidTr="005C27EE">
        <w:tc>
          <w:tcPr>
            <w:tcW w:w="3978" w:type="dxa"/>
          </w:tcPr>
          <w:p w14:paraId="2D9A3406" w14:textId="1FED4805" w:rsidR="00FF0235" w:rsidRDefault="00FF0235">
            <w:r>
              <w:t>Annual Cost (Off Years)</w:t>
            </w:r>
          </w:p>
        </w:tc>
        <w:tc>
          <w:tcPr>
            <w:tcW w:w="4770" w:type="dxa"/>
          </w:tcPr>
          <w:p w14:paraId="0FCAA73E" w14:textId="1B2058DB" w:rsidR="00FF0235" w:rsidRDefault="00FF0235">
            <w:r>
              <w:t>$12,500</w:t>
            </w:r>
          </w:p>
        </w:tc>
      </w:tr>
      <w:tr w:rsidR="00FF0235" w14:paraId="4923AE8F" w14:textId="77777777" w:rsidTr="005C27EE">
        <w:tc>
          <w:tcPr>
            <w:tcW w:w="3978" w:type="dxa"/>
          </w:tcPr>
          <w:p w14:paraId="3F56072C" w14:textId="34CBEADA" w:rsidR="00FF0235" w:rsidRDefault="00FF0235">
            <w:r>
              <w:t xml:space="preserve">Total Years </w:t>
            </w:r>
          </w:p>
        </w:tc>
        <w:tc>
          <w:tcPr>
            <w:tcW w:w="4770" w:type="dxa"/>
          </w:tcPr>
          <w:p w14:paraId="625DF242" w14:textId="00EC38B0" w:rsidR="00FF0235" w:rsidRDefault="00FF0235">
            <w:r>
              <w:t>22,500 + (12,500*4) = $72,500</w:t>
            </w:r>
          </w:p>
        </w:tc>
      </w:tr>
      <w:tr w:rsidR="00FF0235" w14:paraId="7B2A175A" w14:textId="77777777" w:rsidTr="005C27EE">
        <w:tc>
          <w:tcPr>
            <w:tcW w:w="3978" w:type="dxa"/>
          </w:tcPr>
          <w:p w14:paraId="46F96599" w14:textId="1E672202" w:rsidR="00FF0235" w:rsidRDefault="00FF0235">
            <w:r>
              <w:t>Averaged Annual Cost</w:t>
            </w:r>
          </w:p>
        </w:tc>
        <w:tc>
          <w:tcPr>
            <w:tcW w:w="4770" w:type="dxa"/>
          </w:tcPr>
          <w:p w14:paraId="68BB7951" w14:textId="77777777" w:rsidR="00FF0235" w:rsidRDefault="00FF0235"/>
        </w:tc>
      </w:tr>
    </w:tbl>
    <w:p w14:paraId="472707D6" w14:textId="05C5A032" w:rsidR="005C27EE" w:rsidRDefault="005C27EE">
      <w:pPr>
        <w:pStyle w:val="Heading2"/>
      </w:pPr>
      <w:r>
        <w:lastRenderedPageBreak/>
        <w:t>Base LLM Token Estimate</w:t>
      </w:r>
    </w:p>
    <w:p w14:paraId="127898B2" w14:textId="7E1EAC23" w:rsidR="005C27EE" w:rsidRDefault="005C27EE" w:rsidP="001D0181">
      <w:r>
        <w:t>This section requires some additional deep dives on the usage of the system</w:t>
      </w:r>
      <w:r w:rsidR="001D0181">
        <w:t xml:space="preserve"> and will be the biggest thing. Based on whatever the model is, you will need to determine the token cost, average token size, usage of token and other related API call costs. We utilize a “TB-WBS” or Token-Based Work Breakdown structure that will simulate the work efforts of the team members that utilize this product.</w:t>
      </w:r>
    </w:p>
    <w:p w14:paraId="2709C49E" w14:textId="5C67008F" w:rsidR="001D0181" w:rsidRDefault="001D0181" w:rsidP="001D0181">
      <w:r>
        <w:t>The TB-WBS requires a knowledge of the scope to which the product will be used and the objectives that commit the resources to invest in this product.</w:t>
      </w:r>
      <w:r w:rsidR="008E429E">
        <w:t xml:space="preserve"> Below is a simplified version of what you should be accounting for. It may also help to utilize a BoE of all your FTEs and how each position may use it. For example, in our example below, we are pricing the use of a Proposal Assistant. A Proposal Manager, three team members and a Capture Manager may all use the tool differently, so we can also map FTEs to Tasks to create a better cost model. Second, we can also create better cost models by understanding if there is variability in cost based on the need or utilization of a certain model over another (API costs). </w:t>
      </w:r>
    </w:p>
    <w:tbl>
      <w:tblPr>
        <w:tblStyle w:val="TableGrid"/>
        <w:tblW w:w="0" w:type="auto"/>
        <w:tblLook w:val="04A0" w:firstRow="1" w:lastRow="0" w:firstColumn="1" w:lastColumn="0" w:noHBand="0" w:noVBand="1"/>
      </w:tblPr>
      <w:tblGrid>
        <w:gridCol w:w="1351"/>
        <w:gridCol w:w="1165"/>
        <w:gridCol w:w="970"/>
        <w:gridCol w:w="1150"/>
        <w:gridCol w:w="1161"/>
        <w:gridCol w:w="863"/>
        <w:gridCol w:w="1142"/>
        <w:gridCol w:w="1054"/>
      </w:tblGrid>
      <w:tr w:rsidR="002D61CE" w14:paraId="2544CB2F" w14:textId="3B82A23C" w:rsidTr="00307702">
        <w:tc>
          <w:tcPr>
            <w:tcW w:w="1351" w:type="dxa"/>
            <w:shd w:val="clear" w:color="auto" w:fill="1F497D" w:themeFill="text2"/>
            <w:vAlign w:val="center"/>
          </w:tcPr>
          <w:p w14:paraId="62AF07D3" w14:textId="2526641D" w:rsidR="008E429E" w:rsidRPr="00307702" w:rsidRDefault="008E429E" w:rsidP="00307702">
            <w:pPr>
              <w:jc w:val="center"/>
              <w:rPr>
                <w:b/>
                <w:bCs/>
                <w:color w:val="FFFFFF" w:themeColor="background1"/>
              </w:rPr>
            </w:pPr>
            <w:r w:rsidRPr="00307702">
              <w:rPr>
                <w:rFonts w:ascii="Aptos Narrow" w:hAnsi="Aptos Narrow"/>
                <w:b/>
                <w:bCs/>
                <w:color w:val="FFFFFF" w:themeColor="background1"/>
              </w:rPr>
              <w:t>Task</w:t>
            </w:r>
          </w:p>
        </w:tc>
        <w:tc>
          <w:tcPr>
            <w:tcW w:w="1165" w:type="dxa"/>
            <w:shd w:val="clear" w:color="auto" w:fill="1F497D" w:themeFill="text2"/>
            <w:vAlign w:val="center"/>
          </w:tcPr>
          <w:p w14:paraId="6FCC1A7E" w14:textId="1B65F212" w:rsidR="008E429E" w:rsidRPr="00307702" w:rsidRDefault="008E429E" w:rsidP="00307702">
            <w:pPr>
              <w:jc w:val="center"/>
              <w:rPr>
                <w:b/>
                <w:bCs/>
                <w:color w:val="FFFFFF" w:themeColor="background1"/>
              </w:rPr>
            </w:pPr>
            <w:r w:rsidRPr="00307702">
              <w:rPr>
                <w:rFonts w:ascii="Aptos Narrow" w:hAnsi="Aptos Narrow"/>
                <w:b/>
                <w:bCs/>
                <w:color w:val="FFFFFF" w:themeColor="background1"/>
              </w:rPr>
              <w:t>Estimated Tokens per Action</w:t>
            </w:r>
          </w:p>
        </w:tc>
        <w:tc>
          <w:tcPr>
            <w:tcW w:w="970" w:type="dxa"/>
            <w:shd w:val="clear" w:color="auto" w:fill="1F497D" w:themeFill="text2"/>
            <w:vAlign w:val="center"/>
          </w:tcPr>
          <w:p w14:paraId="042142BF" w14:textId="0CCC4326" w:rsidR="008E429E" w:rsidRPr="00307702" w:rsidRDefault="008E429E" w:rsidP="00307702">
            <w:pPr>
              <w:jc w:val="center"/>
              <w:rPr>
                <w:b/>
                <w:bCs/>
                <w:color w:val="FFFFFF" w:themeColor="background1"/>
              </w:rPr>
            </w:pPr>
            <w:r w:rsidRPr="00307702">
              <w:rPr>
                <w:rFonts w:ascii="Aptos Narrow" w:hAnsi="Aptos Narrow"/>
                <w:b/>
                <w:bCs/>
                <w:color w:val="FFFFFF" w:themeColor="background1"/>
              </w:rPr>
              <w:t>Average Actions per Day</w:t>
            </w:r>
          </w:p>
        </w:tc>
        <w:tc>
          <w:tcPr>
            <w:tcW w:w="1150" w:type="dxa"/>
            <w:shd w:val="clear" w:color="auto" w:fill="1F497D" w:themeFill="text2"/>
            <w:vAlign w:val="center"/>
          </w:tcPr>
          <w:p w14:paraId="6E3C1F72" w14:textId="00967F1C" w:rsidR="008E429E" w:rsidRPr="00307702" w:rsidRDefault="008E429E" w:rsidP="00307702">
            <w:pPr>
              <w:jc w:val="center"/>
              <w:rPr>
                <w:rStyle w:val="Strong"/>
                <w:b w:val="0"/>
                <w:bCs w:val="0"/>
                <w:color w:val="FFFFFF" w:themeColor="background1"/>
              </w:rPr>
            </w:pPr>
            <w:r w:rsidRPr="00307702">
              <w:rPr>
                <w:rFonts w:ascii="Aptos Narrow" w:hAnsi="Aptos Narrow"/>
                <w:b/>
                <w:bCs/>
                <w:color w:val="FFFFFF" w:themeColor="background1"/>
              </w:rPr>
              <w:t>FTE Utilization</w:t>
            </w:r>
          </w:p>
        </w:tc>
        <w:tc>
          <w:tcPr>
            <w:tcW w:w="1161" w:type="dxa"/>
            <w:shd w:val="clear" w:color="auto" w:fill="1F497D" w:themeFill="text2"/>
            <w:vAlign w:val="center"/>
          </w:tcPr>
          <w:p w14:paraId="651C4241" w14:textId="4710C482" w:rsidR="008E429E" w:rsidRPr="00307702" w:rsidRDefault="008E429E" w:rsidP="00307702">
            <w:pPr>
              <w:jc w:val="center"/>
              <w:rPr>
                <w:rStyle w:val="Strong"/>
                <w:b w:val="0"/>
                <w:bCs w:val="0"/>
                <w:color w:val="FFFFFF" w:themeColor="background1"/>
              </w:rPr>
            </w:pPr>
            <w:r w:rsidRPr="00307702">
              <w:rPr>
                <w:rFonts w:ascii="Aptos Narrow" w:hAnsi="Aptos Narrow"/>
                <w:b/>
                <w:bCs/>
                <w:color w:val="FFFFFF" w:themeColor="background1"/>
              </w:rPr>
              <w:t>Work Rate Variability</w:t>
            </w:r>
          </w:p>
        </w:tc>
        <w:tc>
          <w:tcPr>
            <w:tcW w:w="863" w:type="dxa"/>
            <w:shd w:val="clear" w:color="auto" w:fill="1F497D" w:themeFill="text2"/>
            <w:vAlign w:val="center"/>
          </w:tcPr>
          <w:p w14:paraId="64799574" w14:textId="2DE954B0" w:rsidR="008E429E" w:rsidRPr="00307702" w:rsidRDefault="008E429E" w:rsidP="00307702">
            <w:pPr>
              <w:jc w:val="center"/>
              <w:rPr>
                <w:rStyle w:val="Strong"/>
                <w:b w:val="0"/>
                <w:bCs w:val="0"/>
                <w:color w:val="FFFFFF" w:themeColor="background1"/>
              </w:rPr>
            </w:pPr>
            <w:r w:rsidRPr="00307702">
              <w:rPr>
                <w:rFonts w:ascii="Aptos Narrow" w:hAnsi="Aptos Narrow"/>
                <w:b/>
                <w:bCs/>
                <w:color w:val="FFFFFF" w:themeColor="background1"/>
              </w:rPr>
              <w:t>Cost per 1M Tokens</w:t>
            </w:r>
          </w:p>
        </w:tc>
        <w:tc>
          <w:tcPr>
            <w:tcW w:w="1142" w:type="dxa"/>
            <w:shd w:val="clear" w:color="auto" w:fill="1F497D" w:themeFill="text2"/>
            <w:vAlign w:val="center"/>
          </w:tcPr>
          <w:p w14:paraId="4FBEB2B4" w14:textId="46118D39" w:rsidR="008E429E" w:rsidRPr="00307702" w:rsidRDefault="008E429E" w:rsidP="00307702">
            <w:pPr>
              <w:jc w:val="center"/>
              <w:rPr>
                <w:rStyle w:val="Strong"/>
                <w:b w:val="0"/>
                <w:bCs w:val="0"/>
                <w:color w:val="FFFFFF" w:themeColor="background1"/>
              </w:rPr>
            </w:pPr>
            <w:r w:rsidRPr="00307702">
              <w:rPr>
                <w:rFonts w:ascii="Aptos Narrow" w:hAnsi="Aptos Narrow"/>
                <w:b/>
                <w:bCs/>
                <w:color w:val="FFFFFF" w:themeColor="background1"/>
              </w:rPr>
              <w:t>Estimated Tokens per Action (M)</w:t>
            </w:r>
          </w:p>
        </w:tc>
        <w:tc>
          <w:tcPr>
            <w:tcW w:w="1054" w:type="dxa"/>
            <w:shd w:val="clear" w:color="auto" w:fill="1F497D" w:themeFill="text2"/>
            <w:vAlign w:val="center"/>
          </w:tcPr>
          <w:p w14:paraId="1D96B2FD" w14:textId="4BCAC815" w:rsidR="008E429E" w:rsidRPr="00307702" w:rsidRDefault="008E429E" w:rsidP="00307702">
            <w:pPr>
              <w:jc w:val="center"/>
              <w:rPr>
                <w:rStyle w:val="Strong"/>
                <w:b w:val="0"/>
                <w:bCs w:val="0"/>
                <w:color w:val="FFFFFF" w:themeColor="background1"/>
              </w:rPr>
            </w:pPr>
            <w:r w:rsidRPr="00307702">
              <w:rPr>
                <w:rFonts w:ascii="Aptos Narrow" w:hAnsi="Aptos Narrow"/>
                <w:b/>
                <w:bCs/>
                <w:color w:val="FFFFFF" w:themeColor="background1"/>
              </w:rPr>
              <w:t>Daily Token Cost</w:t>
            </w:r>
          </w:p>
        </w:tc>
      </w:tr>
      <w:tr w:rsidR="00FF0235" w14:paraId="0B959AC2" w14:textId="395D498F" w:rsidTr="002D61CE">
        <w:tc>
          <w:tcPr>
            <w:tcW w:w="1351" w:type="dxa"/>
            <w:vAlign w:val="bottom"/>
          </w:tcPr>
          <w:p w14:paraId="5B338ABC" w14:textId="3E99446C" w:rsidR="00FF0235" w:rsidRDefault="00FF0235" w:rsidP="00FF0235">
            <w:r>
              <w:rPr>
                <w:rFonts w:ascii="Aptos Narrow" w:hAnsi="Aptos Narrow"/>
                <w:color w:val="000000"/>
              </w:rPr>
              <w:t>Draft Creation</w:t>
            </w:r>
          </w:p>
        </w:tc>
        <w:tc>
          <w:tcPr>
            <w:tcW w:w="1165" w:type="dxa"/>
            <w:vAlign w:val="bottom"/>
          </w:tcPr>
          <w:p w14:paraId="635E4522" w14:textId="1364D8C5" w:rsidR="00FF0235" w:rsidRDefault="00FF0235" w:rsidP="00FF0235">
            <w:r>
              <w:rPr>
                <w:rFonts w:ascii="Aptos Narrow" w:hAnsi="Aptos Narrow"/>
                <w:color w:val="000000"/>
              </w:rPr>
              <w:t>48000</w:t>
            </w:r>
          </w:p>
        </w:tc>
        <w:tc>
          <w:tcPr>
            <w:tcW w:w="970" w:type="dxa"/>
            <w:vAlign w:val="bottom"/>
          </w:tcPr>
          <w:p w14:paraId="328F0657" w14:textId="13080A1A" w:rsidR="00FF0235" w:rsidRDefault="00FF0235" w:rsidP="00FF0235">
            <w:r>
              <w:rPr>
                <w:rFonts w:ascii="Aptos Narrow" w:hAnsi="Aptos Narrow"/>
                <w:color w:val="000000"/>
              </w:rPr>
              <w:t>0.3</w:t>
            </w:r>
          </w:p>
        </w:tc>
        <w:tc>
          <w:tcPr>
            <w:tcW w:w="1150" w:type="dxa"/>
            <w:vAlign w:val="bottom"/>
          </w:tcPr>
          <w:p w14:paraId="7D97F385" w14:textId="4059204D" w:rsidR="00FF0235" w:rsidRDefault="00FF0235" w:rsidP="00FF0235">
            <w:pPr>
              <w:jc w:val="center"/>
            </w:pPr>
            <w:r>
              <w:rPr>
                <w:rFonts w:ascii="Aptos Narrow" w:hAnsi="Aptos Narrow"/>
                <w:color w:val="000000"/>
              </w:rPr>
              <w:t>1</w:t>
            </w:r>
          </w:p>
        </w:tc>
        <w:tc>
          <w:tcPr>
            <w:tcW w:w="1161" w:type="dxa"/>
            <w:vAlign w:val="bottom"/>
          </w:tcPr>
          <w:p w14:paraId="46FED5B4" w14:textId="4162F61E" w:rsidR="00FF0235" w:rsidRDefault="00FF0235" w:rsidP="00FF0235">
            <w:pPr>
              <w:jc w:val="center"/>
            </w:pPr>
            <w:r>
              <w:rPr>
                <w:rFonts w:ascii="Aptos Narrow" w:hAnsi="Aptos Narrow"/>
                <w:color w:val="000000"/>
              </w:rPr>
              <w:t>1</w:t>
            </w:r>
          </w:p>
        </w:tc>
        <w:tc>
          <w:tcPr>
            <w:tcW w:w="863" w:type="dxa"/>
            <w:vAlign w:val="bottom"/>
          </w:tcPr>
          <w:p w14:paraId="4455701F" w14:textId="749AB989" w:rsidR="00FF0235" w:rsidRDefault="00FF0235" w:rsidP="00FF0235">
            <w:r>
              <w:rPr>
                <w:rFonts w:ascii="Aptos Narrow" w:hAnsi="Aptos Narrow"/>
                <w:color w:val="000000"/>
              </w:rPr>
              <w:t>2.5</w:t>
            </w:r>
          </w:p>
        </w:tc>
        <w:tc>
          <w:tcPr>
            <w:tcW w:w="1142" w:type="dxa"/>
            <w:vAlign w:val="bottom"/>
          </w:tcPr>
          <w:p w14:paraId="178720A6" w14:textId="3DA8C328" w:rsidR="00FF0235" w:rsidRDefault="00FF0235" w:rsidP="00FF0235">
            <w:r>
              <w:rPr>
                <w:rFonts w:ascii="Aptos Narrow" w:hAnsi="Aptos Narrow"/>
                <w:color w:val="000000"/>
              </w:rPr>
              <w:t>0.048</w:t>
            </w:r>
          </w:p>
        </w:tc>
        <w:tc>
          <w:tcPr>
            <w:tcW w:w="1054" w:type="dxa"/>
            <w:vAlign w:val="bottom"/>
          </w:tcPr>
          <w:p w14:paraId="4ADBCEE3" w14:textId="3908FD61" w:rsidR="00FF0235" w:rsidRDefault="00FF0235" w:rsidP="00FF0235">
            <w:r>
              <w:rPr>
                <w:rFonts w:ascii="Aptos Narrow" w:hAnsi="Aptos Narrow"/>
                <w:color w:val="000000"/>
              </w:rPr>
              <w:t>0.036</w:t>
            </w:r>
          </w:p>
        </w:tc>
      </w:tr>
      <w:tr w:rsidR="00FF0235" w14:paraId="63B9EE32" w14:textId="6D9CAF6E" w:rsidTr="002D61CE">
        <w:tc>
          <w:tcPr>
            <w:tcW w:w="1351" w:type="dxa"/>
            <w:vAlign w:val="bottom"/>
          </w:tcPr>
          <w:p w14:paraId="055EBC14" w14:textId="150F98D8" w:rsidR="00FF0235" w:rsidRDefault="00FF0235" w:rsidP="00FF0235">
            <w:r>
              <w:rPr>
                <w:rFonts w:ascii="Aptos Narrow" w:hAnsi="Aptos Narrow"/>
                <w:color w:val="000000"/>
              </w:rPr>
              <w:t>Content Review &amp; Edit</w:t>
            </w:r>
          </w:p>
        </w:tc>
        <w:tc>
          <w:tcPr>
            <w:tcW w:w="1165" w:type="dxa"/>
            <w:vAlign w:val="bottom"/>
          </w:tcPr>
          <w:p w14:paraId="1E61F634" w14:textId="2F229441" w:rsidR="00FF0235" w:rsidRDefault="00FF0235" w:rsidP="00FF0235">
            <w:r>
              <w:rPr>
                <w:rFonts w:ascii="Aptos Narrow" w:hAnsi="Aptos Narrow"/>
                <w:color w:val="000000"/>
              </w:rPr>
              <w:t>1200</w:t>
            </w:r>
          </w:p>
        </w:tc>
        <w:tc>
          <w:tcPr>
            <w:tcW w:w="970" w:type="dxa"/>
            <w:vAlign w:val="bottom"/>
          </w:tcPr>
          <w:p w14:paraId="2F2EDF71" w14:textId="401C1A5A" w:rsidR="00FF0235" w:rsidRDefault="00FF0235" w:rsidP="00FF0235">
            <w:r>
              <w:rPr>
                <w:rFonts w:ascii="Aptos Narrow" w:hAnsi="Aptos Narrow"/>
                <w:color w:val="000000"/>
              </w:rPr>
              <w:t>3</w:t>
            </w:r>
          </w:p>
        </w:tc>
        <w:tc>
          <w:tcPr>
            <w:tcW w:w="1150" w:type="dxa"/>
            <w:vAlign w:val="bottom"/>
          </w:tcPr>
          <w:p w14:paraId="720E9667" w14:textId="55129FF6" w:rsidR="00FF0235" w:rsidRDefault="00FF0235" w:rsidP="00FF0235">
            <w:pPr>
              <w:jc w:val="center"/>
            </w:pPr>
            <w:r>
              <w:rPr>
                <w:rFonts w:ascii="Aptos Narrow" w:hAnsi="Aptos Narrow"/>
                <w:color w:val="000000"/>
              </w:rPr>
              <w:t>4</w:t>
            </w:r>
          </w:p>
        </w:tc>
        <w:tc>
          <w:tcPr>
            <w:tcW w:w="1161" w:type="dxa"/>
            <w:vAlign w:val="bottom"/>
          </w:tcPr>
          <w:p w14:paraId="474314D5" w14:textId="0B443E6D" w:rsidR="00FF0235" w:rsidRDefault="00FF0235" w:rsidP="00FF0235">
            <w:pPr>
              <w:jc w:val="center"/>
            </w:pPr>
            <w:r>
              <w:rPr>
                <w:rFonts w:ascii="Aptos Narrow" w:hAnsi="Aptos Narrow"/>
                <w:color w:val="000000"/>
              </w:rPr>
              <w:t>0.6</w:t>
            </w:r>
          </w:p>
        </w:tc>
        <w:tc>
          <w:tcPr>
            <w:tcW w:w="863" w:type="dxa"/>
            <w:vAlign w:val="bottom"/>
          </w:tcPr>
          <w:p w14:paraId="54752555" w14:textId="420189EB" w:rsidR="00FF0235" w:rsidRDefault="00FF0235" w:rsidP="00FF0235">
            <w:r>
              <w:rPr>
                <w:rFonts w:ascii="Aptos Narrow" w:hAnsi="Aptos Narrow"/>
                <w:color w:val="000000"/>
              </w:rPr>
              <w:t>2.5</w:t>
            </w:r>
          </w:p>
        </w:tc>
        <w:tc>
          <w:tcPr>
            <w:tcW w:w="1142" w:type="dxa"/>
            <w:vAlign w:val="bottom"/>
          </w:tcPr>
          <w:p w14:paraId="2A271121" w14:textId="48767DCB" w:rsidR="00FF0235" w:rsidRDefault="00FF0235" w:rsidP="00FF0235">
            <w:r>
              <w:rPr>
                <w:rFonts w:ascii="Aptos Narrow" w:hAnsi="Aptos Narrow"/>
                <w:color w:val="000000"/>
              </w:rPr>
              <w:t>0.0012</w:t>
            </w:r>
          </w:p>
        </w:tc>
        <w:tc>
          <w:tcPr>
            <w:tcW w:w="1054" w:type="dxa"/>
            <w:vAlign w:val="bottom"/>
          </w:tcPr>
          <w:p w14:paraId="2F030E6A" w14:textId="06931761" w:rsidR="00FF0235" w:rsidRDefault="00FF0235" w:rsidP="00FF0235">
            <w:r>
              <w:rPr>
                <w:rFonts w:ascii="Aptos Narrow" w:hAnsi="Aptos Narrow"/>
                <w:color w:val="000000"/>
              </w:rPr>
              <w:t>0.0216</w:t>
            </w:r>
          </w:p>
        </w:tc>
      </w:tr>
      <w:tr w:rsidR="00FF0235" w14:paraId="714BF4F6" w14:textId="234CD14D" w:rsidTr="002D61CE">
        <w:tc>
          <w:tcPr>
            <w:tcW w:w="1351" w:type="dxa"/>
            <w:vAlign w:val="bottom"/>
          </w:tcPr>
          <w:p w14:paraId="6EF3D1BF" w14:textId="2CACEF02" w:rsidR="00FF0235" w:rsidRDefault="00FF0235" w:rsidP="00FF0235">
            <w:r>
              <w:rPr>
                <w:rFonts w:ascii="Aptos Narrow" w:hAnsi="Aptos Narrow"/>
                <w:color w:val="000000"/>
              </w:rPr>
              <w:t>Real-Time Query Response</w:t>
            </w:r>
          </w:p>
        </w:tc>
        <w:tc>
          <w:tcPr>
            <w:tcW w:w="1165" w:type="dxa"/>
            <w:vAlign w:val="bottom"/>
          </w:tcPr>
          <w:p w14:paraId="1AC28792" w14:textId="67287346" w:rsidR="00FF0235" w:rsidRDefault="00FF0235" w:rsidP="00FF0235">
            <w:r>
              <w:rPr>
                <w:rFonts w:ascii="Aptos Narrow" w:hAnsi="Aptos Narrow"/>
                <w:color w:val="000000"/>
              </w:rPr>
              <w:t>50</w:t>
            </w:r>
          </w:p>
        </w:tc>
        <w:tc>
          <w:tcPr>
            <w:tcW w:w="970" w:type="dxa"/>
            <w:vAlign w:val="bottom"/>
          </w:tcPr>
          <w:p w14:paraId="33D7B731" w14:textId="1618E138" w:rsidR="00FF0235" w:rsidRDefault="00FF0235" w:rsidP="00FF0235">
            <w:r>
              <w:rPr>
                <w:rFonts w:ascii="Aptos Narrow" w:hAnsi="Aptos Narrow"/>
                <w:color w:val="000000"/>
              </w:rPr>
              <w:t>55</w:t>
            </w:r>
          </w:p>
        </w:tc>
        <w:tc>
          <w:tcPr>
            <w:tcW w:w="1150" w:type="dxa"/>
            <w:vAlign w:val="bottom"/>
          </w:tcPr>
          <w:p w14:paraId="65E603F5" w14:textId="2AE80253" w:rsidR="00FF0235" w:rsidRDefault="00FF0235" w:rsidP="00FF0235">
            <w:pPr>
              <w:jc w:val="center"/>
            </w:pPr>
            <w:r>
              <w:rPr>
                <w:rFonts w:ascii="Aptos Narrow" w:hAnsi="Aptos Narrow"/>
                <w:color w:val="000000"/>
              </w:rPr>
              <w:t>4</w:t>
            </w:r>
          </w:p>
        </w:tc>
        <w:tc>
          <w:tcPr>
            <w:tcW w:w="1161" w:type="dxa"/>
            <w:vAlign w:val="bottom"/>
          </w:tcPr>
          <w:p w14:paraId="0F134600" w14:textId="27F3A5F4" w:rsidR="00FF0235" w:rsidRDefault="00FF0235" w:rsidP="00FF0235">
            <w:pPr>
              <w:jc w:val="center"/>
            </w:pPr>
            <w:r>
              <w:rPr>
                <w:rFonts w:ascii="Aptos Narrow" w:hAnsi="Aptos Narrow"/>
                <w:color w:val="000000"/>
              </w:rPr>
              <w:t>1</w:t>
            </w:r>
          </w:p>
        </w:tc>
        <w:tc>
          <w:tcPr>
            <w:tcW w:w="863" w:type="dxa"/>
            <w:vAlign w:val="bottom"/>
          </w:tcPr>
          <w:p w14:paraId="27170E9D" w14:textId="284EB900" w:rsidR="00FF0235" w:rsidRDefault="00FF0235" w:rsidP="00FF0235">
            <w:r>
              <w:rPr>
                <w:rFonts w:ascii="Aptos Narrow" w:hAnsi="Aptos Narrow"/>
                <w:color w:val="000000"/>
              </w:rPr>
              <w:t>2.5</w:t>
            </w:r>
          </w:p>
        </w:tc>
        <w:tc>
          <w:tcPr>
            <w:tcW w:w="1142" w:type="dxa"/>
            <w:vAlign w:val="bottom"/>
          </w:tcPr>
          <w:p w14:paraId="2FA080FF" w14:textId="20053BB7" w:rsidR="00FF0235" w:rsidRDefault="00FF0235" w:rsidP="00FF0235">
            <w:r>
              <w:rPr>
                <w:rFonts w:ascii="Aptos Narrow" w:hAnsi="Aptos Narrow"/>
                <w:color w:val="000000"/>
              </w:rPr>
              <w:t>5.00E-05</w:t>
            </w:r>
          </w:p>
        </w:tc>
        <w:tc>
          <w:tcPr>
            <w:tcW w:w="1054" w:type="dxa"/>
            <w:vAlign w:val="bottom"/>
          </w:tcPr>
          <w:p w14:paraId="550633D0" w14:textId="742891BE" w:rsidR="00FF0235" w:rsidRDefault="00FF0235" w:rsidP="00FF0235">
            <w:r>
              <w:rPr>
                <w:rFonts w:ascii="Aptos Narrow" w:hAnsi="Aptos Narrow"/>
                <w:color w:val="000000"/>
              </w:rPr>
              <w:t>0.0275</w:t>
            </w:r>
          </w:p>
        </w:tc>
      </w:tr>
      <w:tr w:rsidR="00FF0235" w14:paraId="3C209A95" w14:textId="69FE9F48" w:rsidTr="002D61CE">
        <w:tc>
          <w:tcPr>
            <w:tcW w:w="1351" w:type="dxa"/>
            <w:vAlign w:val="bottom"/>
          </w:tcPr>
          <w:p w14:paraId="0A017955" w14:textId="2B8AF95D" w:rsidR="00FF0235" w:rsidRDefault="00FF0235" w:rsidP="00FF0235">
            <w:r>
              <w:rPr>
                <w:rFonts w:ascii="Aptos Narrow" w:hAnsi="Aptos Narrow"/>
                <w:color w:val="000000"/>
              </w:rPr>
              <w:t>Summary Generation</w:t>
            </w:r>
          </w:p>
        </w:tc>
        <w:tc>
          <w:tcPr>
            <w:tcW w:w="1165" w:type="dxa"/>
            <w:vAlign w:val="bottom"/>
          </w:tcPr>
          <w:p w14:paraId="75985E02" w14:textId="72ADC2BC" w:rsidR="00FF0235" w:rsidRDefault="00FF0235" w:rsidP="00FF0235">
            <w:r>
              <w:rPr>
                <w:rFonts w:ascii="Aptos Narrow" w:hAnsi="Aptos Narrow"/>
                <w:color w:val="000000"/>
              </w:rPr>
              <w:t>2500</w:t>
            </w:r>
          </w:p>
        </w:tc>
        <w:tc>
          <w:tcPr>
            <w:tcW w:w="970" w:type="dxa"/>
            <w:vAlign w:val="bottom"/>
          </w:tcPr>
          <w:p w14:paraId="715B7267" w14:textId="242AC65C" w:rsidR="00FF0235" w:rsidRDefault="00FF0235" w:rsidP="00FF0235">
            <w:r>
              <w:rPr>
                <w:rFonts w:ascii="Aptos Narrow" w:hAnsi="Aptos Narrow"/>
                <w:color w:val="000000"/>
              </w:rPr>
              <w:t>1</w:t>
            </w:r>
          </w:p>
        </w:tc>
        <w:tc>
          <w:tcPr>
            <w:tcW w:w="1150" w:type="dxa"/>
            <w:vAlign w:val="bottom"/>
          </w:tcPr>
          <w:p w14:paraId="68A560E3" w14:textId="1669E630" w:rsidR="00FF0235" w:rsidRDefault="00FF0235" w:rsidP="00FF0235">
            <w:pPr>
              <w:jc w:val="center"/>
            </w:pPr>
            <w:r>
              <w:rPr>
                <w:rFonts w:ascii="Aptos Narrow" w:hAnsi="Aptos Narrow"/>
                <w:color w:val="000000"/>
              </w:rPr>
              <w:t>2</w:t>
            </w:r>
          </w:p>
        </w:tc>
        <w:tc>
          <w:tcPr>
            <w:tcW w:w="1161" w:type="dxa"/>
            <w:vAlign w:val="bottom"/>
          </w:tcPr>
          <w:p w14:paraId="2835F6E8" w14:textId="460D3A00" w:rsidR="00FF0235" w:rsidRDefault="00FF0235" w:rsidP="00FF0235">
            <w:pPr>
              <w:jc w:val="center"/>
            </w:pPr>
            <w:r>
              <w:rPr>
                <w:rFonts w:ascii="Aptos Narrow" w:hAnsi="Aptos Narrow"/>
                <w:color w:val="000000"/>
              </w:rPr>
              <w:t>1</w:t>
            </w:r>
          </w:p>
        </w:tc>
        <w:tc>
          <w:tcPr>
            <w:tcW w:w="863" w:type="dxa"/>
            <w:vAlign w:val="bottom"/>
          </w:tcPr>
          <w:p w14:paraId="01B1539E" w14:textId="6192E528" w:rsidR="00FF0235" w:rsidRDefault="00FF0235" w:rsidP="00FF0235">
            <w:r>
              <w:rPr>
                <w:rFonts w:ascii="Aptos Narrow" w:hAnsi="Aptos Narrow"/>
                <w:color w:val="000000"/>
              </w:rPr>
              <w:t>2.5</w:t>
            </w:r>
          </w:p>
        </w:tc>
        <w:tc>
          <w:tcPr>
            <w:tcW w:w="1142" w:type="dxa"/>
            <w:vAlign w:val="bottom"/>
          </w:tcPr>
          <w:p w14:paraId="7345D8DD" w14:textId="274D947B" w:rsidR="00FF0235" w:rsidRDefault="00FF0235" w:rsidP="00FF0235">
            <w:r>
              <w:rPr>
                <w:rFonts w:ascii="Aptos Narrow" w:hAnsi="Aptos Narrow"/>
                <w:color w:val="000000"/>
              </w:rPr>
              <w:t>0.0025</w:t>
            </w:r>
          </w:p>
        </w:tc>
        <w:tc>
          <w:tcPr>
            <w:tcW w:w="1054" w:type="dxa"/>
            <w:vAlign w:val="bottom"/>
          </w:tcPr>
          <w:p w14:paraId="68317C7F" w14:textId="22F7806E" w:rsidR="00FF0235" w:rsidRDefault="00FF0235" w:rsidP="00FF0235">
            <w:r>
              <w:rPr>
                <w:rFonts w:ascii="Aptos Narrow" w:hAnsi="Aptos Narrow"/>
                <w:color w:val="000000"/>
              </w:rPr>
              <w:t>0.0125</w:t>
            </w:r>
          </w:p>
        </w:tc>
      </w:tr>
      <w:tr w:rsidR="00FF0235" w14:paraId="2EE09560" w14:textId="4D821131" w:rsidTr="002D61CE">
        <w:trPr>
          <w:trHeight w:val="70"/>
        </w:trPr>
        <w:tc>
          <w:tcPr>
            <w:tcW w:w="1351" w:type="dxa"/>
            <w:vAlign w:val="bottom"/>
          </w:tcPr>
          <w:p w14:paraId="49D718B3" w14:textId="297BB217" w:rsidR="00FF0235" w:rsidRDefault="00FF0235" w:rsidP="00FF0235">
            <w:r>
              <w:rPr>
                <w:rFonts w:ascii="Aptos Narrow" w:hAnsi="Aptos Narrow"/>
                <w:color w:val="000000"/>
              </w:rPr>
              <w:t>Formatting Adjustments</w:t>
            </w:r>
          </w:p>
        </w:tc>
        <w:tc>
          <w:tcPr>
            <w:tcW w:w="1165" w:type="dxa"/>
            <w:vAlign w:val="bottom"/>
          </w:tcPr>
          <w:p w14:paraId="5BDB6B4F" w14:textId="7AAFC8E3" w:rsidR="00FF0235" w:rsidRDefault="00FF0235" w:rsidP="00FF0235">
            <w:r>
              <w:rPr>
                <w:rFonts w:ascii="Aptos Narrow" w:hAnsi="Aptos Narrow"/>
                <w:color w:val="000000"/>
              </w:rPr>
              <w:t>10</w:t>
            </w:r>
          </w:p>
        </w:tc>
        <w:tc>
          <w:tcPr>
            <w:tcW w:w="970" w:type="dxa"/>
            <w:vAlign w:val="bottom"/>
          </w:tcPr>
          <w:p w14:paraId="0BB09F34" w14:textId="46BE820B" w:rsidR="00FF0235" w:rsidRDefault="00FF0235" w:rsidP="00FF0235">
            <w:r>
              <w:rPr>
                <w:rFonts w:ascii="Aptos Narrow" w:hAnsi="Aptos Narrow"/>
                <w:color w:val="000000"/>
              </w:rPr>
              <w:t>20</w:t>
            </w:r>
          </w:p>
        </w:tc>
        <w:tc>
          <w:tcPr>
            <w:tcW w:w="1150" w:type="dxa"/>
            <w:vAlign w:val="bottom"/>
          </w:tcPr>
          <w:p w14:paraId="52D6DBFB" w14:textId="456EBD33" w:rsidR="00FF0235" w:rsidRDefault="00FF0235" w:rsidP="00FF0235">
            <w:pPr>
              <w:jc w:val="center"/>
            </w:pPr>
            <w:r>
              <w:rPr>
                <w:rFonts w:ascii="Aptos Narrow" w:hAnsi="Aptos Narrow"/>
                <w:color w:val="000000"/>
              </w:rPr>
              <w:t>1</w:t>
            </w:r>
          </w:p>
        </w:tc>
        <w:tc>
          <w:tcPr>
            <w:tcW w:w="1161" w:type="dxa"/>
            <w:vAlign w:val="bottom"/>
          </w:tcPr>
          <w:p w14:paraId="4F2ED2D7" w14:textId="44857547" w:rsidR="00FF0235" w:rsidRDefault="00FF0235" w:rsidP="00FF0235">
            <w:pPr>
              <w:jc w:val="center"/>
            </w:pPr>
            <w:r>
              <w:rPr>
                <w:rFonts w:ascii="Aptos Narrow" w:hAnsi="Aptos Narrow"/>
                <w:color w:val="000000"/>
              </w:rPr>
              <w:t>1</w:t>
            </w:r>
          </w:p>
        </w:tc>
        <w:tc>
          <w:tcPr>
            <w:tcW w:w="863" w:type="dxa"/>
            <w:vAlign w:val="bottom"/>
          </w:tcPr>
          <w:p w14:paraId="09180EB3" w14:textId="0E907C96" w:rsidR="00FF0235" w:rsidRDefault="00FF0235" w:rsidP="00FF0235">
            <w:r>
              <w:rPr>
                <w:rFonts w:ascii="Aptos Narrow" w:hAnsi="Aptos Narrow"/>
                <w:color w:val="000000"/>
              </w:rPr>
              <w:t>2.5</w:t>
            </w:r>
          </w:p>
        </w:tc>
        <w:tc>
          <w:tcPr>
            <w:tcW w:w="1142" w:type="dxa"/>
            <w:vAlign w:val="bottom"/>
          </w:tcPr>
          <w:p w14:paraId="09DA56D1" w14:textId="50CF77CE" w:rsidR="00FF0235" w:rsidRDefault="00FF0235" w:rsidP="00FF0235">
            <w:r>
              <w:rPr>
                <w:rFonts w:ascii="Aptos Narrow" w:hAnsi="Aptos Narrow"/>
                <w:color w:val="000000"/>
              </w:rPr>
              <w:t>1.00E-05</w:t>
            </w:r>
          </w:p>
        </w:tc>
        <w:tc>
          <w:tcPr>
            <w:tcW w:w="1054" w:type="dxa"/>
            <w:vAlign w:val="bottom"/>
          </w:tcPr>
          <w:p w14:paraId="11DA64B6" w14:textId="5F909494" w:rsidR="00FF0235" w:rsidRDefault="00FF0235" w:rsidP="00FF0235">
            <w:r>
              <w:rPr>
                <w:rFonts w:ascii="Aptos Narrow" w:hAnsi="Aptos Narrow"/>
                <w:color w:val="000000"/>
              </w:rPr>
              <w:t>0.0005</w:t>
            </w:r>
          </w:p>
        </w:tc>
      </w:tr>
      <w:tr w:rsidR="002D61CE" w14:paraId="7E1B108E" w14:textId="025660C7" w:rsidTr="002D61CE">
        <w:trPr>
          <w:trHeight w:val="70"/>
        </w:trPr>
        <w:tc>
          <w:tcPr>
            <w:tcW w:w="7802" w:type="dxa"/>
            <w:gridSpan w:val="7"/>
            <w:vAlign w:val="bottom"/>
          </w:tcPr>
          <w:p w14:paraId="1DF1137E" w14:textId="3A2BB5B2" w:rsidR="002D61CE" w:rsidRPr="002D61CE" w:rsidRDefault="002D61CE" w:rsidP="002D61CE">
            <w:pPr>
              <w:jc w:val="right"/>
              <w:rPr>
                <w:b/>
                <w:bCs/>
              </w:rPr>
            </w:pPr>
            <w:r w:rsidRPr="002D61CE">
              <w:rPr>
                <w:rFonts w:ascii="Aptos Narrow" w:hAnsi="Aptos Narrow"/>
                <w:b/>
                <w:bCs/>
                <w:color w:val="000000"/>
              </w:rPr>
              <w:t>Total</w:t>
            </w:r>
          </w:p>
        </w:tc>
        <w:tc>
          <w:tcPr>
            <w:tcW w:w="1054" w:type="dxa"/>
            <w:vAlign w:val="bottom"/>
          </w:tcPr>
          <w:p w14:paraId="46CB70C8" w14:textId="4CE5CBFC" w:rsidR="002D61CE" w:rsidRPr="00FF0235" w:rsidRDefault="00FF0235" w:rsidP="008E429E">
            <w:pPr>
              <w:rPr>
                <w:rFonts w:ascii="Aptos Narrow" w:hAnsi="Aptos Narrow"/>
                <w:b/>
                <w:bCs/>
                <w:color w:val="000000"/>
              </w:rPr>
            </w:pPr>
            <w:r>
              <w:rPr>
                <w:rFonts w:ascii="Aptos Narrow" w:hAnsi="Aptos Narrow"/>
                <w:b/>
                <w:bCs/>
                <w:color w:val="000000"/>
              </w:rPr>
              <w:t>0.0981</w:t>
            </w:r>
          </w:p>
        </w:tc>
      </w:tr>
    </w:tbl>
    <w:p w14:paraId="4ED6D9A0" w14:textId="77777777" w:rsidR="002D61CE" w:rsidRDefault="002D61CE" w:rsidP="001D0181"/>
    <w:p w14:paraId="5C734A43" w14:textId="54830C01" w:rsidR="002D61CE" w:rsidRDefault="002D61CE" w:rsidP="001D0181">
      <w:r>
        <w:t>Based on this, we now know the cost per day is $ .0</w:t>
      </w:r>
      <w:r w:rsidR="00FF0235">
        <w:t>981</w:t>
      </w:r>
      <w:r>
        <w:t xml:space="preserve"> in API calls. We must the</w:t>
      </w:r>
      <w:r w:rsidR="00FF0235">
        <w:t>n total by estimated working days (work variability accounts of volatility in work stream, such as seasonal or surge work capabilities and likelihood).</w:t>
      </w:r>
    </w:p>
    <w:p w14:paraId="6DA4B081" w14:textId="79E67EC1" w:rsidR="00FF0235" w:rsidRDefault="00FF0235" w:rsidP="001D0181">
      <w:r w:rsidRPr="00FF0235">
        <w:t>We take .0981</w:t>
      </w:r>
      <w:r>
        <w:t xml:space="preserve"> * 240= $</w:t>
      </w:r>
      <w:r w:rsidRPr="00FF0235">
        <w:t>23.5</w:t>
      </w:r>
      <w:r>
        <w:t>4</w:t>
      </w:r>
    </w:p>
    <w:p w14:paraId="670E4D0D" w14:textId="00E3171B" w:rsidR="00BD7F7A" w:rsidRDefault="005C27EE">
      <w:pPr>
        <w:pStyle w:val="Heading2"/>
      </w:pPr>
      <w:r>
        <w:t xml:space="preserve">4. </w:t>
      </w:r>
      <w:r w:rsidR="00000000">
        <w:t>Cost Delta Calculation</w:t>
      </w:r>
    </w:p>
    <w:p w14:paraId="2AAEDAC5" w14:textId="77777777" w:rsidR="00BD7F7A" w:rsidRDefault="00000000">
      <w:r>
        <w:t>Calculate the delta between the total product cost and the underlying API cost to determine the value proposition of added features. Use the following fields to capture the necessary data:</w:t>
      </w:r>
    </w:p>
    <w:p w14:paraId="110B7263" w14:textId="356E27CE" w:rsidR="00BD7F7A" w:rsidRDefault="00000000">
      <w:r>
        <w:lastRenderedPageBreak/>
        <w:t xml:space="preserve">Total Product Cost (e.g., from FFP, CPFF): </w:t>
      </w:r>
      <w:r w:rsidR="00FF0235">
        <w:t>CPFF</w:t>
      </w:r>
    </w:p>
    <w:p w14:paraId="7F3009FE" w14:textId="122DC5E2" w:rsidR="00BD7F7A" w:rsidRDefault="00000000">
      <w:r>
        <w:t xml:space="preserve">Total Estimated API </w:t>
      </w:r>
      <w:r w:rsidR="00FF0235">
        <w:t>Usage</w:t>
      </w:r>
      <w:r>
        <w:t xml:space="preserve">: </w:t>
      </w:r>
      <w:r w:rsidR="00FF0235">
        <w:t>$23.54</w:t>
      </w:r>
    </w:p>
    <w:p w14:paraId="70FC40CB" w14:textId="4A22965D" w:rsidR="00BD7F7A" w:rsidRDefault="00000000">
      <w:r w:rsidRPr="00BB3666">
        <w:rPr>
          <w:b/>
          <w:bCs/>
        </w:rPr>
        <w:t>Cost Delta</w:t>
      </w:r>
      <w:r>
        <w:t xml:space="preserve"> (</w:t>
      </w:r>
      <w:r w:rsidR="00FF0235">
        <w:t>Estimated Annual API Cost</w:t>
      </w:r>
      <w:r w:rsidR="00FF0235">
        <w:t xml:space="preserve"> - Average Annual </w:t>
      </w:r>
      <w:r>
        <w:t xml:space="preserve">Product Cost): </w:t>
      </w:r>
      <w:r w:rsidR="00FF0235">
        <w:t>$23.54</w:t>
      </w:r>
      <w:r w:rsidR="00FF0235">
        <w:t xml:space="preserve">- $14,500= </w:t>
      </w:r>
      <w:r w:rsidR="00BB3666">
        <w:t>-14,476.49</w:t>
      </w:r>
    </w:p>
    <w:p w14:paraId="0AC50CA9" w14:textId="29B3550E" w:rsidR="00BB3666" w:rsidRDefault="00BB3666">
      <w:r w:rsidRPr="00BB3666">
        <w:rPr>
          <w:b/>
          <w:bCs/>
        </w:rPr>
        <w:t>Cost Variance</w:t>
      </w:r>
      <w:r>
        <w:t xml:space="preserve">: </w:t>
      </w:r>
      <w:r>
        <w:t>(Average Annual Product Cost</w:t>
      </w:r>
      <w:r>
        <w:t>-</w:t>
      </w:r>
      <w:r>
        <w:t>Estimated Annual API Cost</w:t>
      </w:r>
      <w:r>
        <w:t>/</w:t>
      </w:r>
      <w:r w:rsidRPr="00BB3666">
        <w:t xml:space="preserve"> </w:t>
      </w:r>
      <w:r>
        <w:t>Estimated Annual API Cost)</w:t>
      </w:r>
      <w:r>
        <w:t xml:space="preserve"> * 100</w:t>
      </w:r>
      <w:r>
        <w:t xml:space="preserve">: </w:t>
      </w:r>
      <w:r>
        <w:t>%</w:t>
      </w:r>
      <w:r w:rsidRPr="00BB3666">
        <w:t>61</w:t>
      </w:r>
      <w:r>
        <w:t>,</w:t>
      </w:r>
      <w:r w:rsidRPr="00BB3666">
        <w:t>454.58</w:t>
      </w:r>
    </w:p>
    <w:p w14:paraId="184E9EC4" w14:textId="77777777" w:rsidR="00BD7F7A" w:rsidRDefault="00000000">
      <w:pPr>
        <w:pStyle w:val="Heading2"/>
      </w:pPr>
      <w:r>
        <w:t>4. Value Proposition Analysis</w:t>
      </w:r>
    </w:p>
    <w:p w14:paraId="64A414B3" w14:textId="5A427865" w:rsidR="00BB3666" w:rsidRDefault="00BB3666">
      <w:r>
        <w:t>There is now a visible 61,654% discrepancy between the LLM model, and the project API costs, so the platform will need to provide some manner of cost benefit to allow for that. This is where we can bring in additional values in service, setup and support, as well as extra features that may have to be customized/programmed.</w:t>
      </w:r>
    </w:p>
    <w:p w14:paraId="1B2D71CA" w14:textId="37115E20" w:rsidR="00BD7F7A" w:rsidRDefault="00BB3666">
      <w:r>
        <w:t>We p</w:t>
      </w:r>
      <w:r w:rsidR="00000000">
        <w:t>rovide insights into the value of additional features offered by the LLM product. Evaluate if the cost delta is justified based on tangible benefits such as performance improvements, customization, or integration capabilities.</w:t>
      </w:r>
      <w:r>
        <w:t xml:space="preserve"> You can use a</w:t>
      </w:r>
      <w:r w:rsidR="00307702">
        <w:t>n Analogous</w:t>
      </w:r>
      <w:r>
        <w:t xml:space="preserve"> Estimate of other products now that </w:t>
      </w:r>
      <w:r w:rsidR="00307702">
        <w:t>provides</w:t>
      </w:r>
      <w:r>
        <w:t xml:space="preserve"> </w:t>
      </w:r>
      <w:proofErr w:type="gramStart"/>
      <w:r>
        <w:t>you</w:t>
      </w:r>
      <w:proofErr w:type="gramEnd"/>
      <w:r>
        <w:t xml:space="preserve"> a cost basis for what these other features may be worth. </w:t>
      </w:r>
    </w:p>
    <w:tbl>
      <w:tblPr>
        <w:tblStyle w:val="TableGrid"/>
        <w:tblW w:w="0" w:type="auto"/>
        <w:tblLook w:val="04A0" w:firstRow="1" w:lastRow="0" w:firstColumn="1" w:lastColumn="0" w:noHBand="0" w:noVBand="1"/>
      </w:tblPr>
      <w:tblGrid>
        <w:gridCol w:w="2422"/>
        <w:gridCol w:w="2405"/>
        <w:gridCol w:w="2300"/>
        <w:gridCol w:w="1729"/>
      </w:tblGrid>
      <w:tr w:rsidR="00BB3666" w14:paraId="5455B458" w14:textId="71552B84" w:rsidTr="00BB3666">
        <w:tc>
          <w:tcPr>
            <w:tcW w:w="2422" w:type="dxa"/>
            <w:shd w:val="clear" w:color="auto" w:fill="1F497D" w:themeFill="text2"/>
          </w:tcPr>
          <w:p w14:paraId="397308C8" w14:textId="5C0FB78E" w:rsidR="00BB3666" w:rsidRPr="00BB3666" w:rsidRDefault="00BB3666">
            <w:pPr>
              <w:rPr>
                <w:color w:val="FFFFFF" w:themeColor="background1"/>
              </w:rPr>
            </w:pPr>
            <w:r w:rsidRPr="00BB3666">
              <w:rPr>
                <w:b/>
                <w:color w:val="FFFFFF" w:themeColor="background1"/>
              </w:rPr>
              <w:t>Feature</w:t>
            </w:r>
            <w:r w:rsidR="00307702">
              <w:rPr>
                <w:b/>
                <w:color w:val="FFFFFF" w:themeColor="background1"/>
              </w:rPr>
              <w:t>(s)</w:t>
            </w:r>
          </w:p>
        </w:tc>
        <w:tc>
          <w:tcPr>
            <w:tcW w:w="2405" w:type="dxa"/>
            <w:shd w:val="clear" w:color="auto" w:fill="1F497D" w:themeFill="text2"/>
          </w:tcPr>
          <w:p w14:paraId="0D24B58E" w14:textId="77777777" w:rsidR="00BB3666" w:rsidRPr="00BB3666" w:rsidRDefault="00BB3666">
            <w:pPr>
              <w:rPr>
                <w:color w:val="FFFFFF" w:themeColor="background1"/>
              </w:rPr>
            </w:pPr>
            <w:r w:rsidRPr="00BB3666">
              <w:rPr>
                <w:b/>
                <w:color w:val="FFFFFF" w:themeColor="background1"/>
              </w:rPr>
              <w:t>Estimated Value ($/month)</w:t>
            </w:r>
          </w:p>
        </w:tc>
        <w:tc>
          <w:tcPr>
            <w:tcW w:w="2300" w:type="dxa"/>
            <w:shd w:val="clear" w:color="auto" w:fill="1F497D" w:themeFill="text2"/>
          </w:tcPr>
          <w:p w14:paraId="4BC5F1FF" w14:textId="78BD73A3" w:rsidR="00BB3666" w:rsidRPr="00BB3666" w:rsidRDefault="00BB3666">
            <w:pPr>
              <w:rPr>
                <w:b/>
                <w:color w:val="FFFFFF" w:themeColor="background1"/>
              </w:rPr>
            </w:pPr>
            <w:r w:rsidRPr="00BB3666">
              <w:rPr>
                <w:b/>
                <w:color w:val="FFFFFF" w:themeColor="background1"/>
              </w:rPr>
              <w:t>Seats/Licenses</w:t>
            </w:r>
          </w:p>
        </w:tc>
        <w:tc>
          <w:tcPr>
            <w:tcW w:w="1729" w:type="dxa"/>
            <w:shd w:val="clear" w:color="auto" w:fill="1F497D" w:themeFill="text2"/>
          </w:tcPr>
          <w:p w14:paraId="6B736701" w14:textId="49B697C9" w:rsidR="00BB3666" w:rsidRPr="00BB3666" w:rsidRDefault="00BB3666">
            <w:pPr>
              <w:rPr>
                <w:b/>
                <w:color w:val="FFFFFF" w:themeColor="background1"/>
              </w:rPr>
            </w:pPr>
            <w:r>
              <w:rPr>
                <w:b/>
                <w:color w:val="FFFFFF" w:themeColor="background1"/>
              </w:rPr>
              <w:t>Total Costs (x12 months)</w:t>
            </w:r>
          </w:p>
        </w:tc>
      </w:tr>
      <w:tr w:rsidR="00307702" w14:paraId="6442232D" w14:textId="45437B89" w:rsidTr="00155951">
        <w:tc>
          <w:tcPr>
            <w:tcW w:w="2422" w:type="dxa"/>
          </w:tcPr>
          <w:p w14:paraId="76F470CD" w14:textId="7E80F1AE" w:rsidR="00307702" w:rsidRDefault="00307702" w:rsidP="00307702">
            <w:r>
              <w:t>Automatic Update (Version Control)</w:t>
            </w:r>
          </w:p>
        </w:tc>
        <w:tc>
          <w:tcPr>
            <w:tcW w:w="2405" w:type="dxa"/>
          </w:tcPr>
          <w:p w14:paraId="1A986AB3" w14:textId="51D23AB4" w:rsidR="00307702" w:rsidRDefault="00307702" w:rsidP="00307702">
            <w:r>
              <w:t>$150</w:t>
            </w:r>
          </w:p>
        </w:tc>
        <w:tc>
          <w:tcPr>
            <w:tcW w:w="2300" w:type="dxa"/>
          </w:tcPr>
          <w:p w14:paraId="048ADEA8" w14:textId="0BC2AEFE" w:rsidR="00307702" w:rsidRDefault="00307702" w:rsidP="00307702">
            <w:r>
              <w:t>5</w:t>
            </w:r>
          </w:p>
        </w:tc>
        <w:tc>
          <w:tcPr>
            <w:tcW w:w="1729" w:type="dxa"/>
            <w:vAlign w:val="center"/>
          </w:tcPr>
          <w:p w14:paraId="48E71F72" w14:textId="52F324B1" w:rsidR="00307702" w:rsidRDefault="00307702" w:rsidP="00307702">
            <w:r>
              <w:rPr>
                <w:rFonts w:ascii="Cambria" w:hAnsi="Cambria"/>
                <w:color w:val="000000"/>
              </w:rPr>
              <w:t xml:space="preserve">$9,000 </w:t>
            </w:r>
          </w:p>
        </w:tc>
      </w:tr>
      <w:tr w:rsidR="00307702" w14:paraId="068EB64F" w14:textId="65AE28BC" w:rsidTr="00155951">
        <w:tc>
          <w:tcPr>
            <w:tcW w:w="2422" w:type="dxa"/>
          </w:tcPr>
          <w:p w14:paraId="584C607E" w14:textId="21522DB0" w:rsidR="00307702" w:rsidRDefault="00307702" w:rsidP="00307702">
            <w:r>
              <w:t xml:space="preserve">Compliance Evaluation </w:t>
            </w:r>
          </w:p>
        </w:tc>
        <w:tc>
          <w:tcPr>
            <w:tcW w:w="2405" w:type="dxa"/>
          </w:tcPr>
          <w:p w14:paraId="051EB83D" w14:textId="484D985C" w:rsidR="00307702" w:rsidRDefault="00307702" w:rsidP="00307702">
            <w:r>
              <w:t>$250</w:t>
            </w:r>
          </w:p>
        </w:tc>
        <w:tc>
          <w:tcPr>
            <w:tcW w:w="2300" w:type="dxa"/>
          </w:tcPr>
          <w:p w14:paraId="4EEEA7F6" w14:textId="5FA4394B" w:rsidR="00307702" w:rsidRDefault="00307702" w:rsidP="00307702">
            <w:r>
              <w:t>1</w:t>
            </w:r>
          </w:p>
        </w:tc>
        <w:tc>
          <w:tcPr>
            <w:tcW w:w="1729" w:type="dxa"/>
            <w:vAlign w:val="center"/>
          </w:tcPr>
          <w:p w14:paraId="655DA9B5" w14:textId="54D36AEC" w:rsidR="00307702" w:rsidRDefault="00307702" w:rsidP="00307702">
            <w:r>
              <w:rPr>
                <w:rFonts w:ascii="Cambria" w:hAnsi="Cambria"/>
                <w:color w:val="000000"/>
              </w:rPr>
              <w:t xml:space="preserve">$3,000 </w:t>
            </w:r>
          </w:p>
        </w:tc>
      </w:tr>
      <w:tr w:rsidR="00307702" w14:paraId="7D0EE3D4" w14:textId="554476CB" w:rsidTr="00155951">
        <w:tc>
          <w:tcPr>
            <w:tcW w:w="2422" w:type="dxa"/>
          </w:tcPr>
          <w:p w14:paraId="2BF4A661" w14:textId="22FA0FD0" w:rsidR="00307702" w:rsidRDefault="00307702" w:rsidP="00307702">
            <w:r>
              <w:t>Document Parser</w:t>
            </w:r>
          </w:p>
        </w:tc>
        <w:tc>
          <w:tcPr>
            <w:tcW w:w="2405" w:type="dxa"/>
          </w:tcPr>
          <w:p w14:paraId="639F9B1F" w14:textId="1EFB9F16" w:rsidR="00307702" w:rsidRDefault="00307702" w:rsidP="00307702">
            <w:r>
              <w:t>$125</w:t>
            </w:r>
          </w:p>
        </w:tc>
        <w:tc>
          <w:tcPr>
            <w:tcW w:w="2300" w:type="dxa"/>
          </w:tcPr>
          <w:p w14:paraId="200BC7A9" w14:textId="46C00297" w:rsidR="00307702" w:rsidRDefault="00307702" w:rsidP="00307702">
            <w:r>
              <w:t>5</w:t>
            </w:r>
          </w:p>
        </w:tc>
        <w:tc>
          <w:tcPr>
            <w:tcW w:w="1729" w:type="dxa"/>
            <w:vAlign w:val="center"/>
          </w:tcPr>
          <w:p w14:paraId="3E8E351E" w14:textId="4DB9CAA8" w:rsidR="00307702" w:rsidRDefault="00307702" w:rsidP="00307702">
            <w:r>
              <w:rPr>
                <w:rFonts w:ascii="Cambria" w:hAnsi="Cambria"/>
                <w:color w:val="000000"/>
              </w:rPr>
              <w:t xml:space="preserve">$7,500 </w:t>
            </w:r>
          </w:p>
        </w:tc>
      </w:tr>
      <w:tr w:rsidR="00307702" w14:paraId="2C5C6CE9" w14:textId="7098A4E6" w:rsidTr="00155951">
        <w:trPr>
          <w:trHeight w:val="70"/>
        </w:trPr>
        <w:tc>
          <w:tcPr>
            <w:tcW w:w="2422" w:type="dxa"/>
          </w:tcPr>
          <w:p w14:paraId="3F47279D" w14:textId="7AD1FB38" w:rsidR="00307702" w:rsidRDefault="00307702" w:rsidP="00307702">
            <w:r>
              <w:t xml:space="preserve">Automated Email and Scheduler </w:t>
            </w:r>
          </w:p>
        </w:tc>
        <w:tc>
          <w:tcPr>
            <w:tcW w:w="2405" w:type="dxa"/>
          </w:tcPr>
          <w:p w14:paraId="27C78595" w14:textId="1426B071" w:rsidR="00307702" w:rsidRDefault="00307702" w:rsidP="00307702">
            <w:r>
              <w:t>$250</w:t>
            </w:r>
          </w:p>
        </w:tc>
        <w:tc>
          <w:tcPr>
            <w:tcW w:w="2300" w:type="dxa"/>
          </w:tcPr>
          <w:p w14:paraId="763F8DCD" w14:textId="0CEDBA78" w:rsidR="00307702" w:rsidRDefault="00307702" w:rsidP="00307702">
            <w:r>
              <w:t>1</w:t>
            </w:r>
          </w:p>
        </w:tc>
        <w:tc>
          <w:tcPr>
            <w:tcW w:w="1729" w:type="dxa"/>
            <w:vAlign w:val="center"/>
          </w:tcPr>
          <w:p w14:paraId="2AFB0610" w14:textId="6BA07096" w:rsidR="00307702" w:rsidRDefault="00307702" w:rsidP="00307702">
            <w:r>
              <w:rPr>
                <w:rFonts w:ascii="Cambria" w:hAnsi="Cambria"/>
                <w:color w:val="000000"/>
              </w:rPr>
              <w:t xml:space="preserve">$3,000 </w:t>
            </w:r>
          </w:p>
        </w:tc>
      </w:tr>
      <w:tr w:rsidR="00BB3666" w14:paraId="0776DEE6" w14:textId="77777777" w:rsidTr="00A45DB1">
        <w:trPr>
          <w:trHeight w:val="70"/>
        </w:trPr>
        <w:tc>
          <w:tcPr>
            <w:tcW w:w="7127" w:type="dxa"/>
            <w:gridSpan w:val="3"/>
          </w:tcPr>
          <w:p w14:paraId="52AC060D" w14:textId="2C81375C" w:rsidR="00BB3666" w:rsidRPr="00BB3666" w:rsidRDefault="00BB3666" w:rsidP="00BB3666">
            <w:pPr>
              <w:jc w:val="right"/>
              <w:rPr>
                <w:b/>
                <w:bCs/>
              </w:rPr>
            </w:pPr>
            <w:r w:rsidRPr="00BB3666">
              <w:rPr>
                <w:b/>
                <w:bCs/>
              </w:rPr>
              <w:t>Total</w:t>
            </w:r>
          </w:p>
        </w:tc>
        <w:tc>
          <w:tcPr>
            <w:tcW w:w="1729" w:type="dxa"/>
          </w:tcPr>
          <w:p w14:paraId="2C710919" w14:textId="3EF0D893" w:rsidR="00BB3666" w:rsidRDefault="00307702">
            <w:r>
              <w:t>$22,500</w:t>
            </w:r>
          </w:p>
        </w:tc>
      </w:tr>
    </w:tbl>
    <w:p w14:paraId="70CB00EE" w14:textId="77777777" w:rsidR="00BD7F7A" w:rsidRDefault="00000000">
      <w:pPr>
        <w:pStyle w:val="Heading2"/>
      </w:pPr>
      <w:r>
        <w:t>5. Final Recommendation</w:t>
      </w:r>
    </w:p>
    <w:p w14:paraId="36EFA5F2" w14:textId="1EF26CFD" w:rsidR="00BD7F7A" w:rsidRDefault="00BB3666">
      <w:r>
        <w:t xml:space="preserve">We now see that if we take those other features, we can then analyze the relative cost of AI between the two models and look to justify the award fee presented by the company. </w:t>
      </w:r>
      <w:r w:rsidR="00307702">
        <w:t xml:space="preserve">The company </w:t>
      </w:r>
      <w:proofErr w:type="gramStart"/>
      <w:r w:rsidR="00307702">
        <w:t>actually has</w:t>
      </w:r>
      <w:proofErr w:type="gramEnd"/>
      <w:r w:rsidR="00307702">
        <w:t xml:space="preserve"> additional value features that coincide with other licenses but include the AI value model. </w:t>
      </w:r>
    </w:p>
    <w:p w14:paraId="5053D734" w14:textId="77777777" w:rsidR="00307702" w:rsidRPr="00307702" w:rsidRDefault="00307702">
      <w:pPr>
        <w:rPr>
          <w:b/>
          <w:bCs/>
        </w:rPr>
      </w:pPr>
      <w:r w:rsidRPr="00307702">
        <w:rPr>
          <w:b/>
          <w:bCs/>
        </w:rPr>
        <w:t xml:space="preserve">Cost Delta + Additional Value Analogous Total = </w:t>
      </w:r>
      <w:r w:rsidRPr="00307702">
        <w:t>Final Cost Value</w:t>
      </w:r>
    </w:p>
    <w:p w14:paraId="301114D6" w14:textId="22451C1A" w:rsidR="00307702" w:rsidRDefault="00307702">
      <w:pPr>
        <w:rPr>
          <w:b/>
          <w:bCs/>
        </w:rPr>
      </w:pPr>
      <w:r>
        <w:t xml:space="preserve"> -14,476.49 + 22,500= </w:t>
      </w:r>
      <w:r w:rsidRPr="00307702">
        <w:rPr>
          <w:b/>
          <w:bCs/>
        </w:rPr>
        <w:t>$ 8,023.51</w:t>
      </w:r>
    </w:p>
    <w:p w14:paraId="2CE3BA8D" w14:textId="45A6A986" w:rsidR="00307702" w:rsidRPr="00307702" w:rsidRDefault="00307702">
      <w:r>
        <w:t xml:space="preserve">Based on this, there is a positive value from the API cost to the feature cost, even though originally the API calls seemed </w:t>
      </w:r>
      <w:proofErr w:type="gramStart"/>
      <w:r>
        <w:t>overprice</w:t>
      </w:r>
      <w:proofErr w:type="gramEnd"/>
      <w:r>
        <w:t xml:space="preserve">. In the case where there were not features, this would be a good time to make the business decision if this product is at all worth it (if </w:t>
      </w:r>
      <w:proofErr w:type="spellStart"/>
      <w:r>
        <w:t>its</w:t>
      </w:r>
      <w:proofErr w:type="spellEnd"/>
      <w:r>
        <w:t xml:space="preserve"> an open-ended product, versus has additional built features that uses other features). </w:t>
      </w:r>
    </w:p>
    <w:sectPr w:rsidR="00307702" w:rsidRPr="003077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189078">
    <w:abstractNumId w:val="8"/>
  </w:num>
  <w:num w:numId="2" w16cid:durableId="362707625">
    <w:abstractNumId w:val="6"/>
  </w:num>
  <w:num w:numId="3" w16cid:durableId="1728257603">
    <w:abstractNumId w:val="5"/>
  </w:num>
  <w:num w:numId="4" w16cid:durableId="249395652">
    <w:abstractNumId w:val="4"/>
  </w:num>
  <w:num w:numId="5" w16cid:durableId="917011192">
    <w:abstractNumId w:val="7"/>
  </w:num>
  <w:num w:numId="6" w16cid:durableId="2053990541">
    <w:abstractNumId w:val="3"/>
  </w:num>
  <w:num w:numId="7" w16cid:durableId="414665318">
    <w:abstractNumId w:val="2"/>
  </w:num>
  <w:num w:numId="8" w16cid:durableId="1670644216">
    <w:abstractNumId w:val="1"/>
  </w:num>
  <w:num w:numId="9" w16cid:durableId="2132553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181"/>
    <w:rsid w:val="0029639D"/>
    <w:rsid w:val="002D61CE"/>
    <w:rsid w:val="00307702"/>
    <w:rsid w:val="00326F90"/>
    <w:rsid w:val="005C27EE"/>
    <w:rsid w:val="007F3A9E"/>
    <w:rsid w:val="008E429E"/>
    <w:rsid w:val="00AA1D8D"/>
    <w:rsid w:val="00B47730"/>
    <w:rsid w:val="00BB3666"/>
    <w:rsid w:val="00BD7F7A"/>
    <w:rsid w:val="00CB0664"/>
    <w:rsid w:val="00FC693F"/>
    <w:rsid w:val="00FF0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6A425"/>
  <w14:defaultImageDpi w14:val="300"/>
  <w15:docId w15:val="{D832E0EF-BBA0-45CB-9233-8A5C2CF5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1226">
      <w:bodyDiv w:val="1"/>
      <w:marLeft w:val="0"/>
      <w:marRight w:val="0"/>
      <w:marTop w:val="0"/>
      <w:marBottom w:val="0"/>
      <w:divBdr>
        <w:top w:val="none" w:sz="0" w:space="0" w:color="auto"/>
        <w:left w:val="none" w:sz="0" w:space="0" w:color="auto"/>
        <w:bottom w:val="none" w:sz="0" w:space="0" w:color="auto"/>
        <w:right w:val="none" w:sz="0" w:space="0" w:color="auto"/>
      </w:divBdr>
    </w:div>
    <w:div w:id="219945671">
      <w:bodyDiv w:val="1"/>
      <w:marLeft w:val="0"/>
      <w:marRight w:val="0"/>
      <w:marTop w:val="0"/>
      <w:marBottom w:val="0"/>
      <w:divBdr>
        <w:top w:val="none" w:sz="0" w:space="0" w:color="auto"/>
        <w:left w:val="none" w:sz="0" w:space="0" w:color="auto"/>
        <w:bottom w:val="none" w:sz="0" w:space="0" w:color="auto"/>
        <w:right w:val="none" w:sz="0" w:space="0" w:color="auto"/>
      </w:divBdr>
    </w:div>
    <w:div w:id="1490167900">
      <w:bodyDiv w:val="1"/>
      <w:marLeft w:val="0"/>
      <w:marRight w:val="0"/>
      <w:marTop w:val="0"/>
      <w:marBottom w:val="0"/>
      <w:divBdr>
        <w:top w:val="none" w:sz="0" w:space="0" w:color="auto"/>
        <w:left w:val="none" w:sz="0" w:space="0" w:color="auto"/>
        <w:bottom w:val="none" w:sz="0" w:space="0" w:color="auto"/>
        <w:right w:val="none" w:sz="0" w:space="0" w:color="auto"/>
      </w:divBdr>
    </w:div>
    <w:div w:id="1642804915">
      <w:bodyDiv w:val="1"/>
      <w:marLeft w:val="0"/>
      <w:marRight w:val="0"/>
      <w:marTop w:val="0"/>
      <w:marBottom w:val="0"/>
      <w:divBdr>
        <w:top w:val="none" w:sz="0" w:space="0" w:color="auto"/>
        <w:left w:val="none" w:sz="0" w:space="0" w:color="auto"/>
        <w:bottom w:val="none" w:sz="0" w:space="0" w:color="auto"/>
        <w:right w:val="none" w:sz="0" w:space="0" w:color="auto"/>
      </w:divBdr>
    </w:div>
    <w:div w:id="1733380450">
      <w:bodyDiv w:val="1"/>
      <w:marLeft w:val="0"/>
      <w:marRight w:val="0"/>
      <w:marTop w:val="0"/>
      <w:marBottom w:val="0"/>
      <w:divBdr>
        <w:top w:val="none" w:sz="0" w:space="0" w:color="auto"/>
        <w:left w:val="none" w:sz="0" w:space="0" w:color="auto"/>
        <w:bottom w:val="none" w:sz="0" w:space="0" w:color="auto"/>
        <w:right w:val="none" w:sz="0" w:space="0" w:color="auto"/>
      </w:divBdr>
    </w:div>
    <w:div w:id="1757364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Erikk Shupp</cp:lastModifiedBy>
  <cp:revision>2</cp:revision>
  <dcterms:created xsi:type="dcterms:W3CDTF">2024-10-23T21:11:00Z</dcterms:created>
  <dcterms:modified xsi:type="dcterms:W3CDTF">2024-10-23T21:11:00Z</dcterms:modified>
  <cp:category/>
</cp:coreProperties>
</file>