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A6E9D">
      <w:pPr>
        <w:keepNext w:val="0"/>
        <w:keepLines w:val="0"/>
        <w:widowControl/>
        <w:suppressLineNumbers w:val="0"/>
        <w:spacing w:line="360" w:lineRule="auto"/>
        <w:ind w:firstLine="960" w:firstLineChars="400"/>
        <w:jc w:val="left"/>
        <w:rPr>
          <w:rFonts w:hint="default" w:eastAsia="Roboto" w:cs="Roboto" w:asciiTheme="minorAscii" w:hAnsiTheme="minorAscii"/>
          <w:i w:val="0"/>
          <w:iCs w:val="0"/>
          <w:caps w:val="0"/>
          <w:color w:val="1D2125"/>
          <w:spacing w:val="0"/>
          <w:kern w:val="0"/>
          <w:sz w:val="24"/>
          <w:szCs w:val="24"/>
          <w:u w:val="none"/>
          <w:shd w:val="clear" w:fill="F8F9FA"/>
          <w:lang w:val="en-US" w:eastAsia="zh-CN" w:bidi="ar"/>
        </w:rPr>
      </w:pPr>
      <w:r>
        <w:rPr>
          <w:rFonts w:hint="default" w:eastAsia="Roboto" w:cs="Roboto" w:asciiTheme="minorAscii" w:hAnsiTheme="minorAscii"/>
          <w:i w:val="0"/>
          <w:iCs w:val="0"/>
          <w:caps w:val="0"/>
          <w:color w:val="1D2125"/>
          <w:spacing w:val="0"/>
          <w:kern w:val="0"/>
          <w:sz w:val="24"/>
          <w:szCs w:val="24"/>
          <w:u w:val="none"/>
          <w:shd w:val="clear" w:fill="F8F9FA"/>
          <w:lang w:val="en-US" w:eastAsia="zh-CN" w:bidi="ar"/>
        </w:rPr>
        <w:t>Si Szinpinning integratsiya tashabbuslarini tahlil qilish.</w:t>
      </w:r>
    </w:p>
    <w:p w14:paraId="4EA64E78">
      <w:pPr>
        <w:keepNext w:val="0"/>
        <w:keepLines w:val="0"/>
        <w:widowControl/>
        <w:suppressLineNumbers w:val="0"/>
        <w:spacing w:line="360" w:lineRule="auto"/>
        <w:jc w:val="left"/>
        <w:rPr>
          <w:rFonts w:hint="default" w:eastAsia="Helvetica" w:cs="Helvetica" w:asciiTheme="minorAscii" w:hAnsiTheme="minorAscii"/>
          <w:color w:val="000000"/>
          <w:kern w:val="0"/>
          <w:sz w:val="24"/>
          <w:szCs w:val="24"/>
          <w:lang w:val="en-US" w:eastAsia="zh-CN" w:bidi="ar"/>
        </w:rPr>
      </w:pPr>
    </w:p>
    <w:p w14:paraId="22C06128">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XXI asr global geopolitik va geoiqtisodiy raqobat bilan xarakterlanadi. Xitoy rahbari Si Szinpin tomonidan ilgari surilgan to‘rt asosiy xalqaro tashabbus — Bir Makon , Bir Yo’l (Belt and Road Initiative, BRI), Global Development Initiative (GDI), Global Security Initiative (GSI) va Global Civilization Initiative (GCI) — Pekinning yangi “katta davlat diplomatiyasi” konsepsiyasining markaziy elementlariga aylandi. Ushbu esse ular mazmuni, strategik maqsadlari, mintaqaviy ta’siri va xalqaro tanqidlarga qisqacha lekin keng tahlilni taklif etadi.Essay har bir tashabbusni keng ifodalab beradi.</w:t>
      </w:r>
    </w:p>
    <w:p w14:paraId="5392B953">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6C4F0138">
      <w:pPr>
        <w:keepNext w:val="0"/>
        <w:keepLines w:val="0"/>
        <w:widowControl/>
        <w:suppressLineNumbers w:val="0"/>
        <w:spacing w:line="360" w:lineRule="auto"/>
        <w:jc w:val="both"/>
        <w:rPr>
          <w:rFonts w:hint="default" w:asciiTheme="minorAscii" w:hAnsiTheme="minorAscii"/>
          <w:sz w:val="24"/>
          <w:szCs w:val="24"/>
        </w:rPr>
      </w:pPr>
      <w:r>
        <w:rPr>
          <w:rFonts w:hint="default" w:eastAsia="Helvetica" w:cs="Helvetica" w:asciiTheme="minorAscii" w:hAnsiTheme="minorAscii"/>
          <w:color w:val="000000"/>
          <w:kern w:val="0"/>
          <w:sz w:val="24"/>
          <w:szCs w:val="24"/>
          <w:lang w:val="en-US" w:eastAsia="zh-CN" w:bidi="ar"/>
        </w:rPr>
        <w:t xml:space="preserve">Belt and Road Initiative tashabbusiga yuzlanadigan bo’lsak , </w:t>
      </w:r>
      <w:r>
        <w:rPr>
          <w:rFonts w:hint="default" w:eastAsia="Helvetica" w:cs="Helvetica" w:asciiTheme="minorAscii" w:hAnsiTheme="minorAscii"/>
          <w:color w:val="000000"/>
          <w:kern w:val="0"/>
          <w:sz w:val="24"/>
          <w:szCs w:val="24"/>
          <w:lang w:val="en-US" w:eastAsia="zh-CN" w:bidi="ar"/>
        </w:rPr>
        <w:t xml:space="preserve">BRI 2013-yilda Si Szinpin tomonidan e’lon qilingan bo‘lib, dastlab «Ipak Yo‘li iqtisodiy belbog‘i» va «21-asr dengiz Ipak Yo‘li» sifatida tushuntirilgan. Asosiy maqsad global infratuzilma, savdo tarmoqlari va investitsiyalar orqali mintaqalar o‘rtasida bog‘lanishni oshirish va buning uchun temir yo‘l, port, energetika, telekommunikatsiya va logistik loyihalar moliyalashtiriladi. BRIning koordinatsiyasi markaziy hukumat organlari, davlat banklari (China Development Bank, Export–Import Bank of China), xususiy korxonalar va Silk Road Fund orqali amalga oshiriladi. BRI loyihalarining moliyalashtirish manbalari Xitoyning davlat banklari va fondlari bo‘lib, ular kreditlar, to‘g‘ridan- to‘g‘ri sarmoyalar va hamkorlik bitimlari shaklida beriladi. Ko‘plab mamlakatlarda BRI iqtisodiy faollik va infratuzilma rivojlanishini rag‘batlantirdi. Masalan, temir yo‘l loyihalari savdo oqimlarini qisqartirib, eksport imkoniyatlarini kengaytirdi. Biroq, loyihalarning iqtisodiy samaradorligi </w:t>
      </w:r>
    </w:p>
    <w:p w14:paraId="7A1F4F5D">
      <w:pPr>
        <w:keepNext w:val="0"/>
        <w:keepLines w:val="0"/>
        <w:widowControl/>
        <w:suppressLineNumbers w:val="0"/>
        <w:spacing w:line="360" w:lineRule="auto"/>
        <w:jc w:val="both"/>
        <w:rPr>
          <w:rFonts w:hint="default" w:asciiTheme="minorAscii" w:hAnsiTheme="minorAscii"/>
          <w:sz w:val="24"/>
          <w:szCs w:val="24"/>
        </w:rPr>
      </w:pPr>
      <w:r>
        <w:rPr>
          <w:rFonts w:hint="default" w:eastAsia="Helvetica" w:cs="Helvetica" w:asciiTheme="minorAscii" w:hAnsiTheme="minorAscii"/>
          <w:color w:val="000000"/>
          <w:kern w:val="0"/>
          <w:sz w:val="24"/>
          <w:szCs w:val="24"/>
          <w:lang w:val="en-US" w:eastAsia="zh-CN" w:bidi="ar"/>
        </w:rPr>
        <w:t xml:space="preserve">doimo bir xillikni ko‘rsatmaydi; ayrim loyihalar vayron bo‘lgan yoki muddatidan oldin iqtisodiy jihatdan foydasiz deb topilgan. Tanqidlar orasida «qarz tuzog‘i» (debt trap diplomacy) xabari keng tarqalgan: bazida xorijiy davlatlar katta kreditlarga botib, muayyan aktivlarni garov sifatida berishga </w:t>
      </w:r>
    </w:p>
    <w:p w14:paraId="1E5DB3AB">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majbur bo‘lgan holatlar kuzatilgan. Shuningdek, loyiha ekologik ta’sir va mahalliy ijtimoiy muammolarni keltirib chiqarishi mumkinligi aytiladi. BRIning geostrategik tarafi ham muhim , u orqali iqtisodiy bog‘lanish orqali Pekin siyosiy va diplomatik hamkorlikni mustahkamlash imkoniga ega bo‘ladi.</w:t>
      </w:r>
    </w:p>
    <w:p w14:paraId="3AE3B563">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7BF108DA">
      <w:pPr>
        <w:keepNext w:val="0"/>
        <w:keepLines w:val="0"/>
        <w:widowControl/>
        <w:suppressLineNumbers w:val="0"/>
        <w:spacing w:line="360" w:lineRule="auto"/>
        <w:jc w:val="both"/>
        <w:rPr>
          <w:rFonts w:hint="default" w:asciiTheme="minorAscii" w:hAnsiTheme="minorAscii"/>
          <w:sz w:val="24"/>
          <w:szCs w:val="24"/>
        </w:rPr>
      </w:pPr>
      <w:r>
        <w:rPr>
          <w:rFonts w:hint="default" w:eastAsia="Helvetica" w:cs="Helvetica" w:asciiTheme="minorAscii" w:hAnsiTheme="minorAscii"/>
          <w:color w:val="000000"/>
          <w:kern w:val="0"/>
          <w:sz w:val="24"/>
          <w:szCs w:val="24"/>
          <w:lang w:val="en-US" w:eastAsia="zh-CN" w:bidi="ar"/>
        </w:rPr>
        <w:t xml:space="preserve">Global Development Initiative (GDI) tashabbusiga keladigan bo’lsak , </w:t>
      </w:r>
      <w:r>
        <w:rPr>
          <w:rFonts w:hint="default" w:eastAsia="Helvetica" w:cs="Helvetica" w:asciiTheme="minorAscii" w:hAnsiTheme="minorAscii"/>
          <w:color w:val="000000"/>
          <w:kern w:val="0"/>
          <w:sz w:val="24"/>
          <w:szCs w:val="24"/>
          <w:lang w:val="en-US" w:eastAsia="zh-CN" w:bidi="ar"/>
        </w:rPr>
        <w:t xml:space="preserve">GDI 2021-yilda BMT Bosh Assambleyasidagi chiqishda Si Szinpin tomonidan e’lon qilingan. GDIning maqsadi BMTning 2030-yilgacha barqaror rivojlanish maqsadlariga (SDG) mos ravishda global rivojlanishni qo‘llab quvvatlashdir. GDI «kuchliroq, yashilroq va sog‘lomroq» global rivojlanishni rag‘batlantirishga urg‘u beradi va yettitadan ortiq ustuvor sohani belgilaydi. Ular kambag‘allikni kamaytirish, oziq-ovqat xavfsizligi, pandemiyalarga tayyorgarlik, iqlim va yashil iqtisodiyot, infratuzilma, texnologik hamkorlik va qizil qalam (capacity building)dir . GDI BRIdan farqli ravishda ko‘proq rivojlanish yo‘nalishiga yo‘naltirilgan va dastlab ham insoniy va ijtimoiy infratuzilmani rivojlantirishga e’tibor qaratadi. GDI doirasida Pekin dala tadbirlari, vaksina hamkorligi, qishloq xo‘jaligi loyihalari va malaka oshirish kurslarini moliyalashtirish orqali o‘zining yumshoq kuchini oshirmoqda. Shuningdek, GDI Xitoyning davlatlari bilan «rivojlanish partnyorligi»ni mustahkamlash uchun strategik vosita hisoblanadi . U orqali Pekin o‘z tashabbuslarini axborot maydonida targ‘ib etadi va rivojlanayotgan mamlakatlarda obro‘ va siyosiy izolatsiyani kamaytiradi. Tanqidchilar ta’kidlaganidek, GDI Xi uchun global normativ ta’sirni kengaytirish va hamkor </w:t>
      </w:r>
    </w:p>
    <w:p w14:paraId="59331672">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davlatlarda siyosiy sodiqlikni shakllantirish vositasi bo‘lishi mumkin. Biroq GDI amaliy jihatdan pandemiya davrida vaksina va tibbiy yordam ko‘rsatish kabi aniq foydali tashabbuslar orqali imidjini allaqachon kuchaytirib olgan.</w:t>
      </w:r>
    </w:p>
    <w:p w14:paraId="7510714A">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705EEE24">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Global Security Initiative (GSI) tashabbusiga yuzlanadigan bo’lsak , </w:t>
      </w:r>
      <w:r>
        <w:rPr>
          <w:rFonts w:hint="default" w:eastAsia="Helvetica" w:cs="Helvetica" w:asciiTheme="minorAscii" w:hAnsiTheme="minorAscii"/>
          <w:color w:val="000000"/>
          <w:kern w:val="0"/>
          <w:sz w:val="24"/>
          <w:szCs w:val="24"/>
          <w:lang w:val="en-US" w:eastAsia="zh-CN" w:bidi="ar"/>
        </w:rPr>
        <w:t>GSI 2022–2023 yillarda Xitoy tomonidan e’lon qilingan va 2023 yil fevral-mart oylarida rasmiy konsept qog‘oz shaklida chop etildi. GSIning markaziy g‘oyasi «umumiy, to‘liq, hamkorlikka asoslangan va barqaror xavfsizlik»ni ilgari surishdir. Bu konsepsiya an’anaviy xavfsizlik doktrinalaridan farq qiladi va davlatlar xavfsizligini o‘zaro bog‘liq, siyosiy dialog orqali hal qilishga chaqiradi. GSI aniq institutsional mexanizmlarga yetarlicha ega emas:. Chunki uning tamoyillari keng va idealistik bo‘lib, real siyosiy ziddiyatlarda qanday tatbiq etilishiga oid savollarga  qoladi. Markaziy maqsadlardan biri — G‘arbning ko‘plab xavfsizlik tuzilmalariga muqobil epistemologiyani taklif qilish va o‘zining hamkorlik doirasini kengaytirishdir. GSI orqali Pekin xavfsizlik hamkorliklarini rivojlantirish, tinchlik missiyalari yoki mintaqaviy xavfsizlik tashabbuslarini ilgari surish orqali xalqaro sahnada o‘z o‘rnini oshirishni ko‘zlamoqda. Tanqidchilar GSIni G‘arbiy liberal xavfsizlik arxitekturasiga alternativ yarashish intilishi deb baholaydilar; shu bilan birga, uni amalga oshirishda Xitoyning o‘zi qanday rol o‘ynashi, boshqa davlatlar bilan mos keluvchi huquqiy mexanizmlarni qanday ishlab chiqishi tartibga solinishi kerakligini savol ostiga oladilar.</w:t>
      </w:r>
    </w:p>
    <w:p w14:paraId="77EA5AD1">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26CC94F7">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Global Civilization Initiative (GCI) : Global kuch va Yumshoq kuch mavzusiga yuzlanadigan bo’lsak , </w:t>
      </w:r>
      <w:r>
        <w:rPr>
          <w:rFonts w:hint="default" w:eastAsia="Helvetica" w:cs="Helvetica" w:asciiTheme="minorAscii" w:hAnsiTheme="minorAscii"/>
          <w:color w:val="000000"/>
          <w:kern w:val="0"/>
          <w:sz w:val="24"/>
          <w:szCs w:val="24"/>
          <w:lang w:val="en-US" w:eastAsia="zh-CN" w:bidi="ar"/>
        </w:rPr>
        <w:t>GCI 2023-yilda e’lon qilindi va madaniy almashinuv, qadriyatlararo dialog va sivilizatsiyalararo o‘zaro o‘rganish orqali global muloqotni kuchaytirishni taklif etadi. GCI Xitoyning tashqi siyosatidagi «yumshoq kuch» elementini ifodalaydi . Masalan madaniy almashinuv, ta’lim va yoshlar dasturlari, vizani osonlashtirish va xalqaro media hamkorliklari orqali Xitoy o‘z obrazini shakllantirmoqchi. GCIning amaliy choralariga grantlar, madaniy markazlar, yoshlar almashinuvlari va madaniy tadbirlar kiradi. U Xitoyga o‘z «sivilizatsiyasi» nuqtai nazaridan global diskursni boyitish va boshqa davlatlarda madaniy, ideologik ta’sirni oshirish imkonini beradi. Tanqidchilar GCIni «universallik» deb atalmish g‘arbiy qadriyatlarning muqobilligiga o‘xshash deb baholashadi va u orqali Pekinning ideologik ta’siri oshishi mumkinligidan xavotir bildiradi. GCI mintaqaviy va global sohada ijtimoiy kapitalni yaratadi, biroq uning natijasida yuzaga keladigan qarama-qarshi diskurslar ham mavjud. Bular , qayerda va qanday qadriyatlarga urg‘u berilishi lozimligi haqida global bahslar kuchayadi. Bu tashabbus Xitoyning yumshoq kuchining bir qismi desak ham mubolag’a bo’lmaydi .</w:t>
      </w:r>
    </w:p>
    <w:p w14:paraId="26A9750F">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0866522A">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Tashabbuslarning o’zaro bog’liqligi va ularning Markaziy Osiyoga ta’siriga yuzlanadigan bo’lsak , ushbu to‘rt tashabbus bir-birini to‘ldiradi: BRI iqtisodiy va infratuzilma bog‘lanishini, GDI rivojlanish yordamini va hamkorlikni, GSI xavfsizlik doirasini va GCI esa madaniy va yumshoq kuch elementlarini mustahkamlashni maqsad qiladi. Birgalikda ular Pekin uchun kompleks tashqi siyosat paketini tashkil etadi. Markaziy Osiyo nuqtai nazaridan BRI infratuzilma, energetika va transport loyihalari orqali iqtisodiy imkoniyatlar yaratadi. Masalan temir yo‘l koridorlari, gaz va neft quvurlari va strategik portlar orqali eksport va tranzit samaradorligi oshadi. GDI orqali esa qishloq xo‘jaligi, sog‘liqni saqlash va malaka oshirish loyihalari mintaqaviy barqarorlikni mustahkamlashi mumkin. GSI hududiy xavfsizlikning muhim jihatlarini yoritishi va GCI madaniy almashinuv orqali ijtimoiy va madaniy aloqalarni kengaytiradi. Ammo mintaqa uchun xavflar ham mavjud . Bular iqtisodiy mustaqillikning zaiflashishi, qarz yukining ortishi va geosiyosiy raqobat , ayniqsa Rossiya va G‘arb bilan munosabatlar doirasida — yangi tushunmovchiliklarga sabab bo‘lishi mumkin.Lekin ushbu tashabbuslar orqali Markaziy Osiyo mamlakatlari har tomonlama katta yuksalishlarga erishishlari mumkin bo’ladi va hozirgi kunda bularning bir qismiga erishdilar ham . </w:t>
      </w:r>
    </w:p>
    <w:p w14:paraId="19842F70">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538D2A60">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Xitoyning global tartibga ta’siri va ushbu tashabbuslar orqali Xitoyning asosiy niyatlariga keladigan bo’lsak , Ushbu tashabbuslar Xitoyning global tartibni qayta shakllantirishga bo‘lgan intilishini ko‘rsatadi. Pekin iqtisodiy va siyosiy vositalar orqali multipolar tizimni kuchaytirishni, xalqaro me’yor va qoidalarni o‘ziga xos tarzda interpretatsiya qilishni maqsad qilmoqda. BRI orqali iqtisodiy ta’sir, GDI orqali rivojlanish normativlari, GSI orqali xavfsizlik paradigmalari va GCI orqali madaniy diskursni shakllantirish — bular barchasi global hukmronlik muhitida Xitoy o‘rnini mustahkamlashga xizmat qiladi. G‘arb davlatlari va xalqaro institutlar bu tashabbuslarni kuzatib, ba’zi sohalarda hamkorlik qilmoqda . Biroq xavotirlar ham mavjud . Bular :shaffoflik, atrof-muhitga ta’sir, inson huquqlari va qarz barqarorligi masalalari ustuvor. Shu bois, Xitoyning global aspiratsiyalari xalqaro hamkorlikni ham talab qiladi. Rivojlanish va xavfsizlik bo‘yicha munozaralar, loyihalarning baholanishi va kuchli institutlar bilan ochiq muloqot zarurdir.</w:t>
      </w:r>
    </w:p>
    <w:p w14:paraId="59A8D327">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65555265">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Xulosa qilib aytadigan bo’lsak , Si Szinpinning BRI, GDI, GSI va GCI tashabbuslari birgalikda Xitoyning global sahnadagi strategiyasining turli qirralarini qamrab oladi. Ular iqtisodiy integratsiya, rivojlanish hamkorligi, xavfsizlik paradigmalari va madaniy diplomatiya orqali Pekinning ta’sirini kengaytirish niyatida. Ushbu paket mintaqaviy va global darajada yangi imkoniyatlar yaratadi, lekin xavflar va tanqidlarni ham hisobga olish lozim. Kelajakda bu tashabbuslarning muvaffaqiyati qanchalik hamkorlik, shaffoflik va barqarorlik tamoyillariga rioya qilinishiga bog‘liq bo‘ladi.Bu esa xalqaro maydonda ochiq va samimiy aloqalrning o’rnatilishini talab qiladi . </w:t>
      </w:r>
    </w:p>
    <w:p w14:paraId="4F1A956F">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73E376EB">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19154BD0">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3D203723">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219B1982">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37067EC9">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6D20BBC9">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05B5A002">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2B817BFD">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62534E43">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7EDC965D">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0DA18CB6">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56D6803A">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4F67E9CC">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18231217">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45C2BB75">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57F56402">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7731902E">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0879EF5F">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32809902">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7BF5CDF3">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05F8D004">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1C82EBF9">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7E686884">
      <w:pPr>
        <w:keepNext w:val="0"/>
        <w:keepLines w:val="0"/>
        <w:widowControl/>
        <w:suppressLineNumbers w:val="0"/>
        <w:spacing w:line="360" w:lineRule="auto"/>
        <w:jc w:val="left"/>
        <w:rPr>
          <w:rFonts w:hint="default" w:eastAsia="Helvetica Bold" w:cs="Helvetica Bold" w:asciiTheme="minorAscii" w:hAnsiTheme="minorAscii"/>
          <w:b/>
          <w:bCs/>
          <w:color w:val="000000"/>
          <w:kern w:val="0"/>
          <w:sz w:val="24"/>
          <w:szCs w:val="24"/>
          <w:lang w:val="en-US" w:eastAsia="zh-CN" w:bidi="ar"/>
        </w:rPr>
      </w:pPr>
    </w:p>
    <w:p w14:paraId="65195297">
      <w:pPr>
        <w:keepNext w:val="0"/>
        <w:keepLines w:val="0"/>
        <w:widowControl/>
        <w:suppressLineNumbers w:val="0"/>
        <w:spacing w:line="360" w:lineRule="auto"/>
        <w:jc w:val="left"/>
        <w:rPr>
          <w:rFonts w:hint="default" w:asciiTheme="minorAscii" w:hAnsiTheme="minorAscii"/>
          <w:sz w:val="24"/>
          <w:szCs w:val="24"/>
        </w:rPr>
      </w:pPr>
      <w:bookmarkStart w:id="0" w:name="_GoBack"/>
      <w:bookmarkEnd w:id="0"/>
      <w:r>
        <w:rPr>
          <w:rFonts w:hint="default" w:eastAsia="Helvetica Bold" w:cs="Helvetica Bold" w:asciiTheme="minorAscii" w:hAnsiTheme="minorAscii"/>
          <w:b/>
          <w:bCs/>
          <w:color w:val="000000"/>
          <w:kern w:val="0"/>
          <w:sz w:val="24"/>
          <w:szCs w:val="24"/>
          <w:lang w:val="en-US" w:eastAsia="zh-CN" w:bidi="ar"/>
        </w:rPr>
        <w:t xml:space="preserve">Foydalanilgan adabiyotlar: </w:t>
      </w:r>
    </w:p>
    <w:p w14:paraId="68DBD32B">
      <w:pPr>
        <w:keepNext w:val="0"/>
        <w:keepLines w:val="0"/>
        <w:widowControl/>
        <w:numPr>
          <w:ilvl w:val="0"/>
          <w:numId w:val="1"/>
        </w:numPr>
        <w:suppressLineNumbers w:val="0"/>
        <w:spacing w:line="360" w:lineRule="auto"/>
        <w:jc w:val="left"/>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Council on Foreign Relations. “China’s Massive Belt and Road Initiative.” (2024). </w:t>
      </w:r>
    </w:p>
    <w:p w14:paraId="41726527">
      <w:pPr>
        <w:keepNext w:val="0"/>
        <w:keepLines w:val="0"/>
        <w:widowControl/>
        <w:numPr>
          <w:ilvl w:val="0"/>
          <w:numId w:val="1"/>
        </w:numPr>
        <w:suppressLineNumbers w:val="0"/>
        <w:spacing w:line="360" w:lineRule="auto"/>
        <w:ind w:left="0" w:leftChars="0" w:firstLine="0" w:firstLineChars="0"/>
        <w:jc w:val="left"/>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Atlantic Council. “How Beijing’s Newest Global Initiatives Seek to Remake the World Order.” (2023). </w:t>
      </w:r>
    </w:p>
    <w:p w14:paraId="3AD20093">
      <w:pPr>
        <w:keepNext w:val="0"/>
        <w:keepLines w:val="0"/>
        <w:widowControl/>
        <w:numPr>
          <w:ilvl w:val="0"/>
          <w:numId w:val="1"/>
        </w:numPr>
        <w:suppressLineNumbers w:val="0"/>
        <w:spacing w:line="360" w:lineRule="auto"/>
        <w:ind w:left="0" w:leftChars="0" w:firstLine="0" w:firstLineChars="0"/>
        <w:jc w:val="left"/>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Chatham House. “China’s Belt and Road Initiative.” (2023). </w:t>
      </w:r>
    </w:p>
    <w:p w14:paraId="74FD3938">
      <w:pPr>
        <w:keepNext w:val="0"/>
        <w:keepLines w:val="0"/>
        <w:widowControl/>
        <w:numPr>
          <w:ilvl w:val="0"/>
          <w:numId w:val="1"/>
        </w:numPr>
        <w:suppressLineNumbers w:val="0"/>
        <w:spacing w:line="360" w:lineRule="auto"/>
        <w:ind w:left="0" w:leftChars="0" w:firstLine="0" w:firstLineChars="0"/>
        <w:jc w:val="left"/>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Ministry of Foreign Affairs of China. “Global Security Initiative Concept Paper.” (2022). </w:t>
      </w:r>
    </w:p>
    <w:p w14:paraId="2DC6C04C">
      <w:pPr>
        <w:keepNext w:val="0"/>
        <w:keepLines w:val="0"/>
        <w:widowControl/>
        <w:numPr>
          <w:ilvl w:val="0"/>
          <w:numId w:val="1"/>
        </w:numPr>
        <w:suppressLineNumbers w:val="0"/>
        <w:spacing w:line="360" w:lineRule="auto"/>
        <w:ind w:left="0" w:leftChars="0" w:firstLine="0" w:firstLineChars="0"/>
        <w:jc w:val="left"/>
        <w:rPr>
          <w:rFonts w:hint="default" w:eastAsia="Helvetica" w:cs="Helvetica" w:asciiTheme="minorAscii" w:hAnsiTheme="minorAscii"/>
          <w:color w:val="000000"/>
          <w:kern w:val="0"/>
          <w:sz w:val="24"/>
          <w:szCs w:val="24"/>
          <w:lang w:val="en-US" w:eastAsia="zh-CN" w:bidi="ar"/>
        </w:rPr>
      </w:pPr>
      <w:r>
        <w:rPr>
          <w:rFonts w:hint="default" w:eastAsia="Helvetica" w:cs="Helvetica" w:asciiTheme="minorAscii" w:hAnsiTheme="minorAscii"/>
          <w:color w:val="000000"/>
          <w:kern w:val="0"/>
          <w:sz w:val="24"/>
          <w:szCs w:val="24"/>
          <w:lang w:val="en-US" w:eastAsia="zh-CN" w:bidi="ar"/>
        </w:rPr>
        <w:t xml:space="preserve">The Young Diplomats. “Understanding the GDI, GSI, and GCI.” (2023). </w:t>
      </w:r>
    </w:p>
    <w:p w14:paraId="7B6DBD53">
      <w:pPr>
        <w:keepNext w:val="0"/>
        <w:keepLines w:val="0"/>
        <w:widowControl/>
        <w:numPr>
          <w:numId w:val="0"/>
        </w:numPr>
        <w:suppressLineNumbers w:val="0"/>
        <w:spacing w:line="360" w:lineRule="auto"/>
        <w:ind w:leftChars="0"/>
        <w:jc w:val="left"/>
        <w:rPr>
          <w:rFonts w:hint="default" w:asciiTheme="minorAscii" w:hAnsiTheme="minorAscii"/>
          <w:sz w:val="24"/>
          <w:szCs w:val="24"/>
        </w:rPr>
      </w:pPr>
      <w:r>
        <w:rPr>
          <w:rFonts w:hint="default" w:eastAsia="Helvetica" w:cs="Helvetica" w:asciiTheme="minorAscii" w:hAnsiTheme="minorAscii"/>
          <w:color w:val="000000"/>
          <w:kern w:val="0"/>
          <w:sz w:val="24"/>
          <w:szCs w:val="24"/>
          <w:lang w:val="en-US" w:eastAsia="zh-CN" w:bidi="ar"/>
        </w:rPr>
        <w:t>6. Central Asia Program. “OBOR in Central Asia.” (2023).</w:t>
      </w:r>
    </w:p>
    <w:p w14:paraId="1EBB40BA">
      <w:pPr>
        <w:keepNext w:val="0"/>
        <w:keepLines w:val="0"/>
        <w:widowControl/>
        <w:suppressLineNumbers w:val="0"/>
        <w:spacing w:line="360" w:lineRule="auto"/>
        <w:jc w:val="left"/>
        <w:rPr>
          <w:rFonts w:hint="default" w:eastAsia="Helvetica" w:cs="Helvetica" w:asciiTheme="minorAscii" w:hAnsiTheme="minorAscii"/>
          <w:color w:val="000000"/>
          <w:kern w:val="0"/>
          <w:sz w:val="24"/>
          <w:szCs w:val="24"/>
          <w:lang w:val="en-US" w:eastAsia="zh-CN" w:bidi="ar"/>
        </w:rPr>
      </w:pPr>
    </w:p>
    <w:p w14:paraId="78816288">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54C3643A">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4DDE35CF">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3F916F04">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03CA390F">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3DD0C0E3">
      <w:pPr>
        <w:keepNext w:val="0"/>
        <w:keepLines w:val="0"/>
        <w:widowControl/>
        <w:suppressLineNumbers w:val="0"/>
        <w:spacing w:line="360" w:lineRule="auto"/>
        <w:jc w:val="both"/>
        <w:rPr>
          <w:rFonts w:hint="default" w:eastAsia="Helvetica" w:cs="Helvetica" w:asciiTheme="minorAscii" w:hAnsiTheme="minorAscii"/>
          <w:color w:val="000000"/>
          <w:kern w:val="0"/>
          <w:sz w:val="24"/>
          <w:szCs w:val="24"/>
          <w:lang w:val="en-US" w:eastAsia="zh-CN" w:bidi="ar"/>
        </w:rPr>
      </w:pPr>
    </w:p>
    <w:p w14:paraId="56E24A63">
      <w:pPr>
        <w:keepNext w:val="0"/>
        <w:keepLines w:val="0"/>
        <w:widowControl/>
        <w:suppressLineNumbers w:val="0"/>
        <w:spacing w:line="360" w:lineRule="auto"/>
        <w:jc w:val="both"/>
        <w:rPr>
          <w:rFonts w:hint="default" w:eastAsia="Roboto" w:cs="Roboto" w:asciiTheme="minorAscii" w:hAnsiTheme="minorAscii"/>
          <w:i w:val="0"/>
          <w:iCs w:val="0"/>
          <w:caps w:val="0"/>
          <w:color w:val="1D2125"/>
          <w:spacing w:val="0"/>
          <w:kern w:val="0"/>
          <w:sz w:val="24"/>
          <w:szCs w:val="24"/>
          <w:u w:val="none"/>
          <w:shd w:val="clear" w:fill="F8F9FA"/>
          <w:lang w:val="en-US" w:eastAsia="zh-CN" w:bidi="ar"/>
        </w:rPr>
      </w:pPr>
    </w:p>
    <w:p w14:paraId="2A937896">
      <w:pPr>
        <w:spacing w:line="360" w:lineRule="auto"/>
        <w:jc w:val="both"/>
        <w:rPr>
          <w:rFonts w:hint="default" w:asciiTheme="minorAscii" w:hAnsiTheme="minorAscii"/>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roman"/>
    <w:pitch w:val="variable"/>
    <w:sig w:usb0="00000003" w:usb1="288F0000" w:usb2="00000016" w:usb3="00000000" w:csb0="00040001" w:csb1="00000000"/>
  </w:font>
  <w:font w:name="Roboto">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w:panose1 w:val="00000000000000000000"/>
    <w:charset w:val="00"/>
    <w:family w:val="auto"/>
    <w:pitch w:val="default"/>
    <w:sig w:usb0="E00002FF" w:usb1="5000785B" w:usb2="00000000" w:usb3="00000000" w:csb0="2000019F" w:csb1="4F010000"/>
  </w:font>
  <w:font w:name="Helvetica Oblique">
    <w:panose1 w:val="00000000000000000000"/>
    <w:charset w:val="00"/>
    <w:family w:val="auto"/>
    <w:pitch w:val="default"/>
    <w:sig w:usb0="E00002FF" w:usb1="5000785B" w:usb2="00000000" w:usb3="00000000" w:csb0="2000019F" w:csb1="4F010000"/>
  </w:font>
  <w:font w:name="Helvetica Bold">
    <w:panose1 w:val="00000000000000000000"/>
    <w:charset w:val="00"/>
    <w:family w:val="auto"/>
    <w:pitch w:val="default"/>
    <w:sig w:usb0="E00002FF" w:usb1="5000785B" w:usb2="00000000" w:usb3="00000000" w:csb0="2000019F" w:csb1="4F010000"/>
  </w:font>
  <w:font w:name="Zapf Dingbats">
    <w:panose1 w:val="05020102010704020609"/>
    <w:charset w:val="00"/>
    <w:family w:val="auto"/>
    <w:pitch w:val="default"/>
    <w:sig w:usb0="00000000" w:usb1="00000000" w:usb2="00000000" w:usb3="00000000" w:csb0="00000000" w:csb1="00000000"/>
  </w:font>
  <w:font w:name="Tamil MN Regular">
    <w:panose1 w:val="00000500000000000000"/>
    <w:charset w:val="00"/>
    <w:family w:val="auto"/>
    <w:pitch w:val="default"/>
    <w:sig w:usb0="00100001"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Bodoni 72 Book">
    <w:panose1 w:val="00000400000000000000"/>
    <w:charset w:val="00"/>
    <w:family w:val="auto"/>
    <w:pitch w:val="default"/>
    <w:sig w:usb0="00000003" w:usb1="00000000" w:usb2="00000000" w:usb3="00000000" w:csb0="00000001" w:csb1="00000000"/>
  </w:font>
  <w:font w:name="Hiragino Kaku Gothic Pro W3">
    <w:panose1 w:val="020B0300000000000000"/>
    <w:charset w:val="80"/>
    <w:family w:val="auto"/>
    <w:pitch w:val="default"/>
    <w:sig w:usb0="E00002FF" w:usb1="7AE7FFFF" w:usb2="00000012" w:usb3="00000000" w:csb0="0002000D" w:csb1="00000000"/>
  </w:font>
  <w:font w:name="Impact">
    <w:panose1 w:val="020B0806030902050204"/>
    <w:charset w:val="00"/>
    <w:family w:val="auto"/>
    <w:pitch w:val="default"/>
    <w:sig w:usb0="00000287" w:usb1="00000000" w:usb2="00000000" w:usb3="00000000" w:csb0="2000009F" w:csb1="DFD70000"/>
  </w:font>
  <w:font w:name="Diwan Kufi">
    <w:panose1 w:val="00000400000000000000"/>
    <w:charset w:val="00"/>
    <w:family w:val="auto"/>
    <w:pitch w:val="default"/>
    <w:sig w:usb0="00000003" w:usb1="00000000" w:usb2="00000000" w:usb3="00000000" w:csb0="00000001" w:csb1="00000000"/>
  </w:font>
  <w:font w:name="Calibri Light">
    <w:altName w:val="Helvetica Neue"/>
    <w:panose1 w:val="00000000000000000000"/>
    <w:charset w:val="00"/>
    <w:family w:val="auto"/>
    <w:pitch w:val="default"/>
    <w:sig w:usb0="00000000" w:usb1="00000000" w:usb2="00000000" w:usb3="00000000" w:csb0="00000000" w:csb1="00000000"/>
  </w:font>
  <w:font w:name="Gotu">
    <w:panose1 w:val="00000000000000000000"/>
    <w:charset w:val="00"/>
    <w:family w:val="auto"/>
    <w:pitch w:val="default"/>
    <w:sig w:usb0="A000807F" w:usb1="0000207B" w:usb2="00000000" w:usb3="00000000" w:csb0="20000193" w:csb1="00000000"/>
  </w:font>
  <w:font w:name="Georgia Regular">
    <w:panose1 w:val="0204050205040509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7F530D"/>
    <w:multiLevelType w:val="singleLevel"/>
    <w:tmpl w:val="ED7F530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70D5A"/>
    <w:rsid w:val="FFB70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55</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2025-11-08T18:52:00Z</dcterms:created>
  <dc:creator>Nodirbek Iskandarov</dc:creator>
  <cp:lastModifiedBy>Nodirbek Iskandarov</cp:lastModifiedBy>
  <dcterms:modified xsi:type="dcterms:W3CDTF">2025-11-08T19:47:29Z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2304646169D21CC40A4B0F69DC59443A_41</vt:lpwstr>
  </property>
</Properties>
</file>