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Chapitre 3 — Protocole MAC, Sécurité et Passage à l'Échelle</w:t>
      </w:r>
    </w:p>
    <w:p>
      <w:pPr/>
      <w:r>
        <w:t>Si le Chapitre 2 a analysé la couche physique LoRa (CSS, budget de liaison, SF), ce chapitre monte d'un niveau d'abstraction pour examiner le protocole d'accès au médium (MAC) LoRaWAN, son architecture de sécurité cryptographique, les contraintes réglementaires de Duty Cycle, la scalabilité du réseau selon les résultats de LoRaSim, et la couche de transport MQTT utilisée dans la stack expérimentale. Une comparaison critique des technologies LPWAN concurrentes clôt le chapitre.</w:t>
      </w:r>
    </w:p>
    <w:p>
      <w:pPr>
        <w:pStyle w:val="Heading2"/>
      </w:pPr>
      <w:r>
        <w:t>3.1  Structure MAC LoRaWAN : classes, trames et fenêtres de réception</w:t>
      </w:r>
    </w:p>
    <w:p>
      <w:pPr/>
      <w:r>
        <w:t>LoRaWAN définit trois classes d'opération pour les nœuds terminaux (End Devices), chacune répondant à un compromis différent entre latence descendante et consommation énergétique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Classe</w:t>
            </w:r>
          </w:p>
        </w:tc>
        <w:tc>
          <w:tcPr>
            <w:tcW w:type="dxa" w:w="2160"/>
          </w:tcPr>
          <w:p>
            <w:r>
              <w:rPr>
                <w:b/>
              </w:rPr>
              <w:t>Comportement réception</w:t>
            </w:r>
          </w:p>
        </w:tc>
        <w:tc>
          <w:tcPr>
            <w:tcW w:type="dxa" w:w="2160"/>
          </w:tcPr>
          <w:p>
            <w:r>
              <w:rPr>
                <w:b/>
              </w:rPr>
              <w:t>Latence downlink</w:t>
            </w:r>
          </w:p>
        </w:tc>
        <w:tc>
          <w:tcPr>
            <w:tcW w:type="dxa" w:w="2160"/>
          </w:tcPr>
          <w:p>
            <w:r>
              <w:rPr>
                <w:b/>
              </w:rPr>
              <w:t>Consommation</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A (All)</w:t>
            </w:r>
          </w:p>
        </w:tc>
        <w:tc>
          <w:tcPr>
            <w:tcW w:type="dxa" w:w="2160"/>
          </w:tcPr>
          <w:p>
            <w:r>
              <w:t>RX1 + RX2 après chaque uplink uniquement</w:t>
            </w:r>
          </w:p>
        </w:tc>
        <w:tc>
          <w:tcPr>
            <w:tcW w:type="dxa" w:w="2160"/>
          </w:tcPr>
          <w:p>
            <w:r>
              <w:t>Variable (après prochain uplink)</w:t>
            </w:r>
          </w:p>
        </w:tc>
        <w:tc>
          <w:tcPr>
            <w:tcW w:type="dxa" w:w="2160"/>
          </w:tcPr>
          <w:p>
            <w:r>
              <w:t>Minimale — nœud en veille profonde</w:t>
            </w:r>
          </w:p>
        </w:tc>
      </w:tr>
      <w:tr>
        <w:tc>
          <w:tcPr>
            <w:tcW w:type="dxa" w:w="2160"/>
          </w:tcPr>
          <w:p>
            <w:r>
              <w:t>B (Beacon)</w:t>
            </w:r>
          </w:p>
        </w:tc>
        <w:tc>
          <w:tcPr>
            <w:tcW w:type="dxa" w:w="2160"/>
          </w:tcPr>
          <w:p>
            <w:r>
              <w:t>Créneaux RX périodiques synchronisés sur beacon gateway</w:t>
            </w:r>
          </w:p>
        </w:tc>
        <w:tc>
          <w:tcPr>
            <w:tcW w:type="dxa" w:w="2160"/>
          </w:tcPr>
          <w:p>
            <w:r>
              <w:t>Prévisible (&lt; 128 s)</w:t>
            </w:r>
          </w:p>
        </w:tc>
        <w:tc>
          <w:tcPr>
            <w:tcW w:type="dxa" w:w="2160"/>
          </w:tcPr>
          <w:p>
            <w:r>
              <w:t>Intermédiaire</w:t>
            </w:r>
          </w:p>
        </w:tc>
      </w:tr>
      <w:tr>
        <w:tc>
          <w:tcPr>
            <w:tcW w:type="dxa" w:w="2160"/>
          </w:tcPr>
          <w:p>
            <w:r>
              <w:t>C (Continuous)</w:t>
            </w:r>
          </w:p>
        </w:tc>
        <w:tc>
          <w:tcPr>
            <w:tcW w:type="dxa" w:w="2160"/>
          </w:tcPr>
          <w:p>
            <w:r>
              <w:t>Réception quasi-continue, sauf pendant l'émission</w:t>
            </w:r>
          </w:p>
        </w:tc>
        <w:tc>
          <w:tcPr>
            <w:tcW w:type="dxa" w:w="2160"/>
          </w:tcPr>
          <w:p>
            <w:r>
              <w:t>Quasi-nulle (&lt; 1 s)</w:t>
            </w:r>
          </w:p>
        </w:tc>
        <w:tc>
          <w:tcPr>
            <w:tcW w:type="dxa" w:w="2160"/>
          </w:tcPr>
          <w:p>
            <w:r>
              <w:t>Maximale — batterie inadaptée</w:t>
            </w:r>
          </w:p>
        </w:tc>
      </w:tr>
    </w:tbl>
    <w:p/>
    <w:p>
      <w:pPr/>
      <w:r>
        <w:t>Pour un capteur de ruche sur batterie, la Classe A est impérative. Le cycle d'une trame Classe A se déroule ainsi : le nœud émet un uplink (UL), puis ouvre deux fenêtres de réception successives. RX1 s'ouvre exactement RECEIVE_DELAY1 secondes après la fin de l'uplink (valeur par défaut : 1 s) sur la même fréquence et le même SF. RX2 s'ouvre RECEIVE_DELAY2 secondes après l'UL (défaut : 2 s) sur un canal de secours fixe à 869,525 MHz, SF12, pour maximiser la portée du downlink. Si le Network Server n'a pas de commande à envoyer, les deux fenêtres se ferment sans activité radio. Ce mécanisme permet au nœud de dormir l'essentiel du temps, consommant &lt; 1 µA en veille contre ~45 mA en émission.</w:t>
      </w:r>
    </w:p>
    <w:p>
      <w:pPr/>
      <w:r>
        <w:t>La structure d'une trame LoRaWAN (PHYPayload) est la suivante :</w:t>
      </w:r>
    </w:p>
    <w:p>
      <w:pPr>
        <w:spacing w:before="80" w:after="80"/>
        <w:jc w:val="center"/>
      </w:pPr>
      <w:r>
        <w:rPr>
          <w:rFonts w:ascii="Courier New" w:hAnsi="Courier New"/>
          <w:sz w:val="20"/>
        </w:rPr>
        <w:t>PHYPayload = MHDR (1B) | MACPayload | MIC (4B)</w:t>
        <w:br/>
        <w:t>MACPayload  = FHDR (7–22B) | FPort (1B, optionnel) | FRMPayload (données chiffrées)</w:t>
        <w:br/>
        <w:t>FHDR        = DevAddr (4B) | FCtrl (1B) | FCnt (2B) | FOpts (0–15B)</w:t>
      </w:r>
    </w:p>
    <w:p>
      <w:pPr/>
      <w:r>
        <w:t>Le champ FCnt (Frame Counter) est critique pour la sécurité : il prévient les attaques par rejeu en invalidant tout paquet dont le compteur n'est pas strictement supérieur au dernier compteur reçu. Le MIC (Message Integrity Code) de 4 octets est calculé par AES-128 CMAC sur l'intégralité de la trame, garantissant l'intégrité et l'authenticité. Le FRMPayload est chiffré séparément par AES-128 CTR mode, assurant la confidentialité des données capteur. Ces deux opérations cryptographiques utilisent des clés distinctes, détaillées en section 3.3.</w:t>
      </w:r>
    </w:p>
    <w:p>
      <w:pPr>
        <w:jc w:val="center"/>
      </w:pPr>
      <w:r>
        <w:rPr>
          <w:b/>
          <w:i/>
        </w:rPr>
        <w:t>[FIGURE 3 : Structure d'une trame LoRaWAN (PHYPayload) : décomposition des champs MHDR, FHDR (DevAddr, FCnt, FOpts), FPort, FRMPayload chiffré AES-128 CTR et MIC AES-128 CMAC (4B)]</w:t>
      </w:r>
    </w:p>
    <w:p>
      <w:pPr>
        <w:pStyle w:val="Heading2"/>
      </w:pPr>
      <w:r>
        <w:t>3.2  Contrainte Duty Cycle ISM 868 MHz et débit utile</w:t>
      </w:r>
    </w:p>
    <w:p>
      <w:pPr/>
      <w:r>
        <w:t>La bande ISM 868 MHz utilisée en Europe est soumise à la réglementation ETSI EN 300 220-2 V3.2.1, qui impose un Duty Cycle (DC) maximum par sous-bande. Pour la sous-bande principale 868,0–868,6 MHz (canaux obligatoires LoRaWAN), le DC est limité à 1 % — soit 36 secondes d'émission autorisée par heure. Pour la sous-bande 869,4–869,65 MHz (canal RX2 secours), le DC monte à 10 %, mais avec une puissance limitée à 27 dBm EIRP.</w:t>
      </w:r>
    </w:p>
    <w:p>
      <w:pPr/>
      <w:r>
        <w:t>Le débit utile maximal par nœud en uplink est donc borné par :</w:t>
      </w:r>
    </w:p>
    <w:p>
      <w:pPr>
        <w:spacing w:before="80" w:after="80"/>
        <w:jc w:val="center"/>
      </w:pPr>
      <w:r>
        <w:rPr>
          <w:rFonts w:ascii="Courier New" w:hAnsi="Courier New"/>
          <w:sz w:val="20"/>
        </w:rPr>
        <w:t>Débit_max = DC × (Payload_max / ToA) = 0,01 × (51 B / ToA_SF)</w:t>
        <w:br/>
        <w:t>→ SF7  : 0,01 × (20 B / 51 ms)  ≈ 3,9 msg/min  (intervalle min : 5,1 s)</w:t>
        <w:br/>
        <w:t>→ SF12 : 0,01 × (20 B / 1318 ms) ≈ 0,45 msg/min (intervalle min : 132 s)</w:t>
      </w:r>
    </w:p>
    <w:p>
      <w:pPr/>
      <w:r>
        <w:t>Dans notre expérimentation, le paramètre PUBLISH_INTERVAL_SECONDS est fixé à 5 s pour le dataset H1 — à la limite basse du DC réglementaire pour SF7. Cette valeur n'est pas réaliste pour un vrai déploiement LoRaWAN en SF élevé : elle a été choisie pour générer un volume de données suffisant (5 216 points sur 8 h) pour les calculs de métriques. En production, l'intervalle réaliste de 60 s utilisé pour le dataset H2 est bien plus représentatif d'un nœud LoRaWAN conforme ETSI en SF9–SF10.</w:t>
      </w:r>
    </w:p>
    <w:p>
      <w:pPr/>
      <w:r>
        <w:t>Cette contrainte réglementaire a également un impact sur la conception du système d'alerte : un nœud LoRaWAN ne peut pas augmenter dynamiquement sa cadence d'envoi lors d'un essaimage détecté localement pour accélérer la remontée d'information — il reste borné par le DC. Certaines implémentations avancées contournent ce problème par un mécanisme de 'burst reporting' sur la sous-bande 10 % (869,5 MHz), mais cette fonctionnalité n'est pas standardisée dans LoRaWAN v1.0.x.</w:t>
      </w:r>
    </w:p>
    <w:p>
      <w:pPr>
        <w:pStyle w:val="Heading2"/>
      </w:pPr>
      <w:r>
        <w:t>3.3  Architecture de sécurité LoRaWAN</w:t>
      </w:r>
    </w:p>
    <w:p>
      <w:pPr>
        <w:pStyle w:val="Heading3"/>
      </w:pPr>
      <w:r>
        <w:t>Procédures d'activation : OTAA vs ABP</w:t>
      </w:r>
    </w:p>
    <w:p>
      <w:pPr/>
      <w:r>
        <w:t>LoRaWAN définit deux mécanismes d'activation des nœuds terminaux :</w:t>
      </w:r>
    </w:p>
    <w:p>
      <w:pPr/>
      <w:r>
        <w:t>Over-The-Air Activation (OTAA) : le nœud émet une trame Join-Request contenant son DevEUI (identifiant unique 64 bits, analogue à une adresse MAC), son AppEUI (identifiant de l'application) et un DevNonce aléatoire 16 bits anti-rejeu. Le Join Server valide la requête via un MIC calculé avec l'AppKey (clé racine 128 bits, pré-provisionnée). En cas de succès, il génère deux clés de session dérivées par KDF (Key Derivation Function) : NwkSKey (Network Session Key, pour le MIC MAC) et AppSKey (Application Session Key, pour le chiffrement FRMPayload). Ces clés sont renouvelées à chaque Join-Request, ce qui offre une forward secrecy partielle.</w:t>
      </w:r>
    </w:p>
    <w:p>
      <w:pPr/>
      <w:r>
        <w:t>Activation By Personalization (ABP) : les clés NwkSKey, AppSKey et le DevAddr sont provisionnées statiquement en mémoire flash du nœud. Bien que plus simple à déployer, ABP présente un risque de sécurité majeur : l'absence de renouvellement de clés et la vulnérabilité au dépassement du compteur FCnt (en cas de reset du nœud, les paquets sont rejetés par le NS car FCnt repart de 0). Pour un capteur de ruche en déploiement pluriannuel, OTAA est fortement recommandé.</w:t>
      </w:r>
    </w:p>
    <w:p>
      <w:pPr>
        <w:pStyle w:val="Heading3"/>
      </w:pPr>
      <w:r>
        <w:t>Chiffrement et intégrité : AES-128 double couche</w:t>
      </w:r>
    </w:p>
    <w:p>
      <w:pPr/>
      <w:r>
        <w:t>La sécurité LoRaWAN repose sur AES-128 appliqué en deux opérations distinctes sur chaque trame uplink :</w:t>
      </w:r>
    </w:p>
    <w:p>
      <w:pPr/>
      <w:r>
        <w:t>1. Chiffrement du FRMPayload (confidentialité) : le payload applicatif est chiffré par AES-128 en mode CTR (Counter mode) avec l'AppSKey comme clé. Le vecteur d'initialisation incorpore DevAddr, FCnt et la direction (uplink/downlink), garantissant l'unicité du keystream par message. Le mode CTR transforme AES en chiffrement de flux, permettant de traiter des payloads de longueur variable sans padding. Pour un payload de 20 octets (poids + température + timestamp), un seul bloc AES-128 suffit.</w:t>
      </w:r>
    </w:p>
    <w:p>
      <w:pPr/>
      <w:r>
        <w:t>2. Calcul du MIC (intégrité et authenticité) : le Message Integrity Code de 4 octets est calculé par AES-128 CMAC (Cipher-based MAC, RFC 4493) sur la trame complète (MHDR + FHDR + FPort + FRMPayload chiffré) avec la NwkSKey. Le résultat de 16 octets est tronqué aux 4 premiers octets. Le Network Server recalcule le MIC à la réception et rejette toute trame dont le MIC ne correspond pas. Cette troncature à 4 octets implique une probabilité de collision de 2^{-32} ≈ 2,3×10^{-10} par paquet — négligeable pour un nœud émettant 1 paquet par minute.</w:t>
      </w:r>
    </w:p>
    <w:p>
      <w:pPr>
        <w:pStyle w:val="Heading3"/>
      </w:pPr>
      <w:r>
        <w:t>Pertinence pour les données agricoles sensibles</w:t>
      </w:r>
    </w:p>
    <w:p>
      <w:pPr/>
      <w:r>
        <w:t>Dans le contexte de l'apiculture connectée, les données IoT (masse, température, localisation GPS de la ruche) ont une valeur commerciale et sécuritaire non négligeable : elles permettent d'identifier précisément quand une ruche est pleine (pic de masse juste avant l'essaimage) et donc vulnérable au vol. Le chiffrement AES-128 embarqué dans LoRaWAN protège ces données en transit sur le canal radio. Toutefois, la sécurité de bout en bout (nœud → application cliente de l'apiculteur) dépend de la sécurisation du Join Server, du Application Server et des API REST en aval — éléments hors périmètre de notre stack expérimentale. Dans notre implémentation MQTT, les messages transitent en clair sur le broker Mosquitto local (QoS 0, sans TLS) : acceptable en lab isolé, inacceptable en déploiement production.</w:t>
      </w:r>
    </w:p>
    <w:p>
      <w:pPr/>
      <w:r>
        <w:t>Le document éthique du projet [docs/ethique.md] soulève également la question de la gouvernance des données apicoles : une anonymisation régionale des poids collectés pourrait permettre de partager ces données avec des organismes de recherche (CNRS, INRAE) pour le suivi de l'impact du dérèglement climatique sur les floraisons, tout en protégeant l'identité et la localisation des apiculteurs participants.</w:t>
      </w:r>
    </w:p>
    <w:p>
      <w:pPr>
        <w:pStyle w:val="Heading2"/>
      </w:pPr>
      <w:r>
        <w:t>3.4  Scalabilité et résultats LoRaSim</w:t>
      </w:r>
    </w:p>
    <w:p>
      <w:pPr/>
      <w:r>
        <w:t>La question de la scalabilité de LoRaWAN est traitée quantitativement par Bor et al. [5] via LoRaSim, le premier simulateur de réseau LoRaWAN à grande échelle publié dans la littérature académique. Les auteurs modélisent un réseau de N nœuds (N variant de 1 à 5 000) autour d'un unique gateway, avec un intervalle de publication fixe et différents SF. Leurs résultats mettent en évidence trois régimes opérationnels distincts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Nb nœuds (même GW)</w:t>
            </w:r>
          </w:p>
        </w:tc>
        <w:tc>
          <w:tcPr>
            <w:tcW w:type="dxa" w:w="2880"/>
          </w:tcPr>
          <w:p>
            <w:r>
              <w:rPr>
                <w:b/>
              </w:rPr>
              <w:t>PDR observé (SF mixte)</w:t>
            </w:r>
          </w:p>
        </w:tc>
        <w:tc>
          <w:tcPr>
            <w:tcW w:type="dxa" w:w="2880"/>
          </w:tcPr>
          <w:p>
            <w:r>
              <w:rPr>
                <w:b/>
              </w:rPr>
              <w:t>Cause principale de dégradation</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&lt; 50</w:t>
            </w:r>
          </w:p>
        </w:tc>
        <w:tc>
          <w:tcPr>
            <w:tcW w:type="dxa" w:w="2880"/>
          </w:tcPr>
          <w:p>
            <w:r>
              <w:t>&gt; 95 %</w:t>
            </w:r>
          </w:p>
        </w:tc>
        <w:tc>
          <w:tcPr>
            <w:tcW w:type="dxa" w:w="2880"/>
          </w:tcPr>
          <w:p>
            <w:r>
              <w:t>Collisions quasi-nulles, DC non contraignant</w:t>
            </w:r>
          </w:p>
        </w:tc>
      </w:tr>
      <w:tr>
        <w:tc>
          <w:tcPr>
            <w:tcW w:type="dxa" w:w="2880"/>
          </w:tcPr>
          <w:p>
            <w:r>
              <w:t>50 – 500</w:t>
            </w:r>
          </w:p>
        </w:tc>
        <w:tc>
          <w:tcPr>
            <w:tcW w:type="dxa" w:w="2880"/>
          </w:tcPr>
          <w:p>
            <w:r>
              <w:t>50 – 90 %</w:t>
            </w:r>
          </w:p>
        </w:tc>
        <w:tc>
          <w:tcPr>
            <w:tcW w:type="dxa" w:w="2880"/>
          </w:tcPr>
          <w:p>
            <w:r>
              <w:t>Collisions en mode Aloha (même SF, même canal)</w:t>
            </w:r>
          </w:p>
        </w:tc>
      </w:tr>
      <w:tr>
        <w:tc>
          <w:tcPr>
            <w:tcW w:type="dxa" w:w="2880"/>
          </w:tcPr>
          <w:p>
            <w:r>
              <w:t>&gt; 500</w:t>
            </w:r>
          </w:p>
        </w:tc>
        <w:tc>
          <w:tcPr>
            <w:tcW w:type="dxa" w:w="2880"/>
          </w:tcPr>
          <w:p>
            <w:r>
              <w:t>&lt; 50 %</w:t>
            </w:r>
          </w:p>
        </w:tc>
        <w:tc>
          <w:tcPr>
            <w:tcW w:type="dxa" w:w="2880"/>
          </w:tcPr>
          <w:p>
            <w:r>
              <w:t>Saturation DC gateway, collisions en cascade</w:t>
            </w:r>
          </w:p>
        </w:tc>
      </w:tr>
    </w:tbl>
    <w:p/>
    <w:p>
      <w:pPr/>
      <w:r>
        <w:t>Le mécanisme principal de dégradation sous forte charge n'est pas le bruit thermique ou l'affaiblissement de trajet, mais la collision MAC en mode ALOHA pur : LoRaWAN n'implémente pas de mécanisme de collision avoidance (pas de CSMA). Deux nœuds émettant simultanément sur le même canal et le même SF produisent une collision irréversible. La fenêtre de collision est égale au Time-on-Air (51 ms pour SF7, 1 318 ms pour SF12), ce qui explique pourquoi SF élevé aggrave significativement le taux de collision en réseau dense.</w:t>
      </w:r>
    </w:p>
    <w:p>
      <w:pPr/>
      <w:r>
        <w:t>Ces résultats justifient directement les valeurs PDR choisies dans notre expérimentation. Pour un rucher isolé opérant avec 1 à 5 nœuds sur un gateway privé (configuration typique d'un apiculteur), le PDR nominal de 0,90 est conservateur : en pratique, on s'attendrait à PDR ≈ 0,95–0,99 en l'absence de voisins. La valeur PDR = 0,65 simule un environnement combinant forte atténuation par le feuillage (path-loss additionnel de 15–25 dB en été) et une présence éventuelle d'autres nœuds LoRaWAN partagés sur le même gateway communautaire (The Things Network, Helium).</w:t>
      </w:r>
    </w:p>
    <w:p>
      <w:pPr/>
      <w:r>
        <w:t>Un résultat complémentaire de LoRaSim concerne l'hétérogénéité des SF : une politique d'ADR bien configurée qui force les nœuds proches sur SF7 et les nœuds éloignés sur SF12 peut maintenir le PDR du réseau au-dessus de 80 % jusqu'à N = 1 000 nœuds, contre un effondrement à 30 % avec SF12 homogène. Cette insight justifie l'importance de l'ADR (§ 2.3) pour toute architecture LoRaWAN à plus de 50 nœuds.</w:t>
      </w:r>
    </w:p>
    <w:p>
      <w:pPr>
        <w:pStyle w:val="Heading2"/>
      </w:pPr>
      <w:r>
        <w:t>3.5  MQTT comme couche de transport locale</w:t>
      </w:r>
    </w:p>
    <w:p>
      <w:pPr/>
      <w:r>
        <w:t>Dans notre architecture, MQTT (Message Queuing Telemetry Transport, OASIS Standard v5.0) joue le rôle de couche de transport entre le simulateur biophysique (random_data_publisher.py) et la base de données time-series (mqtt_to_influx.py → InfluxDB). Ce choix est justifié par plusieurs propriétés du protocole adaptées à l'IoT temps réel :</w:t>
      </w:r>
    </w:p>
    <w:p>
      <w:pPr/>
      <w:r>
        <w:t>Architecture publish/subscribe découplée : le publisher et le subscriber ne connaissent pas leurs adresses respectives — seul le topic MQTT les relie. Cela permet de plugger un nouvel abonné (ex. un second algorithme de détection ou une alerte SMS) sans modifier le publisher, respectant le principe d'ouverture/fermeture de l'architecture logicielle.</w:t>
      </w:r>
    </w:p>
    <w:p>
      <w:pPr/>
      <w:r>
        <w:t>Niveaux de QoS : MQTT définit trois niveaux de qualité de service. QoS 0 (At most once) est utilisé dans notre implémentation : le message est envoyé une fois sans acquittement. Cette configuration est intentionnelle — elle mime le comportement natif de LoRaWAN où les paquets perdus ne sont pas retransmis automatiquement (contrainte Duty Cycle). QoS 1 (At least once) garantirait la livraison au prix de doublons potentiels ; QoS 2 (Exactly once) évite les doublons mais quadruple le nombre d'échanges réseau — inadapté à un nœud LoRaWAN.</w:t>
      </w:r>
    </w:p>
    <w:p>
      <w:pPr/>
      <w:r>
        <w:t>Légèreté du protocole : l'overhead MQTT est de 2 octets fixes + longueur du topic en entête fixe, soit ~20 octets pour notre topic `hive/ruche-01/telemetry`. Comparé aux 13+ octets d'overhead LoRaWAN (FHDR + MIC) sur un payload de 20 octets, la fraction utile reste comparable. En revanche, MQTT sur TCP introduit une latence de connexion (handshake TCP + CONNECT/CONNACK) qui, dans notre contexte local (broker Mosquitto sur le même réseau Docker), est négligeable (&lt; 1 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Critère</w:t>
            </w:r>
          </w:p>
        </w:tc>
        <w:tc>
          <w:tcPr>
            <w:tcW w:type="dxa" w:w="2160"/>
          </w:tcPr>
          <w:p>
            <w:r>
              <w:rPr>
                <w:b/>
              </w:rPr>
              <w:t>MQTT (QoS 0)</w:t>
            </w:r>
          </w:p>
        </w:tc>
        <w:tc>
          <w:tcPr>
            <w:tcW w:type="dxa" w:w="2160"/>
          </w:tcPr>
          <w:p>
            <w:r>
              <w:rPr>
                <w:b/>
              </w:rPr>
              <w:t>CoAP (UDP)</w:t>
            </w:r>
          </w:p>
        </w:tc>
        <w:tc>
          <w:tcPr>
            <w:tcW w:type="dxa" w:w="2160"/>
          </w:tcPr>
          <w:p>
            <w:r>
              <w:rPr>
                <w:b/>
              </w:rPr>
              <w:t>AMQP 1.0</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Transport</w:t>
            </w:r>
          </w:p>
        </w:tc>
        <w:tc>
          <w:tcPr>
            <w:tcW w:type="dxa" w:w="2160"/>
          </w:tcPr>
          <w:p>
            <w:r>
              <w:t>TCP</w:t>
            </w:r>
          </w:p>
        </w:tc>
        <w:tc>
          <w:tcPr>
            <w:tcW w:type="dxa" w:w="2160"/>
          </w:tcPr>
          <w:p>
            <w:r>
              <w:t>UDP</w:t>
            </w:r>
          </w:p>
        </w:tc>
        <w:tc>
          <w:tcPr>
            <w:tcW w:type="dxa" w:w="2160"/>
          </w:tcPr>
          <w:p>
            <w:r>
              <w:t>TCP</w:t>
            </w:r>
          </w:p>
        </w:tc>
      </w:tr>
      <w:tr>
        <w:tc>
          <w:tcPr>
            <w:tcW w:type="dxa" w:w="2160"/>
          </w:tcPr>
          <w:p>
            <w:r>
              <w:t>Overhead entête</w:t>
            </w:r>
          </w:p>
        </w:tc>
        <w:tc>
          <w:tcPr>
            <w:tcW w:type="dxa" w:w="2160"/>
          </w:tcPr>
          <w:p>
            <w:r>
              <w:t>~20 B</w:t>
            </w:r>
          </w:p>
        </w:tc>
        <w:tc>
          <w:tcPr>
            <w:tcW w:type="dxa" w:w="2160"/>
          </w:tcPr>
          <w:p>
            <w:r>
              <w:t>4 B minimum</w:t>
            </w:r>
          </w:p>
        </w:tc>
        <w:tc>
          <w:tcPr>
            <w:tcW w:type="dxa" w:w="2160"/>
          </w:tcPr>
          <w:p>
            <w:r>
              <w:t>~8 B + framing</w:t>
            </w:r>
          </w:p>
        </w:tc>
      </w:tr>
      <w:tr>
        <w:tc>
          <w:tcPr>
            <w:tcW w:type="dxa" w:w="2160"/>
          </w:tcPr>
          <w:p>
            <w:r>
              <w:t>Publish/Subscribe</w:t>
            </w:r>
          </w:p>
        </w:tc>
        <w:tc>
          <w:tcPr>
            <w:tcW w:type="dxa" w:w="2160"/>
          </w:tcPr>
          <w:p>
            <w:r>
              <w:t>Natif</w:t>
            </w:r>
          </w:p>
        </w:tc>
        <w:tc>
          <w:tcPr>
            <w:tcW w:type="dxa" w:w="2160"/>
          </w:tcPr>
          <w:p>
            <w:r>
              <w:t>Observe (RFC 7641)</w:t>
            </w:r>
          </w:p>
        </w:tc>
        <w:tc>
          <w:tcPr>
            <w:tcW w:type="dxa" w:w="2160"/>
          </w:tcPr>
          <w:p>
            <w:r>
              <w:t>Natif</w:t>
            </w:r>
          </w:p>
        </w:tc>
      </w:tr>
      <w:tr>
        <w:tc>
          <w:tcPr>
            <w:tcW w:type="dxa" w:w="2160"/>
          </w:tcPr>
          <w:p>
            <w:r>
              <w:t>Adapté IoT LPWAN</w:t>
            </w:r>
          </w:p>
        </w:tc>
        <w:tc>
          <w:tcPr>
            <w:tcW w:type="dxa" w:w="2160"/>
          </w:tcPr>
          <w:p>
            <w:r>
              <w:t>Oui (QoS 0)</w:t>
            </w:r>
          </w:p>
        </w:tc>
        <w:tc>
          <w:tcPr>
            <w:tcW w:type="dxa" w:w="2160"/>
          </w:tcPr>
          <w:p>
            <w:r>
              <w:t>Optimal (UDP)</w:t>
            </w:r>
          </w:p>
        </w:tc>
        <w:tc>
          <w:tcPr>
            <w:tcW w:type="dxa" w:w="2160"/>
          </w:tcPr>
          <w:p>
            <w:r>
              <w:t>Non (lourd)</w:t>
            </w:r>
          </w:p>
        </w:tc>
      </w:tr>
      <w:tr>
        <w:tc>
          <w:tcPr>
            <w:tcW w:type="dxa" w:w="2160"/>
          </w:tcPr>
          <w:p>
            <w:r>
              <w:t>Support TLS</w:t>
            </w:r>
          </w:p>
        </w:tc>
        <w:tc>
          <w:tcPr>
            <w:tcW w:type="dxa" w:w="2160"/>
          </w:tcPr>
          <w:p>
            <w:r>
              <w:t>Oui (MQTTS :8883)</w:t>
            </w:r>
          </w:p>
        </w:tc>
        <w:tc>
          <w:tcPr>
            <w:tcW w:type="dxa" w:w="2160"/>
          </w:tcPr>
          <w:p>
            <w:r>
              <w:t>Oui (DTLS)</w:t>
            </w:r>
          </w:p>
        </w:tc>
        <w:tc>
          <w:tcPr>
            <w:tcW w:type="dxa" w:w="2160"/>
          </w:tcPr>
          <w:p>
            <w:r>
              <w:t>Oui</w:t>
            </w:r>
          </w:p>
        </w:tc>
      </w:tr>
      <w:tr>
        <w:tc>
          <w:tcPr>
            <w:tcW w:type="dxa" w:w="2160"/>
          </w:tcPr>
          <w:p>
            <w:r>
              <w:t>Usage projet</w:t>
            </w:r>
          </w:p>
        </w:tc>
        <w:tc>
          <w:tcPr>
            <w:tcW w:type="dxa" w:w="2160"/>
          </w:tcPr>
          <w:p>
            <w:r>
              <w:t>Mosquitto local</w:t>
            </w:r>
          </w:p>
        </w:tc>
        <w:tc>
          <w:tcPr>
            <w:tcW w:type="dxa" w:w="2160"/>
          </w:tcPr>
          <w:p>
            <w:r>
              <w:t>Non retenu</w:t>
            </w:r>
          </w:p>
        </w:tc>
        <w:tc>
          <w:tcPr>
            <w:tcW w:type="dxa" w:w="2160"/>
          </w:tcPr>
          <w:p>
            <w:r>
              <w:t>Non retenu</w:t>
            </w:r>
          </w:p>
        </w:tc>
      </w:tr>
    </w:tbl>
    <w:p/>
    <w:p>
      <w:pPr/>
      <w:r>
        <w:t>Pour une migration vers un déploiement LoRaWAN réel (The Things Network), le publisher MQTT serait remplacé par un nœud LoRa physique + gateway TTN. TTN expose nativement un API MQTT permettant de s'abonner aux uplinks des dispositifs via le topic `v3/{app_id}/devices/{dev_id}/up` — sans aucune modification requise sur mqtt_to_influx.py ni la suite du pipeline. Cette portabilité est l'un des avantages architecturaux majeurs du découplage MQTT.</w:t>
      </w:r>
    </w:p>
    <w:p>
      <w:pPr>
        <w:pStyle w:val="Heading2"/>
      </w:pPr>
      <w:r>
        <w:t>3.6  Comparaison critique des technologies LPWAN</w:t>
      </w:r>
    </w:p>
    <w:p>
      <w:pPr/>
      <w:r>
        <w:t>Le choix de LoRaWAN comme protocole de référence pour ce projet s'inscrit dans un paysage LPWAN plus large. Le tableau suivant positionne LoRaWAN face à ses deux principaux concurrents académiques et industriels, sur les critères pertinents pour un déploiement apicole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Critère</w:t>
            </w:r>
          </w:p>
        </w:tc>
        <w:tc>
          <w:tcPr>
            <w:tcW w:type="dxa" w:w="2160"/>
          </w:tcPr>
          <w:p>
            <w:r>
              <w:rPr>
                <w:b/>
              </w:rPr>
              <w:t>LoRaWAN</w:t>
            </w:r>
          </w:p>
        </w:tc>
        <w:tc>
          <w:tcPr>
            <w:tcW w:type="dxa" w:w="2160"/>
          </w:tcPr>
          <w:p>
            <w:r>
              <w:rPr>
                <w:b/>
              </w:rPr>
              <w:t>Sigfox</w:t>
            </w:r>
          </w:p>
        </w:tc>
        <w:tc>
          <w:tcPr>
            <w:tcW w:type="dxa" w:w="2160"/>
          </w:tcPr>
          <w:p>
            <w:r>
              <w:rPr>
                <w:b/>
              </w:rPr>
              <w:t>NB-IoT (3GPP)</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Bande fréquence</w:t>
            </w:r>
          </w:p>
        </w:tc>
        <w:tc>
          <w:tcPr>
            <w:tcW w:type="dxa" w:w="2160"/>
          </w:tcPr>
          <w:p>
            <w:r>
              <w:t>ISM libre (868 MHz EU)</w:t>
            </w:r>
          </w:p>
        </w:tc>
        <w:tc>
          <w:tcPr>
            <w:tcW w:type="dxa" w:w="2160"/>
          </w:tcPr>
          <w:p>
            <w:r>
              <w:t>ISM libre (868 MHz EU)</w:t>
            </w:r>
          </w:p>
        </w:tc>
        <w:tc>
          <w:tcPr>
            <w:tcW w:type="dxa" w:w="2160"/>
          </w:tcPr>
          <w:p>
            <w:r>
              <w:t>Licenciée (bandes LTE)</w:t>
            </w:r>
          </w:p>
        </w:tc>
      </w:tr>
      <w:tr>
        <w:tc>
          <w:tcPr>
            <w:tcW w:type="dxa" w:w="2160"/>
          </w:tcPr>
          <w:p>
            <w:r>
              <w:t>Débit montant</w:t>
            </w:r>
          </w:p>
        </w:tc>
        <w:tc>
          <w:tcPr>
            <w:tcW w:type="dxa" w:w="2160"/>
          </w:tcPr>
          <w:p>
            <w:r>
              <w:t>0,3–5,5 kbps</w:t>
            </w:r>
          </w:p>
        </w:tc>
        <w:tc>
          <w:tcPr>
            <w:tcW w:type="dxa" w:w="2160"/>
          </w:tcPr>
          <w:p>
            <w:r>
              <w:t>100 bps (12 B/msg max)</w:t>
            </w:r>
          </w:p>
        </w:tc>
        <w:tc>
          <w:tcPr>
            <w:tcW w:type="dxa" w:w="2160"/>
          </w:tcPr>
          <w:p>
            <w:r>
              <w:t>20–127 kbps</w:t>
            </w:r>
          </w:p>
        </w:tc>
      </w:tr>
      <w:tr>
        <w:tc>
          <w:tcPr>
            <w:tcW w:type="dxa" w:w="2160"/>
          </w:tcPr>
          <w:p>
            <w:r>
              <w:t>Portée rurale</w:t>
            </w:r>
          </w:p>
        </w:tc>
        <w:tc>
          <w:tcPr>
            <w:tcW w:type="dxa" w:w="2160"/>
          </w:tcPr>
          <w:p>
            <w:r>
              <w:t>2–15 km</w:t>
            </w:r>
          </w:p>
        </w:tc>
        <w:tc>
          <w:tcPr>
            <w:tcW w:type="dxa" w:w="2160"/>
          </w:tcPr>
          <w:p>
            <w:r>
              <w:t>3–50 km</w:t>
            </w:r>
          </w:p>
        </w:tc>
        <w:tc>
          <w:tcPr>
            <w:tcW w:type="dxa" w:w="2160"/>
          </w:tcPr>
          <w:p>
            <w:r>
              <w:t>1–10 km (indoor ++)</w:t>
            </w:r>
          </w:p>
        </w:tc>
      </w:tr>
      <w:tr>
        <w:tc>
          <w:tcPr>
            <w:tcW w:type="dxa" w:w="2160"/>
          </w:tcPr>
          <w:p>
            <w:r>
              <w:t>Sécurité</w:t>
            </w:r>
          </w:p>
        </w:tc>
        <w:tc>
          <w:tcPr>
            <w:tcW w:type="dxa" w:w="2160"/>
          </w:tcPr>
          <w:p>
            <w:r>
              <w:t>AES-128 OTAA (bout-réseau)</w:t>
            </w:r>
          </w:p>
        </w:tc>
        <w:tc>
          <w:tcPr>
            <w:tcW w:type="dxa" w:w="2160"/>
          </w:tcPr>
          <w:p>
            <w:r>
              <w:t>AES-128 (réseau Sigfox)</w:t>
            </w:r>
          </w:p>
        </w:tc>
        <w:tc>
          <w:tcPr>
            <w:tcW w:type="dxa" w:w="2160"/>
          </w:tcPr>
          <w:p>
            <w:r>
              <w:t>LTE-grade (bout-bout)</w:t>
            </w:r>
          </w:p>
        </w:tc>
      </w:tr>
      <w:tr>
        <w:tc>
          <w:tcPr>
            <w:tcW w:type="dxa" w:w="2160"/>
          </w:tcPr>
          <w:p>
            <w:r>
              <w:t>Msgs/jour max</w:t>
            </w:r>
          </w:p>
        </w:tc>
        <w:tc>
          <w:tcPr>
            <w:tcW w:type="dxa" w:w="2160"/>
          </w:tcPr>
          <w:p>
            <w:r>
              <w:t>~1 400 (DC 1 %)</w:t>
            </w:r>
          </w:p>
        </w:tc>
        <w:tc>
          <w:tcPr>
            <w:tcW w:type="dxa" w:w="2160"/>
          </w:tcPr>
          <w:p>
            <w:r>
              <w:t>140 uplink / 4 downlink</w:t>
            </w:r>
          </w:p>
        </w:tc>
        <w:tc>
          <w:tcPr>
            <w:tcW w:type="dxa" w:w="2160"/>
          </w:tcPr>
          <w:p>
            <w:r>
              <w:t>Illimité (abonnement)</w:t>
            </w:r>
          </w:p>
        </w:tc>
      </w:tr>
      <w:tr>
        <w:tc>
          <w:tcPr>
            <w:tcW w:type="dxa" w:w="2160"/>
          </w:tcPr>
          <w:p>
            <w:r>
              <w:t>Coût infrastructure</w:t>
            </w:r>
          </w:p>
        </w:tc>
        <w:tc>
          <w:tcPr>
            <w:tcW w:type="dxa" w:w="2160"/>
          </w:tcPr>
          <w:p>
            <w:r>
              <w:t>Gateway ~100 €</w:t>
            </w:r>
          </w:p>
        </w:tc>
        <w:tc>
          <w:tcPr>
            <w:tcW w:type="dxa" w:w="2160"/>
          </w:tcPr>
          <w:p>
            <w:r>
              <w:t>Abonnement réseau</w:t>
            </w:r>
          </w:p>
        </w:tc>
        <w:tc>
          <w:tcPr>
            <w:tcW w:type="dxa" w:w="2160"/>
          </w:tcPr>
          <w:p>
            <w:r>
              <w:t>Opérateur télécom</w:t>
            </w:r>
          </w:p>
        </w:tc>
      </w:tr>
      <w:tr>
        <w:tc>
          <w:tcPr>
            <w:tcW w:type="dxa" w:w="2160"/>
          </w:tcPr>
          <w:p>
            <w:r>
              <w:t>Déploiement privé</w:t>
            </w:r>
          </w:p>
        </w:tc>
        <w:tc>
          <w:tcPr>
            <w:tcW w:type="dxa" w:w="2160"/>
          </w:tcPr>
          <w:p>
            <w:r>
              <w:t>Oui (gateway TTN/perso)</w:t>
            </w:r>
          </w:p>
        </w:tc>
        <w:tc>
          <w:tcPr>
            <w:tcW w:type="dxa" w:w="2160"/>
          </w:tcPr>
          <w:p>
            <w:r>
              <w:t>Non (réseau fermé)</w:t>
            </w:r>
          </w:p>
        </w:tc>
        <w:tc>
          <w:tcPr>
            <w:tcW w:type="dxa" w:w="2160"/>
          </w:tcPr>
          <w:p>
            <w:r>
              <w:t>Non (réseau opérateur)</w:t>
            </w:r>
          </w:p>
        </w:tc>
      </w:tr>
      <w:tr>
        <w:tc>
          <w:tcPr>
            <w:tcW w:type="dxa" w:w="2160"/>
          </w:tcPr>
          <w:p>
            <w:r>
              <w:t>Pertinence apicole</w:t>
            </w:r>
          </w:p>
        </w:tc>
        <w:tc>
          <w:tcPr>
            <w:tcW w:type="dxa" w:w="2160"/>
          </w:tcPr>
          <w:p>
            <w:r>
              <w:t>Optimal</w:t>
            </w:r>
          </w:p>
        </w:tc>
        <w:tc>
          <w:tcPr>
            <w:tcW w:type="dxa" w:w="2160"/>
          </w:tcPr>
          <w:p>
            <w:r>
              <w:t>Limité (140 msg/j)</w:t>
            </w:r>
          </w:p>
        </w:tc>
        <w:tc>
          <w:tcPr>
            <w:tcW w:type="dxa" w:w="2160"/>
          </w:tcPr>
          <w:p>
            <w:r>
              <w:t>Trop coûteux, couverture rurale limitée</w:t>
            </w:r>
          </w:p>
        </w:tc>
      </w:tr>
    </w:tbl>
    <w:p/>
    <w:p>
      <w:pPr/>
      <w:r>
        <w:t>La capacité de déploiement d'un réseau LoRaWAN privé (gateway à ~100 € permettant de couvrir un rayon de 5–10 km) est un atout décisif pour les apiculteurs opérant dans des zones rurales sans couverture NB-IoT. La limite de 140 messages par jour de Sigfox (contre ~1 400 pour LoRaWAN en DC 1 %) exclut toute surveillance à intervalles inférieurs à 10 minutes, incompatible avec la détection d'essaimage qui requiert une résolution temporelle de 1 à 5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