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1906"/>
            <w:shd w:val="clear" w:color="auto" w:fill="1B3A5C"/>
          </w:tcPr>
          <w:p>
            <w:pPr>
              <w:spacing w:before="0" w:after="0"/>
              <w:jc w:val="center"/>
            </w:pPr>
            <w:r>
              <w:rPr>
                <w:sz w:val="56"/>
              </w:rPr>
              <w:br/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UNIVERSITÉ SAVOIE MONT BLANC</w:t>
            </w:r>
          </w:p>
          <w:p>
            <w:pPr>
              <w:spacing w:after="360"/>
              <w:jc w:val="center"/>
            </w:pPr>
            <w:r>
              <w:rPr>
                <w:rFonts w:ascii="Calibri" w:hAnsi="Calibri"/>
                <w:color w:val="CCD6E8"/>
                <w:sz w:val="20"/>
              </w:rPr>
              <w:t>Master 2 Réseaux &amp; Télécommunications  —  ETRS012 Intelligence Ambiante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val="clear" w:color="auto" w:fill="D4A017"/>
          </w:tcPr>
          <w:p>
            <w:pPr>
              <w:spacing w:before="0" w:after="0"/>
            </w:pPr>
            <w:r>
              <w:rPr>
                <w:sz w:val="8"/>
              </w:rPr>
              <w:t xml:space="preserve"> </w:t>
            </w:r>
          </w:p>
        </w:tc>
      </w:tr>
    </w:tbl>
    <w:p/>
    <w:p>
      <w:pPr>
        <w:spacing w:before="200" w:after="120"/>
        <w:jc w:val="center"/>
      </w:pPr>
      <w:r>
        <w:rPr>
          <w:sz w:val="104"/>
        </w:rPr>
        <w:t>🐝</w:t>
      </w:r>
    </w:p>
    <w:p>
      <w:pPr>
        <w:spacing w:before="0" w:after="0"/>
        <w:jc w:val="center"/>
      </w:pPr>
      <w:r>
        <w:rPr>
          <w:rFonts w:ascii="Calibri" w:hAnsi="Calibri"/>
          <w:b/>
          <w:color w:val="1B3A5C"/>
          <w:sz w:val="64"/>
        </w:rPr>
        <w:t>Jumeau Numérique</w:t>
      </w:r>
    </w:p>
    <w:p>
      <w:pPr>
        <w:spacing w:before="0" w:after="160"/>
        <w:jc w:val="center"/>
      </w:pPr>
      <w:r>
        <w:rPr>
          <w:rFonts w:ascii="Calibri" w:hAnsi="Calibri"/>
          <w:b/>
          <w:color w:val="1B3A5C"/>
          <w:sz w:val="64"/>
        </w:rPr>
        <w:t>d'une Ruche Connectée</w:t>
      </w:r>
    </w:p>
    <w:p>
      <w:pPr>
        <w:spacing w:after="400"/>
        <w:jc w:val="center"/>
      </w:pPr>
      <w:r>
        <w:rPr>
          <w:rFonts w:ascii="Calibri" w:hAnsi="Calibri"/>
          <w:b w:val="0"/>
          <w:i/>
          <w:color w:val="D4A017"/>
          <w:sz w:val="32"/>
        </w:rPr>
        <w:t>Analyse R&amp;D d'un système IoT LoRaWAN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val="clear" w:color="auto" w:fill="D4A017"/>
          </w:tcPr>
          <w:p>
            <w:pPr>
              <w:spacing w:before="0" w:after="0"/>
            </w:pPr>
            <w:r>
              <w:rPr>
                <w:sz w:val="6"/>
              </w:rP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val="clear" w:color="auto" w:fill="F2F4F7"/>
            <w:tcBorders>
              <w:top w:val="single" w:sz="12" w:color="D4A017"/>
              <w:bottom w:val="single" w:sz="12" w:color="D4A017"/>
              <w:left w:val="single" w:sz="12" w:color="1B3A5C"/>
              <w:right w:val="single" w:sz="12" w:color="1B3A5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 xml:space="preserve">Auteur :  </w:t>
            </w:r>
            <w:r>
              <w:rPr>
                <w:rFonts w:ascii="Calibri" w:hAnsi="Calibri"/>
                <w:color w:val="4A4A4A"/>
                <w:sz w:val="22"/>
              </w:rPr>
              <w:t>Noé Gavillet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 xml:space="preserve">Module :  </w:t>
            </w:r>
            <w:r>
              <w:rPr>
                <w:rFonts w:ascii="Calibri" w:hAnsi="Calibri"/>
                <w:color w:val="4A4A4A"/>
                <w:sz w:val="22"/>
              </w:rPr>
              <w:t>ETRS012 — Intelligence Ambiante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 xml:space="preserve">Encadrement :  </w:t>
            </w:r>
            <w:r>
              <w:rPr>
                <w:rFonts w:ascii="Calibri" w:hAnsi="Calibri"/>
                <w:color w:val="4A4A4A"/>
                <w:sz w:val="22"/>
              </w:rPr>
              <w:t>Université Savoie Mont Blanc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 xml:space="preserve">Date :  </w:t>
            </w:r>
            <w:r>
              <w:rPr>
                <w:rFonts w:ascii="Calibri" w:hAnsi="Calibri"/>
                <w:color w:val="4A4A4A"/>
                <w:sz w:val="22"/>
              </w:rPr>
              <w:t>Avril 2026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 xml:space="preserve">Version :  </w:t>
            </w:r>
            <w:r>
              <w:rPr>
                <w:rFonts w:ascii="Calibri" w:hAnsi="Calibri"/>
                <w:color w:val="4A4A4A"/>
                <w:sz w:val="22"/>
              </w:rPr>
              <w:t>1.0 — Dossier Technique R&amp;D (20 pages)</w:t>
            </w:r>
          </w:p>
          <w:p>
            <w:pPr>
              <w:spacing w:after="120"/>
            </w:pPr>
          </w:p>
        </w:tc>
      </w:tr>
    </w:tbl>
    <w:p/>
    <w:p>
      <w:pPr>
        <w:spacing w:after="0"/>
        <w:jc w:val="center"/>
      </w:pPr>
      <w:r>
        <w:rPr>
          <w:b/>
          <w:color w:val="1B3A5C"/>
          <w:sz w:val="20"/>
        </w:rPr>
        <w:t xml:space="preserve">Mots-clés : </w:t>
      </w:r>
      <w:r>
        <w:rPr>
          <w:i/>
          <w:color w:val="4A4A4A"/>
          <w:sz w:val="20"/>
        </w:rPr>
        <w:t>LoRaWAN · Digital Twin · LPWAN · IoT · Apiculture de précision · Détection d'essaimage · BEEHAVE · Séries temporelles · AES-128 · MQTT · InfluxDB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67"/>
        <w:gridCol w:w="5102"/>
      </w:tblGrid>
      <w:tr>
        <w:tc>
          <w:tcPr>
            <w:tcW w:type="dxa" w:w="4080"/>
            <w:shd w:val="clear" w:color="auto" w:fill="1B3A5C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color w:val="CCD6E8"/>
                <w:sz w:val="18"/>
              </w:rPr>
              <w:t xml:space="preserve">  ETRS012 — 2025/2026</w:t>
            </w:r>
          </w:p>
        </w:tc>
        <w:tc>
          <w:tcPr>
            <w:tcW w:type="dxa" w:w="4080"/>
            <w:shd w:val="clear" w:color="auto" w:fill="D4A017"/>
          </w:tcPr>
          <w:p>
            <w:pPr>
              <w:spacing w:before="0" w:after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type="dxa" w:w="4080"/>
            <w:shd w:val="clear" w:color="auto" w:fill="1B3A5C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CCD6E8"/>
                <w:sz w:val="18"/>
              </w:rPr>
              <w:t xml:space="preserve">Confidentiel — Usage académique  </w:t>
            </w:r>
          </w:p>
        </w:tc>
      </w:tr>
    </w:tbl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