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2 — Analyse de la Couche Physique et de la Modulation</w:t>
      </w:r>
    </w:p>
    <w:p>
      <w:pPr/>
      <w:r>
        <w:t>Ce chapitre examine en détail la couche physique (PHY) du standard LoRa, de la modulation Chirp Spread Spectrum (CSS) jusqu'au budget de liaison et à l'algorithme d'adaptation de débit (ADR). L'analyse conduit à une formalisation rigoureuse du modèle de pertes radio utilisé dans l'expérimentation (PDR stochastique), et quantifie l'impact des choix de Spreading Factor sur la latence de détection d'essaimage.</w:t>
      </w:r>
    </w:p>
    <w:p>
      <w:pPr>
        <w:pStyle w:val="Heading2"/>
      </w:pPr>
      <w:r>
        <w:t>2.1  Modulation CSS et paramètres radio</w:t>
      </w:r>
    </w:p>
    <w:p>
      <w:pPr/>
      <w:r>
        <w:t>LoRa repose sur la modulation Chirp Spread Spectrum (CSS), brevetée par Semtech Corporation. Un chirp est un signal dont la fréquence varie linéairement dans le temps sur une bande passante B (Bandwidth) définie. La modulation de l'information est réalisée en faisant démarrer le chirp à différentes positions de phase initiale dans la bande — 2^SF positions possibles, SF désignant le Spreading Factor (facteur d'étalement). Cette propriété confère à la modulation CSS une résistance exceptionnelle aux interférences et au bruit : le signal LoRa peut être décodé à des SNR (Signal-to-Noise Ratio) pouvant atteindre −20 dB en SF12, bien en dessous du seuil thermique.</w:t>
      </w:r>
    </w:p>
    <w:p>
      <w:pPr/>
      <w:r>
        <w:t>Le standard LoRaWAN opère principalement en bande ISM 868 MHz (Europe, ETSI EN 300 220) et 915 MHz (Amérique du Nord). Les paramètres radio configurables sont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Paramètre</w:t>
            </w:r>
          </w:p>
        </w:tc>
        <w:tc>
          <w:tcPr>
            <w:tcW w:type="dxa" w:w="2880"/>
          </w:tcPr>
          <w:p>
            <w:r>
              <w:rPr>
                <w:b/>
              </w:rPr>
              <w:t>Plage / Valeurs</w:t>
            </w:r>
          </w:p>
        </w:tc>
        <w:tc>
          <w:tcPr>
            <w:tcW w:type="dxa" w:w="2880"/>
          </w:tcPr>
          <w:p>
            <w:r>
              <w:rPr>
                <w:b/>
              </w:rPr>
              <w:t>Impact principal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Spreading Factor (SF)</w:t>
            </w:r>
          </w:p>
        </w:tc>
        <w:tc>
          <w:tcPr>
            <w:tcW w:type="dxa" w:w="2880"/>
          </w:tcPr>
          <w:p>
            <w:r>
              <w:t>SF7 à SF12</w:t>
            </w:r>
          </w:p>
        </w:tc>
        <w:tc>
          <w:tcPr>
            <w:tcW w:type="dxa" w:w="2880"/>
          </w:tcPr>
          <w:p>
            <w:r>
              <w:t>Portée, débit, Time-on-Air</w:t>
            </w:r>
          </w:p>
        </w:tc>
      </w:tr>
      <w:tr>
        <w:tc>
          <w:tcPr>
            <w:tcW w:type="dxa" w:w="2880"/>
          </w:tcPr>
          <w:p>
            <w:r>
              <w:t>Bandwidth (BW)</w:t>
            </w:r>
          </w:p>
        </w:tc>
        <w:tc>
          <w:tcPr>
            <w:tcW w:type="dxa" w:w="2880"/>
          </w:tcPr>
          <w:p>
            <w:r>
              <w:t>125 kHz / 250 kHz / 500 kHz</w:t>
            </w:r>
          </w:p>
        </w:tc>
        <w:tc>
          <w:tcPr>
            <w:tcW w:type="dxa" w:w="2880"/>
          </w:tcPr>
          <w:p>
            <w:r>
              <w:t>Débit, résistance Doppler</w:t>
            </w:r>
          </w:p>
        </w:tc>
      </w:tr>
      <w:tr>
        <w:tc>
          <w:tcPr>
            <w:tcW w:type="dxa" w:w="2880"/>
          </w:tcPr>
          <w:p>
            <w:r>
              <w:t>Coding Rate (CR)</w:t>
            </w:r>
          </w:p>
        </w:tc>
        <w:tc>
          <w:tcPr>
            <w:tcW w:type="dxa" w:w="2880"/>
          </w:tcPr>
          <w:p>
            <w:r>
              <w:t>4/5, 4/6, 4/7, 4/8</w:t>
            </w:r>
          </w:p>
        </w:tc>
        <w:tc>
          <w:tcPr>
            <w:tcW w:type="dxa" w:w="2880"/>
          </w:tcPr>
          <w:p>
            <w:r>
              <w:t>Redondance FEC, robustesse</w:t>
            </w:r>
          </w:p>
        </w:tc>
      </w:tr>
      <w:tr>
        <w:tc>
          <w:tcPr>
            <w:tcW w:type="dxa" w:w="2880"/>
          </w:tcPr>
          <w:p>
            <w:r>
              <w:t>Tx Power</w:t>
            </w:r>
          </w:p>
        </w:tc>
        <w:tc>
          <w:tcPr>
            <w:tcW w:type="dxa" w:w="2880"/>
          </w:tcPr>
          <w:p>
            <w:r>
              <w:t>2 à 14 dBm (EIRP max 27 dBm)</w:t>
            </w:r>
          </w:p>
        </w:tc>
        <w:tc>
          <w:tcPr>
            <w:tcW w:type="dxa" w:w="2880"/>
          </w:tcPr>
          <w:p>
            <w:r>
              <w:t>Portée, consommation</w:t>
            </w:r>
          </w:p>
        </w:tc>
      </w:tr>
      <w:tr>
        <w:tc>
          <w:tcPr>
            <w:tcW w:type="dxa" w:w="2880"/>
          </w:tcPr>
          <w:p>
            <w:r>
              <w:t>Fréquence porteuse</w:t>
            </w:r>
          </w:p>
        </w:tc>
        <w:tc>
          <w:tcPr>
            <w:tcW w:type="dxa" w:w="2880"/>
          </w:tcPr>
          <w:p>
            <w:r>
              <w:t>868,1 / 868,3 / 868,5 MHz (EU)</w:t>
            </w:r>
          </w:p>
        </w:tc>
        <w:tc>
          <w:tcPr>
            <w:tcW w:type="dxa" w:w="2880"/>
          </w:tcPr>
          <w:p>
            <w:r>
              <w:t>Canal, Duty Cycle</w:t>
            </w:r>
          </w:p>
        </w:tc>
      </w:tr>
    </w:tbl>
    <w:p/>
    <w:p>
      <w:pPr/>
      <w:r>
        <w:t>Le débit binaire effectif Rs (symbols/s) est défini par Rs = BW / 2^SF. Le débit de données réel Rb intègre le Coding Rate : Rb = Rs × (CR/4+4). Pour BW = 125 kHz, CR = 4/5, le débit varie de 5,47 kbps (SF7) à 0,27 kbps (SF12). Cette plage de variation d'un facteur 20 illustre le compromis fondamental de LoRa : augmenter le SF améliore la sensibilité du récepteur (−137 dBm en SF12 vs −123 dBm en SF7) et donc la portée, mais multiplier le Time-on-Air (ToA) d'un facteur ~4 à chaque palier de SF. Ce n'est pas un point de réglage secondaire : pour un réseau avec Duty Cycle contraint à 1 %, le choix de SF12 peut réduire la cadence maximale d'envoi à un message toutes les 7 minutes pour un payload de 20 octets.</w:t>
      </w:r>
    </w:p>
    <w:p>
      <w:pPr>
        <w:jc w:val="center"/>
      </w:pPr>
      <w:r>
        <w:rPr>
          <w:b/>
          <w:i/>
        </w:rPr>
        <w:t>[FIGURE 2 : Spectre CSS LoRa : représentation temps-fréquence d'un chirp SF7 (large bande, durée courte) vs SF12 (étalement maximal, durée longue) — compromis débit/portée/ToA]</w:t>
      </w:r>
    </w:p>
    <w:p>
      <w:pPr>
        <w:pStyle w:val="Heading2"/>
      </w:pPr>
      <w:r>
        <w:t>2.2  Budget de liaison (Link Budget)</w:t>
      </w:r>
    </w:p>
    <w:p>
      <w:pPr/>
      <w:r>
        <w:t>Le budget de liaison quantifie la marge disponible entre la puissance émise et la sensibilité minimale du récepteur. Il constitue l'outil dimensionnant du déploiement réseau. La formulation générale en dB est :</w:t>
      </w:r>
    </w:p>
    <w:p>
      <w:pPr>
        <w:spacing w:before="80" w:after="80"/>
        <w:jc w:val="center"/>
      </w:pPr>
      <w:r>
        <w:rPr>
          <w:rFonts w:ascii="Courier New" w:hAnsi="Courier New"/>
          <w:sz w:val="20"/>
        </w:rPr>
        <w:t>Lmax (dB) = EIRP_TX + G_RX - Lseuil_RX - Ldivers</w:t>
      </w:r>
    </w:p>
    <w:p>
      <w:pPr/>
      <w:r>
        <w:t>Pour un nœud LoRa typique (SX1276, Tx = 14 dBm, antenne 0 dBi, câbles −1 dB) et une gateway avec sensibilité −137 dBm en SF12 :</w:t>
      </w:r>
    </w:p>
    <w:p>
      <w:pPr>
        <w:spacing w:before="80" w:after="80"/>
        <w:jc w:val="center"/>
      </w:pPr>
      <w:r>
        <w:rPr>
          <w:rFonts w:ascii="Courier New" w:hAnsi="Courier New"/>
          <w:sz w:val="20"/>
        </w:rPr>
        <w:t>Lmax = (14 - 1) + 2 - (-137) - 10 = 142 dB</w:t>
      </w:r>
    </w:p>
    <w:p>
      <w:pPr/>
      <w:r>
        <w:t>La perte de trajet en espace libre (Free Space Path Loss, FSPL) est donnée par l'équation de Friis : FSPL(dB) = 20·log10(d) + 20·log10(f) + 92,45 (avec d en km, f en GHz). À 868 MHz et 142 dB de budget, la portée théorique en espace libre est d'environ 50 km — irréaliste en conditions réelles.</w:t>
      </w:r>
    </w:p>
    <w:p>
      <w:pPr/>
      <w:r>
        <w:t>En milieu forestier ou semi-rural (contexte d'un rucher), le path-loss réel dépasse significativement le modèle espace libre. Le modèle empirique Okumura-Hata adapté aux fréquences sub-GHz en zone rurale donne :</w:t>
      </w:r>
    </w:p>
    <w:p>
      <w:pPr>
        <w:spacing w:before="80" w:after="80"/>
        <w:jc w:val="center"/>
      </w:pPr>
      <w:r>
        <w:rPr>
          <w:rFonts w:ascii="Courier New" w:hAnsi="Courier New"/>
          <w:sz w:val="20"/>
        </w:rPr>
        <w:t>L_rural(dB) = 69,55 + 26,16·log10(f_MHz) - 13,82·log10(h_eff) - C_H + (44,9 - 6,55·log10(h_eff))·log10(d_km)</w:t>
      </w:r>
    </w:p>
    <w:p>
      <w:pPr/>
      <w:r>
        <w:t>Pour f = 868 MHz, hauteur d'antenne gateway h_eff = 15 m, facteur de correction végétation C_H ≈ 4 dB : L_rural ≈ 115 + 35·log10(d_km). Avec Lmax = 142 dB, la portée réelle en zone boisée est estimée à 2–4 km, confirmant la pertinence de LoRaWAN pour des ruchers éloignés d'une gateway, contre moins de 200 m pour le Wi-Fi en conditions similaires.</w:t>
      </w:r>
    </w:p>
    <w:p>
      <w:pPr/>
      <w:r>
        <w:t>Dans notre implémentation, les indicateurs radio RSSI et SNR sont générés synthétiquement par le simulateur (via `random_data_publisher.py`) pour mimer un canal réel. Cette approche est cohérente avec la définition du périmètre du projet (pas de hardware LoRa physique) mais constitue une limite méthodologique importante : les valeurs RSSI/SNR synthétiques ne reflètent pas les corrélations temporelles d'un vrai canal propagation (évanouissements lents, ombrage).</w:t>
      </w:r>
    </w:p>
    <w:p>
      <w:pPr>
        <w:pStyle w:val="Heading2"/>
      </w:pPr>
      <w:r>
        <w:t>2.3  Adaptation de débit (ADR — Adaptive Data Rate)</w:t>
      </w:r>
    </w:p>
    <w:p>
      <w:pPr/>
      <w:r>
        <w:t>L'Adaptive Data Rate (ADR) est le mécanisme de contrôle de débit défini par la LoRaWAN Alliance (LoRaWAN® Specification v1.0.4, § 4.3.1). Son objectif est d'optimiser dynamiquement le Spreading Factor et la puissance d'émission de chaque nœud afin de maximiser la capacité réseau tout en maintenant une marge de liaison suffisante.</w:t>
      </w:r>
    </w:p>
    <w:p>
      <w:pPr/>
      <w:r>
        <w:t>Le Serveur Réseau (Network Server) maintient un historique glissant des 20 dernières trames reçues pour chaque nœud. Si le SNR moyen dépasse le seuil de confort du SF courant d'une marge SN_margin, le NS envoie une commande MAC LinkADRReq ordonnant au nœud de basculer vers un SF inférieur (débit plus élevé, ToA plus court, Duty Cycle libéré). Le gain en capacité réseau peut être substantiel : en forçant tous les nœuds proches à SF7 au lieu de SF12, le Time-on-Air est réduit d'un facteur ~22, multipliant d'autant la capacité effective de la gateway.</w:t>
      </w:r>
    </w:p>
    <w:p>
      <w:pPr/>
      <w:r>
        <w:t>Dans le contexte de notre projet, l'ADR n'est pas implémenté (SF fixe, PDR simulé côté publisher). Cette simplification est justifiée : un rucher isolé opère généralement avec un seul nœud par gateway, rendant l'optimisation ADR peu impactante sur la capacité. Toutefois, en déploiement multi-ruchers (&gt; 10 nœuds sur une même gateway), l'absence d'ADR deviendrait une contrainte opérationnelle significative, pouvant conduire à des collisions en mode ALOHA du MAC LoRaWAN.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SF</w:t>
            </w:r>
          </w:p>
        </w:tc>
        <w:tc>
          <w:tcPr>
            <w:tcW w:type="dxa" w:w="2160"/>
          </w:tcPr>
          <w:p>
            <w:r>
              <w:rPr>
                <w:b/>
              </w:rPr>
              <w:t>ToA pour 20B payload (ms)</w:t>
            </w:r>
          </w:p>
        </w:tc>
        <w:tc>
          <w:tcPr>
            <w:tcW w:type="dxa" w:w="2160"/>
          </w:tcPr>
          <w:p>
            <w:r>
              <w:rPr>
                <w:b/>
              </w:rPr>
              <w:t>Sensibilité (dBm)</w:t>
            </w:r>
          </w:p>
        </w:tc>
        <w:tc>
          <w:tcPr>
            <w:tcW w:type="dxa" w:w="2160"/>
          </w:tcPr>
          <w:p>
            <w:r>
              <w:rPr>
                <w:b/>
              </w:rPr>
              <w:t>Portée estimée forêt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SF7</w:t>
            </w:r>
          </w:p>
        </w:tc>
        <w:tc>
          <w:tcPr>
            <w:tcW w:type="dxa" w:w="2160"/>
          </w:tcPr>
          <w:p>
            <w:r>
              <w:t>51</w:t>
            </w:r>
          </w:p>
        </w:tc>
        <w:tc>
          <w:tcPr>
            <w:tcW w:type="dxa" w:w="2160"/>
          </w:tcPr>
          <w:p>
            <w:r>
              <w:t>−123</w:t>
            </w:r>
          </w:p>
        </w:tc>
        <w:tc>
          <w:tcPr>
            <w:tcW w:type="dxa" w:w="2160"/>
          </w:tcPr>
          <w:p>
            <w:r>
              <w:t>&lt; 1 km</w:t>
            </w:r>
          </w:p>
        </w:tc>
      </w:tr>
      <w:tr>
        <w:tc>
          <w:tcPr>
            <w:tcW w:type="dxa" w:w="2160"/>
          </w:tcPr>
          <w:p>
            <w:r>
              <w:t>SF8</w:t>
            </w:r>
          </w:p>
        </w:tc>
        <w:tc>
          <w:tcPr>
            <w:tcW w:type="dxa" w:w="2160"/>
          </w:tcPr>
          <w:p>
            <w:r>
              <w:t>93</w:t>
            </w:r>
          </w:p>
        </w:tc>
        <w:tc>
          <w:tcPr>
            <w:tcW w:type="dxa" w:w="2160"/>
          </w:tcPr>
          <w:p>
            <w:r>
              <w:t>−126</w:t>
            </w:r>
          </w:p>
        </w:tc>
        <w:tc>
          <w:tcPr>
            <w:tcW w:type="dxa" w:w="2160"/>
          </w:tcPr>
          <w:p>
            <w:r>
              <w:t>1–2 km</w:t>
            </w:r>
          </w:p>
        </w:tc>
      </w:tr>
      <w:tr>
        <w:tc>
          <w:tcPr>
            <w:tcW w:type="dxa" w:w="2160"/>
          </w:tcPr>
          <w:p>
            <w:r>
              <w:t>SF9</w:t>
            </w:r>
          </w:p>
        </w:tc>
        <w:tc>
          <w:tcPr>
            <w:tcW w:type="dxa" w:w="2160"/>
          </w:tcPr>
          <w:p>
            <w:r>
              <w:t>165</w:t>
            </w:r>
          </w:p>
        </w:tc>
        <w:tc>
          <w:tcPr>
            <w:tcW w:type="dxa" w:w="2160"/>
          </w:tcPr>
          <w:p>
            <w:r>
              <w:t>−129</w:t>
            </w:r>
          </w:p>
        </w:tc>
        <w:tc>
          <w:tcPr>
            <w:tcW w:type="dxa" w:w="2160"/>
          </w:tcPr>
          <w:p>
            <w:r>
              <w:t>2–3 km</w:t>
            </w:r>
          </w:p>
        </w:tc>
      </w:tr>
      <w:tr>
        <w:tc>
          <w:tcPr>
            <w:tcW w:type="dxa" w:w="2160"/>
          </w:tcPr>
          <w:p>
            <w:r>
              <w:t>SF10</w:t>
            </w:r>
          </w:p>
        </w:tc>
        <w:tc>
          <w:tcPr>
            <w:tcW w:type="dxa" w:w="2160"/>
          </w:tcPr>
          <w:p>
            <w:r>
              <w:t>329</w:t>
            </w:r>
          </w:p>
        </w:tc>
        <w:tc>
          <w:tcPr>
            <w:tcW w:type="dxa" w:w="2160"/>
          </w:tcPr>
          <w:p>
            <w:r>
              <w:t>−132</w:t>
            </w:r>
          </w:p>
        </w:tc>
        <w:tc>
          <w:tcPr>
            <w:tcW w:type="dxa" w:w="2160"/>
          </w:tcPr>
          <w:p>
            <w:r>
              <w:t>3–5 km</w:t>
            </w:r>
          </w:p>
        </w:tc>
      </w:tr>
      <w:tr>
        <w:tc>
          <w:tcPr>
            <w:tcW w:type="dxa" w:w="2160"/>
          </w:tcPr>
          <w:p>
            <w:r>
              <w:t>SF11</w:t>
            </w:r>
          </w:p>
        </w:tc>
        <w:tc>
          <w:tcPr>
            <w:tcW w:type="dxa" w:w="2160"/>
          </w:tcPr>
          <w:p>
            <w:r>
              <w:t>700</w:t>
            </w:r>
          </w:p>
        </w:tc>
        <w:tc>
          <w:tcPr>
            <w:tcW w:type="dxa" w:w="2160"/>
          </w:tcPr>
          <w:p>
            <w:r>
              <w:t>−134</w:t>
            </w:r>
          </w:p>
        </w:tc>
        <w:tc>
          <w:tcPr>
            <w:tcW w:type="dxa" w:w="2160"/>
          </w:tcPr>
          <w:p>
            <w:r>
              <w:t>5–8 km</w:t>
            </w:r>
          </w:p>
        </w:tc>
      </w:tr>
      <w:tr>
        <w:tc>
          <w:tcPr>
            <w:tcW w:type="dxa" w:w="2160"/>
          </w:tcPr>
          <w:p>
            <w:r>
              <w:t>SF12</w:t>
            </w:r>
          </w:p>
        </w:tc>
        <w:tc>
          <w:tcPr>
            <w:tcW w:type="dxa" w:w="2160"/>
          </w:tcPr>
          <w:p>
            <w:r>
              <w:t>1318</w:t>
            </w:r>
          </w:p>
        </w:tc>
        <w:tc>
          <w:tcPr>
            <w:tcW w:type="dxa" w:w="2160"/>
          </w:tcPr>
          <w:p>
            <w:r>
              <w:t>−137</w:t>
            </w:r>
          </w:p>
        </w:tc>
        <w:tc>
          <w:tcPr>
            <w:tcW w:type="dxa" w:w="2160"/>
          </w:tcPr>
          <w:p>
            <w:r>
              <w:t>8–15 km</w:t>
            </w:r>
          </w:p>
        </w:tc>
      </w:tr>
    </w:tbl>
    <w:p/>
    <w:p>
      <w:pPr>
        <w:pStyle w:val="Heading2"/>
      </w:pPr>
      <w:r>
        <w:t>2.4  Modèle PDR stochastique et limites du bruit de Bernoulli</w:t>
      </w:r>
    </w:p>
    <w:p>
      <w:pPr/>
      <w:r>
        <w:t>Le Packet Delivery Rate (PDR) est la fraction de paquets émis qui parviennent correctement au récepteur. Dans notre simulateur, il est modélisé comme un processus de Bernoulli indépendant : pour chaque paquet généré, une variable aléatoire uniforme U ~ U(0,1) est tirée ; le paquet est transmis si U &lt; PDR, rejeté sinon. Cette approche correspond à la ligne de code :</w:t>
      </w:r>
    </w:p>
    <w:p>
      <w:pPr>
        <w:spacing w:before="80" w:after="80"/>
        <w:jc w:val="center"/>
      </w:pPr>
      <w:r>
        <w:rPr>
          <w:rFonts w:ascii="Courier New" w:hAnsi="Courier New"/>
          <w:sz w:val="20"/>
        </w:rPr>
        <w:t>if random.random() &gt;= LORAWAN_PDR:  # paquet perdu</w:t>
        <w:br/>
        <w:t xml:space="preserve">    continue</w:t>
      </w:r>
    </w:p>
    <w:p>
      <w:pPr/>
      <w:r>
        <w:t>Ce modèle présente une limite fondamentale par rapport aux canaux radio réels. Un vrai canal LoRaWAN en milieu forestier ou urbain présente des évanouissements corrélés (fading de Rayleigh ou de Rice) produisant des pertes en rafales (burst errors) : des séquences de 5 à 20 paquets consécutifs peuvent être perdus lors d'un événement d'ombrage (passage d'un camion, balancement des branches d'arbre). Le modèle de Bernoulli indépendant sous-estime systématiquement cet effet : la probabilité de perdre k paquets consécutifs est PDR^k pour Bernoulli, alors qu'elle est bien supérieure pour un canal à mémoire (modèle de Gilbert-Elliott).</w:t>
      </w:r>
    </w:p>
    <w:p>
      <w:pPr/>
      <w:r>
        <w:t>L'impact sur notre hypothèse H2 est direct : avec PDR = 0,65 et publiction toutes les 60 s, le modèle de Bernoulli génère des gaps de 60 s (1 paquet perdu), 120 s (2 paquets) ou 180 s (3 paquets) selon une loi géométrique. Un canal réel pourrait générer des gaps de 5 à 15 minutes (rafales), rendant l'interpolation linéaire inopérante et amplifiant significativement la dégradation du Rappel. Cela signifie que nos résultats H2 (Rappel = 0,94) représentent un scénario optimiste par rapport à un déploiement terrain réel — résultat qui renforce, et non infirme, la conclusion de la validité de H2.</w:t>
      </w:r>
    </w:p>
    <w:p>
      <w:pPr/>
      <w:r>
        <w:t>Deux valeurs de PDR ont été choisies pour circonscrire les conditions opérationnelles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Scénario</w:t>
            </w:r>
          </w:p>
        </w:tc>
        <w:tc>
          <w:tcPr>
            <w:tcW w:type="dxa" w:w="2160"/>
          </w:tcPr>
          <w:p>
            <w:r>
              <w:rPr>
                <w:b/>
              </w:rPr>
              <w:t>PDR</w:t>
            </w:r>
          </w:p>
        </w:tc>
        <w:tc>
          <w:tcPr>
            <w:tcW w:type="dxa" w:w="2160"/>
          </w:tcPr>
          <w:p>
            <w:r>
              <w:rPr>
                <w:b/>
              </w:rPr>
              <w:t>Justification</w:t>
            </w:r>
          </w:p>
        </w:tc>
        <w:tc>
          <w:tcPr>
            <w:tcW w:type="dxa" w:w="2160"/>
          </w:tcPr>
          <w:p>
            <w:r>
              <w:rPr>
                <w:b/>
              </w:rPr>
              <w:t>Intervalle publication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H1 — Nominal</w:t>
            </w:r>
          </w:p>
        </w:tc>
        <w:tc>
          <w:tcPr>
            <w:tcW w:type="dxa" w:w="2160"/>
          </w:tcPr>
          <w:p>
            <w:r>
              <w:t>0,90</w:t>
            </w:r>
          </w:p>
        </w:tc>
        <w:tc>
          <w:tcPr>
            <w:tcW w:type="dxa" w:w="2160"/>
          </w:tcPr>
          <w:p>
            <w:r>
              <w:t>PDR typique &lt; 50 nœuds sur 1 gateway (Bor et al. [5])</w:t>
            </w:r>
          </w:p>
        </w:tc>
        <w:tc>
          <w:tcPr>
            <w:tcW w:type="dxa" w:w="2160"/>
          </w:tcPr>
          <w:p>
            <w:r>
              <w:t>5 s (test de débit)</w:t>
            </w:r>
          </w:p>
        </w:tc>
      </w:tr>
      <w:tr>
        <w:tc>
          <w:tcPr>
            <w:tcW w:type="dxa" w:w="2160"/>
          </w:tcPr>
          <w:p>
            <w:r>
              <w:t>H2 — Dégradé</w:t>
            </w:r>
          </w:p>
        </w:tc>
        <w:tc>
          <w:tcPr>
            <w:tcW w:type="dxa" w:w="2160"/>
          </w:tcPr>
          <w:p>
            <w:r>
              <w:t>0,65</w:t>
            </w:r>
          </w:p>
        </w:tc>
        <w:tc>
          <w:tcPr>
            <w:tcW w:type="dxa" w:w="2160"/>
          </w:tcPr>
          <w:p>
            <w:r>
              <w:t>Zone forestière dense, feuillage estival, atténuation +20 dB</w:t>
            </w:r>
          </w:p>
        </w:tc>
        <w:tc>
          <w:tcPr>
            <w:tcW w:type="dxa" w:w="2160"/>
          </w:tcPr>
          <w:p>
            <w:r>
              <w:t>60 s (Duty Cycle réel)</w:t>
            </w:r>
          </w:p>
        </w:tc>
      </w:tr>
    </w:tbl>
    <w:p/>
    <w:p>
      <w:pPr>
        <w:pStyle w:val="Heading2"/>
      </w:pPr>
      <w:r>
        <w:t>2.5  Impact du SF sur la latence de détection d'essaimage</w:t>
      </w:r>
    </w:p>
    <w:p>
      <w:pPr/>
      <w:r>
        <w:t>Un aspect rarement discuté dans la littérature IoT est l'impact du choix de SF sur la latence de détection des événements à dynamique rapide. L'essaimage d'une ruche est précisément un tel événement : la perte de masse de 2,5 kg/h se produit sur une fenêtre de 20 à 60 minutes selon l'espèce et les conditions.</w:t>
      </w:r>
    </w:p>
    <w:p>
      <w:pPr/>
      <w:r>
        <w:t>La fenêtre de dérivée temporelle utilisée pour la détection est bornée par l'intervalle de publication τ_pub. Pour déclencher l'alerte, il faut que la dérivée calculée sur l'intervalle [t − τ_pub, t] franchisse le seuil −0,03 kg/min. Cela impose que τ_pub soit suffisamment court pour capturer le gradient de masse au moment du départ des abeilles. Si τ_pub est trop long (typiquement &gt; 30 min), l'interpolation linéaire lisse le gradient et la dérivée ne franchise pas le seuil — produisant un Faux Négatif.</w:t>
      </w:r>
    </w:p>
    <w:p>
      <w:pPr/>
      <w:r>
        <w:t>Or le Duty Cycle réglementaire ETSI EN 300 220 impose une limite de 1 % sur la bande 868 MHz. Le Time-on-Air (ToA) d'un payload de 20 octets est de 51 ms en SF7 et 1 318 ms en SF12 (cf. tableau 2.3). La contrainte τ_pub_min résulte de l'équation :</w:t>
      </w:r>
    </w:p>
    <w:p>
      <w:pPr>
        <w:spacing w:before="80" w:after="80"/>
        <w:jc w:val="center"/>
      </w:pPr>
      <w:r>
        <w:rPr>
          <w:rFonts w:ascii="Courier New" w:hAnsi="Courier New"/>
          <w:sz w:val="20"/>
        </w:rPr>
        <w:t>τ_pub_min = ToA / Duty_Cycle = ToA / 0,01</w:t>
      </w:r>
    </w:p>
    <w:p>
      <w:pPr/>
      <w:r>
        <w:t>Soit τ_pub_min = 5,1 s pour SF7 et 131,8 s pour SF12 — soit plus de 2 minutes d'intervalle minimum entre deux transmissions en SF12. Avec un essaimage de courte durée (20 min), un nœud SF12 ne peut émettre que ~9 paquets pendant l'événement. La perte d'un seul paquet à la transition vers le régime extrême (scénario H2) suffit à créer un gap suffisant pour que l'interpolation linéaire masque le gradient. Un nœud SF7, à l'inverse, peut émettre jusqu'à ~235 paquets sur la même fenêtre, rendant l'algorithme de détection quasi-insensible aux pertes individuelles (la dérivée est calculée sur un paquet voisin non perdu).</w:t>
      </w:r>
    </w:p>
    <w:p>
      <w:pPr/>
      <w:r>
        <w:t>Ce résultat illustre une tension de conception fondamentale pour les systèmes d'alerte IoT temps-réel basés sur LoRaWAN : la portée (qui favorise SF élevé) et la latence de détection (qui favorise SF bas) sont antagonistes. Pour un rucher en zone rurale nécessitant une portée &gt; 5 km, un compromis SF10 (ToA = 329 ms, τ_pub_min = 33 s) offrirait un équilibre acceptable entre portée et densité d'échantillonnage pour la détection d'essaimage.</w:t>
      </w:r>
    </w:p>
    <w:p>
      <w:pPr>
        <w:jc w:val="center"/>
      </w:pPr>
      <w:r>
        <w:rPr>
          <w:b/>
          <w:i/>
        </w:rPr>
        <w:t>[FIGURE 3 : Compromis SF vs. Time-on-Air vs. Duty Cycle : fenêtre de détection d'essaimage disponible (nombre de paquets transmissibles sur 30 min) en fonction du SF — SF7 (235 paquets) → SF12 (9 paquets)]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