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b/>
          <w:color w:val="1A365D"/>
          <w:sz w:val="56"/>
        </w:rPr>
        <w:t>DOCUMENTACIÓN TÉCNICA DE INGENIERÍA</w:t>
      </w:r>
    </w:p>
    <w:p>
      <w:pPr>
        <w:spacing w:after="720"/>
        <w:jc w:val="center"/>
      </w:pPr>
      <w:r>
        <w:rPr>
          <w:rFonts w:ascii="Calibri" w:hAnsi="Calibri"/>
          <w:i/>
          <w:color w:val="2B6CB0"/>
          <w:sz w:val="32"/>
        </w:rPr>
        <w:t>Ecosistema Backend, Arquitectura de Persistencia y Hardening del Servidor</w:t>
      </w:r>
    </w:p>
    <w:p>
      <w:pPr>
        <w:keepNext/>
        <w:spacing w:before="480" w:after="160"/>
      </w:pPr>
      <w:r>
        <w:rPr>
          <w:rFonts w:ascii="Calibri" w:hAnsi="Calibri"/>
          <w:b/>
          <w:color w:val="1A365D"/>
          <w:sz w:val="36"/>
        </w:rPr>
        <w:t>1. Introducción al Ecosistema Backend y Persistencia</w:t>
      </w:r>
    </w:p>
    <w:p>
      <w:pPr>
        <w:spacing w:line="276" w:lineRule="auto" w:after="200"/>
      </w:pPr>
      <w:r>
        <w:rPr>
          <w:rFonts w:ascii="Calibri" w:hAnsi="Calibri"/>
          <w:color w:val="2D3748"/>
          <w:sz w:val="22"/>
        </w:rPr>
        <w:t>El módulo del servidor está desarrollado bajo la especificación rigurosa de Java 17 y el ecosistema de Spring Boot 3.2.4, asumiendo el rol de núcleo de control lógico, motor de simulación de combate y director de persistencia del proyecto intermodular RPG-POO (inspirado en la ambientación de Dead by Daylight). Su diseño se rige bajo los principios de la arquitectura limpia y desacoplada por capas, implementando un motor transaccional manual robusto mediante JDBC nativo. Esto garantiza una persistencia de datos rápida y de alto rendimiento sin incurrir en las dependencias y la sobrecarga oculta de los mapeadores objeto-relacionales (ORM) comerciales.</w:t>
      </w:r>
    </w:p>
    <w:p>
      <w:pPr>
        <w:spacing w:line="276" w:lineRule="auto" w:after="200"/>
      </w:pPr>
      <w:r>
        <w:rPr>
          <w:rFonts w:ascii="Calibri" w:hAnsi="Calibri"/>
          <w:color w:val="2D3748"/>
          <w:sz w:val="22"/>
        </w:rPr>
        <w:t>El backend se comunica de manera bidireccional y eficiente con la interfaz del cliente desarrollada en Next.js a través de una API REST fuertemente protegida. Se asienta sobre MariaDB 10.11 como motor de base de datos relacional transaccional, integrando Flyway para un versionado consistente y controlado del esquema de base de datos física.</w:t>
      </w:r>
    </w:p>
    <w:p>
      <w:pPr>
        <w:keepNext/>
        <w:spacing w:before="480" w:after="160"/>
      </w:pPr>
      <w:r>
        <w:rPr>
          <w:rFonts w:ascii="Calibri" w:hAnsi="Calibri"/>
          <w:b/>
          <w:color w:val="1A365D"/>
          <w:sz w:val="36"/>
        </w:rPr>
        <w:t>2. Arquitectura Orientada a Objetos por Capas (Desacoplamiento)</w:t>
      </w:r>
    </w:p>
    <w:p>
      <w:pPr>
        <w:spacing w:line="276" w:lineRule="auto" w:after="200"/>
      </w:pPr>
      <w:r>
        <w:rPr>
          <w:rFonts w:ascii="Calibri" w:hAnsi="Calibri"/>
          <w:color w:val="2D3748"/>
          <w:sz w:val="22"/>
        </w:rPr>
        <w:t>Para garantizar una separación de responsabilidades clara y maximizar la cohesión del código fuente, el backend se ha estructurado en 5 capas desacopladas, comunicadas de manera unívoca mediante la inyección de dependencias nativa de Spring Framework:</w:t>
      </w:r>
    </w:p>
    <w:p>
      <w:pPr>
        <w:pStyle w:val="ListBullet"/>
        <w:spacing w:line="276" w:lineRule="auto" w:after="80"/>
      </w:pPr>
      <w:r>
        <w:rPr>
          <w:rFonts w:ascii="Calibri" w:hAnsi="Calibri"/>
          <w:b/>
          <w:color w:val="2D3748"/>
          <w:sz w:val="22"/>
        </w:rPr>
        <w:t xml:space="preserve">A) Capa de Controladores (paquete com.dbd.controladores): </w:t>
      </w:r>
      <w:r>
        <w:rPr>
          <w:rFonts w:ascii="Calibri" w:hAnsi="Calibri"/>
          <w:color w:val="2D3748"/>
          <w:sz w:val="22"/>
        </w:rPr>
        <w:t>Responsable de exponer los puntos de acceso HTTP. El AuthController gestiona la seguridad perimetral de registro e inicio de sesión de los usuarios de forma aislada, mientras que el GameController interactúa directamente con el simulador lúdico mediante peticiones autenticadas y validadas.</w:t>
      </w:r>
    </w:p>
    <w:p>
      <w:pPr>
        <w:pStyle w:val="ListBullet"/>
        <w:spacing w:line="276" w:lineRule="auto" w:after="80"/>
      </w:pPr>
      <w:r>
        <w:rPr>
          <w:rFonts w:ascii="Calibri" w:hAnsi="Calibri"/>
          <w:b/>
          <w:color w:val="2D3748"/>
          <w:sz w:val="22"/>
        </w:rPr>
        <w:t xml:space="preserve">B) Capa de Servicios y Lógica de Negocio (paquete com.dbd.servicios): </w:t>
      </w:r>
      <w:r>
        <w:rPr>
          <w:rFonts w:ascii="Calibri" w:hAnsi="Calibri"/>
          <w:color w:val="2D3748"/>
          <w:sz w:val="22"/>
        </w:rPr>
        <w:t>Constituida en torno a la clase TrialService. Esta capa coordina la carga dinámica de partidas, el flujo secuencial de turnos del combate, el cómputo de modificadores y efectos de estado, y la aplicación de los algoritmos de dificultad en cada ronda de simulación.</w:t>
      </w:r>
    </w:p>
    <w:p>
      <w:pPr>
        <w:pStyle w:val="ListBullet"/>
        <w:spacing w:line="276" w:lineRule="auto" w:after="80"/>
      </w:pPr>
      <w:r>
        <w:rPr>
          <w:rFonts w:ascii="Calibri" w:hAnsi="Calibri"/>
          <w:b/>
          <w:color w:val="2D3748"/>
          <w:sz w:val="22"/>
        </w:rPr>
        <w:t xml:space="preserve">C) Capa de Dominio y Entidades (paquete com.dbd.entidades): </w:t>
      </w:r>
      <w:r>
        <w:rPr>
          <w:rFonts w:ascii="Calibri" w:hAnsi="Calibri"/>
          <w:color w:val="2D3748"/>
          <w:sz w:val="22"/>
        </w:rPr>
        <w:t>Agrupa las entidades del juego aplicando los principios de la Programación Orientada a Objetos (POO). Define la clase abstracta de herencia polimórfica Personaje de la cual heredan las clases supervivientes concretas (ej. LeonKennedy) y los asesinos (ej. Onryo), junto con las clases de composición Perk y Estado.</w:t>
      </w:r>
    </w:p>
    <w:p>
      <w:pPr>
        <w:pStyle w:val="ListBullet"/>
        <w:spacing w:line="276" w:lineRule="auto" w:after="80"/>
      </w:pPr>
      <w:r>
        <w:rPr>
          <w:rFonts w:ascii="Calibri" w:hAnsi="Calibri"/>
          <w:b/>
          <w:color w:val="2D3748"/>
          <w:sz w:val="22"/>
        </w:rPr>
        <w:t xml:space="preserve">D) Capa de Persistencia Relacional (paquete com.dbd.persistencia): </w:t>
      </w:r>
      <w:r>
        <w:rPr>
          <w:rFonts w:ascii="Calibri" w:hAnsi="Calibri"/>
          <w:color w:val="2D3748"/>
          <w:sz w:val="22"/>
        </w:rPr>
        <w:t>Concentrada de forma exclusiva en la clase GestorPersistencia.java. Realiza la traducción directa entre los objetos Java y las tablas relacionales de MariaDB mediante sentencias SQL parametrizadas e hilos de ejecución protegidos con aislamiento transaccional.</w:t>
      </w:r>
    </w:p>
    <w:p>
      <w:pPr>
        <w:pStyle w:val="ListBullet"/>
        <w:spacing w:line="276" w:lineRule="auto" w:after="80"/>
      </w:pPr>
      <w:r>
        <w:rPr>
          <w:rFonts w:ascii="Calibri" w:hAnsi="Calibri"/>
          <w:b/>
          <w:color w:val="2D3748"/>
          <w:sz w:val="22"/>
        </w:rPr>
        <w:t xml:space="preserve">E) Capa de Seguridad (paquete com.dbd.filtros y com.dbd.seguridad): </w:t>
      </w:r>
      <w:r>
        <w:rPr>
          <w:rFonts w:ascii="Calibri" w:hAnsi="Calibri"/>
          <w:color w:val="2D3748"/>
          <w:sz w:val="22"/>
        </w:rPr>
        <w:t>Implementa filtros perimetrales interceptores de peticiones HTTP. Utiliza JwtFilter para interceptar cabeceras y cookies seguras, validando firmas de tokens y asignando el contexto de seguridad nativo mediante el SecurityContextHolder de Spring Security.</w:t>
      </w:r>
    </w:p>
    <w:p>
      <w:pPr>
        <w:keepNext/>
        <w:spacing w:before="480" w:after="160"/>
      </w:pPr>
      <w:r>
        <w:rPr>
          <w:rFonts w:ascii="Calibri" w:hAnsi="Calibri"/>
          <w:b/>
          <w:color w:val="1A365D"/>
          <w:sz w:val="36"/>
        </w:rPr>
        <w:t>3. Evolución del Esquema de Datos mediante Migraciones Flyway</w:t>
      </w:r>
    </w:p>
    <w:p>
      <w:pPr>
        <w:spacing w:line="276" w:lineRule="auto" w:after="200"/>
      </w:pPr>
      <w:r>
        <w:rPr>
          <w:rFonts w:ascii="Calibri" w:hAnsi="Calibri"/>
          <w:color w:val="2D3748"/>
          <w:sz w:val="22"/>
        </w:rPr>
        <w:t>La base de datos relacional se gestiona de forma profesional y versionada mediante Flyway, asegurando que el estado del esquema de base de datos física de MariaDB coincida exactamente con las necesidades lógicas del motor de clases en Java. El ciclo de vida cuenta con tres DDL estructurados:</w:t>
      </w:r>
    </w:p>
    <w:p>
      <w:pPr>
        <w:pStyle w:val="ListBullet"/>
        <w:spacing w:line="276" w:lineRule="auto" w:after="80"/>
      </w:pPr>
      <w:r>
        <w:rPr>
          <w:rFonts w:ascii="Calibri" w:hAnsi="Calibri"/>
          <w:b/>
          <w:color w:val="2D3748"/>
          <w:sz w:val="22"/>
        </w:rPr>
        <w:t xml:space="preserve">• V1__init.sql (Creación del Core de Datos): </w:t>
      </w:r>
      <w:r>
        <w:rPr>
          <w:rFonts w:ascii="Calibri" w:hAnsi="Calibri"/>
          <w:color w:val="2D3748"/>
          <w:sz w:val="22"/>
        </w:rPr>
        <w:t>Establece la estructura primaria relacional del motor lúdico, definiendo las tablas principales de partidas (RANURA), personajes de combate (PERSONAJE_PARTIDA) y componentes dinámicos de equipamiento y salud (ARMA_EQUIPADA, PERK_EQUIPADA y ESTADO_ACTIVO).</w:t>
      </w:r>
    </w:p>
    <w:p>
      <w:pPr>
        <w:pStyle w:val="ListBullet"/>
        <w:spacing w:line="276" w:lineRule="auto" w:after="80"/>
      </w:pPr>
      <w:r>
        <w:rPr>
          <w:rFonts w:ascii="Calibri" w:hAnsi="Calibri"/>
          <w:b/>
          <w:color w:val="2D3748"/>
          <w:sz w:val="22"/>
        </w:rPr>
        <w:t xml:space="preserve">• V2__Create_Users_Table.sql (Integración de Seguridad): </w:t>
      </w:r>
      <w:r>
        <w:rPr>
          <w:rFonts w:ascii="Calibri" w:hAnsi="Calibri"/>
          <w:color w:val="2D3748"/>
          <w:sz w:val="22"/>
        </w:rPr>
        <w:t>Añade la tabla 'usuarios' responsable de almacenar credenciales únicas, hashes criptográficos de contraseñas de jugadores y metadatos de creación.</w:t>
      </w:r>
    </w:p>
    <w:p>
      <w:pPr>
        <w:pStyle w:val="ListBullet"/>
        <w:spacing w:line="276" w:lineRule="auto" w:after="80"/>
      </w:pPr>
      <w:r>
        <w:rPr>
          <w:rFonts w:ascii="Calibri" w:hAnsi="Calibri"/>
          <w:b/>
          <w:color w:val="2D3748"/>
          <w:sz w:val="22"/>
        </w:rPr>
        <w:t xml:space="preserve">• V4__Logros_Por_Usuario.sql (Relaciones Muchos a Muchos): </w:t>
      </w:r>
      <w:r>
        <w:rPr>
          <w:rFonts w:ascii="Calibri" w:hAnsi="Calibri"/>
          <w:color w:val="2D3748"/>
          <w:sz w:val="22"/>
        </w:rPr>
        <w:t>Integra las tablas LOGROS y la tabla intermedia muchos a muchos USUARIOS_LOGROS, permitiendo un histórico detallado de insignias por usuario libre de duplicidades.</w:t>
      </w:r>
    </w:p>
    <w:p>
      <w:pPr>
        <w:spacing w:line="276" w:lineRule="auto" w:after="200"/>
      </w:pPr>
      <w:r>
        <w:rPr>
          <w:rFonts w:ascii="Calibri" w:hAnsi="Calibri"/>
          <w:color w:val="2D3748"/>
          <w:sz w:val="22"/>
        </w:rPr>
        <w:t>A continuación se describe detalladamente el catálogo de tablas del esquema relacional físico:</w:t>
      </w:r>
    </w:p>
    <w:tbl>
      <w:tblPr>
        <w:tblW w:type="auto" w:w="0"/>
        <w:tblLayout w:type="autofit"/>
        <w:tblLook w:firstColumn="1" w:firstRow="1" w:lastColumn="0" w:lastRow="0" w:noHBand="0" w:noVBand="1" w:val="04A0"/>
      </w:tblPr>
      <w:tblGrid>
        <w:gridCol w:w="3120"/>
        <w:gridCol w:w="3120"/>
        <w:gridCol w:w="3120"/>
      </w:tblGrid>
      <w:tr>
        <w:tc>
          <w:tcPr>
            <w:tcW w:type="dxa" w:w="3120"/>
            <w:shd w:fill="1A365D"/>
            <w:tcMar>
              <w:top w:w="140" w:type="dxa"/>
              <w:bottom w:w="140" w:type="dxa"/>
              <w:left w:w="150" w:type="dxa"/>
              <w:right w:w="150" w:type="dxa"/>
            </w:tcMar>
          </w:tcPr>
          <w:p>
            <w:pPr>
              <w:jc w:val="center"/>
            </w:pPr>
            <w:r>
              <w:rPr>
                <w:b/>
                <w:color w:val="FFFFFF"/>
              </w:rPr>
              <w:t>Tabla</w:t>
            </w:r>
          </w:p>
        </w:tc>
        <w:tc>
          <w:tcPr>
            <w:tcW w:type="dxa" w:w="3120"/>
            <w:shd w:fill="1A365D"/>
            <w:tcMar>
              <w:top w:w="140" w:type="dxa"/>
              <w:bottom w:w="140" w:type="dxa"/>
              <w:left w:w="150" w:type="dxa"/>
              <w:right w:w="150" w:type="dxa"/>
            </w:tcMar>
          </w:tcPr>
          <w:p>
            <w:pPr>
              <w:jc w:val="center"/>
            </w:pPr>
            <w:r>
              <w:rPr>
                <w:b/>
                <w:color w:val="FFFFFF"/>
              </w:rPr>
              <w:t>Clave Primaria</w:t>
            </w:r>
          </w:p>
        </w:tc>
        <w:tc>
          <w:tcPr>
            <w:tcW w:type="dxa" w:w="3120"/>
            <w:shd w:fill="1A365D"/>
            <w:tcMar>
              <w:top w:w="140" w:type="dxa"/>
              <w:bottom w:w="140" w:type="dxa"/>
              <w:left w:w="150" w:type="dxa"/>
              <w:right w:w="150" w:type="dxa"/>
            </w:tcMar>
          </w:tcPr>
          <w:p>
            <w:pPr>
              <w:jc w:val="center"/>
            </w:pPr>
            <w:r>
              <w:rPr>
                <w:b/>
                <w:color w:val="FFFFFF"/>
              </w:rPr>
              <w:t>Propósito e Integridad Referencial</w:t>
            </w:r>
          </w:p>
        </w:tc>
      </w:tr>
      <w:tr>
        <w:tc>
          <w:tcPr>
            <w:tcW w:type="dxa" w:w="3120"/>
            <w:shd w:fill="F7FAFC"/>
            <w:tcMar>
              <w:top w:w="100" w:type="dxa"/>
              <w:bottom w:w="100" w:type="dxa"/>
              <w:left w:w="150" w:type="dxa"/>
              <w:right w:w="150" w:type="dxa"/>
            </w:tcMar>
          </w:tcPr>
          <w:p>
            <w:r>
              <w:rPr>
                <w:rFonts w:ascii="Courier New" w:hAnsi="Courier New"/>
                <w:b/>
                <w:color w:val="2D3748"/>
                <w:sz w:val="20"/>
              </w:rPr>
              <w:t>usuarios</w:t>
            </w:r>
          </w:p>
        </w:tc>
        <w:tc>
          <w:tcPr>
            <w:tcW w:type="dxa" w:w="3120"/>
            <w:shd w:fill="F7FAFC"/>
            <w:tcMar>
              <w:top w:w="100" w:type="dxa"/>
              <w:bottom w:w="100" w:type="dxa"/>
              <w:left w:w="150" w:type="dxa"/>
              <w:right w:w="150" w:type="dxa"/>
            </w:tcMar>
          </w:tcPr>
          <w:p>
            <w:r>
              <w:rPr>
                <w:b/>
                <w:color w:val="2D3748"/>
                <w:sz w:val="19"/>
              </w:rPr>
              <w:t>id (BIGINT, AI)</w:t>
            </w:r>
          </w:p>
        </w:tc>
        <w:tc>
          <w:tcPr>
            <w:tcW w:type="dxa" w:w="3120"/>
            <w:shd w:fill="F7FAFC"/>
            <w:tcMar>
              <w:top w:w="100" w:type="dxa"/>
              <w:bottom w:w="100" w:type="dxa"/>
              <w:left w:w="150" w:type="dxa"/>
              <w:right w:w="150" w:type="dxa"/>
            </w:tcMar>
          </w:tcPr>
          <w:p>
            <w:r>
              <w:rPr>
                <w:color w:val="2D3748"/>
                <w:sz w:val="19"/>
              </w:rPr>
              <w:t>Almacena credenciales. Campo 'username' marcado con índice UNIQUE para mitigar cuentas duplicadas.</w:t>
            </w:r>
          </w:p>
        </w:tc>
      </w:tr>
      <w:tr>
        <w:tc>
          <w:tcPr>
            <w:tcW w:type="dxa" w:w="3120"/>
            <w:shd w:fill="FFFFFF"/>
            <w:tcMar>
              <w:top w:w="100" w:type="dxa"/>
              <w:bottom w:w="100" w:type="dxa"/>
              <w:left w:w="150" w:type="dxa"/>
              <w:right w:w="150" w:type="dxa"/>
            </w:tcMar>
          </w:tcPr>
          <w:p>
            <w:r>
              <w:rPr>
                <w:rFonts w:ascii="Courier New" w:hAnsi="Courier New"/>
                <w:b/>
                <w:color w:val="2D3748"/>
                <w:sz w:val="20"/>
              </w:rPr>
              <w:t>RANURA</w:t>
            </w:r>
          </w:p>
        </w:tc>
        <w:tc>
          <w:tcPr>
            <w:tcW w:type="dxa" w:w="3120"/>
            <w:shd w:fill="FFFFFF"/>
            <w:tcMar>
              <w:top w:w="100" w:type="dxa"/>
              <w:bottom w:w="100" w:type="dxa"/>
              <w:left w:w="150" w:type="dxa"/>
              <w:right w:w="150" w:type="dxa"/>
            </w:tcMar>
          </w:tcPr>
          <w:p>
            <w:r>
              <w:rPr>
                <w:b/>
                <w:color w:val="2D3748"/>
                <w:sz w:val="19"/>
              </w:rPr>
              <w:t>id_ranura, usuario_id (Compuesta)</w:t>
            </w:r>
          </w:p>
        </w:tc>
        <w:tc>
          <w:tcPr>
            <w:tcW w:type="dxa" w:w="3120"/>
            <w:shd w:fill="FFFFFF"/>
            <w:tcMar>
              <w:top w:w="100" w:type="dxa"/>
              <w:bottom w:w="100" w:type="dxa"/>
              <w:left w:w="150" w:type="dxa"/>
              <w:right w:w="150" w:type="dxa"/>
            </w:tcMar>
          </w:tcPr>
          <w:p>
            <w:r>
              <w:rPr>
                <w:color w:val="2D3748"/>
                <w:sz w:val="19"/>
              </w:rPr>
              <w:t>Slots de guardado. Vinculada por FK a usuarios(id) con ON DELETE CASCADE para limpieza automática.</w:t>
            </w:r>
          </w:p>
        </w:tc>
      </w:tr>
      <w:tr>
        <w:tc>
          <w:tcPr>
            <w:tcW w:type="dxa" w:w="3120"/>
            <w:shd w:fill="F7FAFC"/>
            <w:tcMar>
              <w:top w:w="100" w:type="dxa"/>
              <w:bottom w:w="100" w:type="dxa"/>
              <w:left w:w="150" w:type="dxa"/>
              <w:right w:w="150" w:type="dxa"/>
            </w:tcMar>
          </w:tcPr>
          <w:p>
            <w:r>
              <w:rPr>
                <w:rFonts w:ascii="Courier New" w:hAnsi="Courier New"/>
                <w:b/>
                <w:color w:val="2D3748"/>
                <w:sz w:val="20"/>
              </w:rPr>
              <w:t>PERSONAJE_PARTIDA</w:t>
            </w:r>
          </w:p>
        </w:tc>
        <w:tc>
          <w:tcPr>
            <w:tcW w:type="dxa" w:w="3120"/>
            <w:shd w:fill="F7FAFC"/>
            <w:tcMar>
              <w:top w:w="100" w:type="dxa"/>
              <w:bottom w:w="100" w:type="dxa"/>
              <w:left w:w="150" w:type="dxa"/>
              <w:right w:w="150" w:type="dxa"/>
            </w:tcMar>
          </w:tcPr>
          <w:p>
            <w:r>
              <w:rPr>
                <w:b/>
                <w:color w:val="2D3748"/>
                <w:sz w:val="19"/>
              </w:rPr>
              <w:t>id_personaje (INT, AI)</w:t>
            </w:r>
          </w:p>
        </w:tc>
        <w:tc>
          <w:tcPr>
            <w:tcW w:type="dxa" w:w="3120"/>
            <w:shd w:fill="F7FAFC"/>
            <w:tcMar>
              <w:top w:w="100" w:type="dxa"/>
              <w:bottom w:w="100" w:type="dxa"/>
              <w:left w:w="150" w:type="dxa"/>
              <w:right w:w="150" w:type="dxa"/>
            </w:tcMar>
          </w:tcPr>
          <w:p>
            <w:r>
              <w:rPr>
                <w:color w:val="2D3748"/>
                <w:sz w:val="19"/>
              </w:rPr>
              <w:t>Representa el estado actual de salud, defensa e identidad del personaje. FK compuesta a RANURA.</w:t>
            </w:r>
          </w:p>
        </w:tc>
      </w:tr>
      <w:tr>
        <w:tc>
          <w:tcPr>
            <w:tcW w:type="dxa" w:w="3120"/>
            <w:shd w:fill="FFFFFF"/>
            <w:tcMar>
              <w:top w:w="100" w:type="dxa"/>
              <w:bottom w:w="100" w:type="dxa"/>
              <w:left w:w="150" w:type="dxa"/>
              <w:right w:w="150" w:type="dxa"/>
            </w:tcMar>
          </w:tcPr>
          <w:p>
            <w:r>
              <w:rPr>
                <w:rFonts w:ascii="Courier New" w:hAnsi="Courier New"/>
                <w:b/>
                <w:color w:val="2D3748"/>
                <w:sz w:val="20"/>
              </w:rPr>
              <w:t>ARMA_EQUIPADA</w:t>
            </w:r>
          </w:p>
        </w:tc>
        <w:tc>
          <w:tcPr>
            <w:tcW w:type="dxa" w:w="3120"/>
            <w:shd w:fill="FFFFFF"/>
            <w:tcMar>
              <w:top w:w="100" w:type="dxa"/>
              <w:bottom w:w="100" w:type="dxa"/>
              <w:left w:w="150" w:type="dxa"/>
              <w:right w:w="150" w:type="dxa"/>
            </w:tcMar>
          </w:tcPr>
          <w:p>
            <w:r>
              <w:rPr>
                <w:b/>
                <w:color w:val="2D3748"/>
                <w:sz w:val="19"/>
              </w:rPr>
              <w:t>id_arma (INT, AI)</w:t>
            </w:r>
          </w:p>
        </w:tc>
        <w:tc>
          <w:tcPr>
            <w:tcW w:type="dxa" w:w="3120"/>
            <w:shd w:fill="FFFFFF"/>
            <w:tcMar>
              <w:top w:w="100" w:type="dxa"/>
              <w:bottom w:w="100" w:type="dxa"/>
              <w:left w:w="150" w:type="dxa"/>
              <w:right w:w="150" w:type="dxa"/>
            </w:tcMar>
          </w:tcPr>
          <w:p>
            <w:r>
              <w:rPr>
                <w:color w:val="2D3748"/>
                <w:sz w:val="19"/>
              </w:rPr>
              <w:t>Arma de ataque o defensa asignada a la entidad en partida. Relación 1:1 estricta con PERSONAJE_PARTIDA.</w:t>
            </w:r>
          </w:p>
        </w:tc>
      </w:tr>
      <w:tr>
        <w:tc>
          <w:tcPr>
            <w:tcW w:type="dxa" w:w="3120"/>
            <w:shd w:fill="F7FAFC"/>
            <w:tcMar>
              <w:top w:w="100" w:type="dxa"/>
              <w:bottom w:w="100" w:type="dxa"/>
              <w:left w:w="150" w:type="dxa"/>
              <w:right w:w="150" w:type="dxa"/>
            </w:tcMar>
          </w:tcPr>
          <w:p>
            <w:r>
              <w:rPr>
                <w:rFonts w:ascii="Courier New" w:hAnsi="Courier New"/>
                <w:b/>
                <w:color w:val="2D3748"/>
                <w:sz w:val="20"/>
              </w:rPr>
              <w:t>PERK_EQUIPADA</w:t>
            </w:r>
          </w:p>
        </w:tc>
        <w:tc>
          <w:tcPr>
            <w:tcW w:type="dxa" w:w="3120"/>
            <w:shd w:fill="F7FAFC"/>
            <w:tcMar>
              <w:top w:w="100" w:type="dxa"/>
              <w:bottom w:w="100" w:type="dxa"/>
              <w:left w:w="150" w:type="dxa"/>
              <w:right w:w="150" w:type="dxa"/>
            </w:tcMar>
          </w:tcPr>
          <w:p>
            <w:r>
              <w:rPr>
                <w:b/>
                <w:color w:val="2D3748"/>
                <w:sz w:val="19"/>
              </w:rPr>
              <w:t>id_perk_equipado (INT, AI)</w:t>
            </w:r>
          </w:p>
        </w:tc>
        <w:tc>
          <w:tcPr>
            <w:tcW w:type="dxa" w:w="3120"/>
            <w:shd w:fill="F7FAFC"/>
            <w:tcMar>
              <w:top w:w="100" w:type="dxa"/>
              <w:bottom w:w="100" w:type="dxa"/>
              <w:left w:w="150" w:type="dxa"/>
              <w:right w:w="150" w:type="dxa"/>
            </w:tcMar>
          </w:tcPr>
          <w:p>
            <w:r>
              <w:rPr>
                <w:color w:val="2D3748"/>
                <w:sz w:val="19"/>
              </w:rPr>
              <w:t>Habilidades dinámicas del personaje con contador de usos. Relación 1:N con PERSONAJE_PARTIDA.</w:t>
            </w:r>
          </w:p>
        </w:tc>
      </w:tr>
      <w:tr>
        <w:tc>
          <w:tcPr>
            <w:tcW w:type="dxa" w:w="3120"/>
            <w:shd w:fill="FFFFFF"/>
            <w:tcMar>
              <w:top w:w="100" w:type="dxa"/>
              <w:bottom w:w="100" w:type="dxa"/>
              <w:left w:w="150" w:type="dxa"/>
              <w:right w:w="150" w:type="dxa"/>
            </w:tcMar>
          </w:tcPr>
          <w:p>
            <w:r>
              <w:rPr>
                <w:rFonts w:ascii="Courier New" w:hAnsi="Courier New"/>
                <w:b/>
                <w:color w:val="2D3748"/>
                <w:sz w:val="20"/>
              </w:rPr>
              <w:t>ESTADO_ACTIVO</w:t>
            </w:r>
          </w:p>
        </w:tc>
        <w:tc>
          <w:tcPr>
            <w:tcW w:type="dxa" w:w="3120"/>
            <w:shd w:fill="FFFFFF"/>
            <w:tcMar>
              <w:top w:w="100" w:type="dxa"/>
              <w:bottom w:w="100" w:type="dxa"/>
              <w:left w:w="150" w:type="dxa"/>
              <w:right w:w="150" w:type="dxa"/>
            </w:tcMar>
          </w:tcPr>
          <w:p>
            <w:r>
              <w:rPr>
                <w:b/>
                <w:color w:val="2D3748"/>
                <w:sz w:val="19"/>
              </w:rPr>
              <w:t>id_estado (INT, AI)</w:t>
            </w:r>
          </w:p>
        </w:tc>
        <w:tc>
          <w:tcPr>
            <w:tcW w:type="dxa" w:w="3120"/>
            <w:shd w:fill="FFFFFF"/>
            <w:tcMar>
              <w:top w:w="100" w:type="dxa"/>
              <w:bottom w:w="100" w:type="dxa"/>
              <w:left w:w="150" w:type="dxa"/>
              <w:right w:w="150" w:type="dxa"/>
            </w:tcMar>
          </w:tcPr>
          <w:p>
            <w:r>
              <w:rPr>
                <w:color w:val="2D3748"/>
                <w:sz w:val="19"/>
              </w:rPr>
              <w:t>Efectos alterados (Sangrado, etc.) y su contador de turnos activos. Relación 1:N con PERSONAJE_PARTIDA.</w:t>
            </w:r>
          </w:p>
        </w:tc>
      </w:tr>
    </w:tbl>
    <w:p>
      <w:pPr>
        <w:spacing w:after="200"/>
      </w:pPr>
    </w:p>
    <w:p>
      <w:pPr>
        <w:keepNext/>
        <w:spacing w:before="480" w:after="160"/>
      </w:pPr>
      <w:r>
        <w:rPr>
          <w:rFonts w:ascii="Calibri" w:hAnsi="Calibri"/>
          <w:b/>
          <w:color w:val="1A365D"/>
          <w:sz w:val="36"/>
        </w:rPr>
        <w:t>4. Persistencia de Partidas mediante Control Transaccional Manual</w:t>
      </w:r>
    </w:p>
    <w:p>
      <w:pPr>
        <w:spacing w:line="276" w:lineRule="auto" w:after="200"/>
      </w:pPr>
      <w:r>
        <w:rPr>
          <w:rFonts w:ascii="Calibri" w:hAnsi="Calibri"/>
          <w:color w:val="2D3748"/>
          <w:sz w:val="22"/>
        </w:rPr>
        <w:t>Uno de los puntos clave del desarrollo del backend es el guardado dinámico de partidas implementado de forma manual en GestorPersistencia.java. Con el objetivo de garantizar el cumplimiento estricto del estándar ACID (Atomicidad, Consistencia, Aislamiento y Durabilidad) y certificar un control absoluto sobre el motor MariaDB, se ha evitado el uso de frameworks pesados para estructurar transacciones manuales explícitas mediante JDBC nativo. El método de persistencia maneja la limpieza y el almacenamiento ordenado del estado lúdico en un único bloque de confirmación atómica:</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single" w:sz="4" w:space="0" w:color="E2E8F0"/>
              <w:bottom w:val="single" w:sz="4" w:space="0" w:color="E2E8F0"/>
              <w:left w:val="single" w:sz="12" w:space="0" w:color="2B6CB0"/>
              <w:right w:val="single" w:sz="4" w:space="0" w:color="E2E8F0"/>
            </w:tcBorders>
          </w:tcPr>
          <w:p>
            <w:pPr>
              <w:spacing w:before="80" w:after="80" w:line="240" w:lineRule="auto"/>
            </w:pPr>
            <w:r>
              <w:rPr>
                <w:rFonts w:ascii="Courier New" w:hAnsi="Courier New"/>
                <w:color w:val="2D3748"/>
                <w:sz w:val="19"/>
              </w:rPr>
              <w:t>public boolean guardarPartidaCompleta(int idRanura, long usuarioId, List&lt;Personaje&gt; personajes, int ronda) {</w:t>
              <w:br/>
              <w:t xml:space="preserve">    Connection conn = null;</w:t>
              <w:br/>
              <w:t xml:space="preserve">    try {</w:t>
              <w:br/>
              <w:t xml:space="preserve">        conn = databaseConnection.getConnection();</w:t>
              <w:br/>
              <w:t xml:space="preserve">        conn.setAutoCommit(false); // APERTURA EXPLÍCITA DE LA TRANSACCIÓN</w:t>
              <w:br/>
              <w:br/>
              <w:t xml:space="preserve">        // 1. Limpieza lógica del estado previo de la ranura</w:t>
              <w:br/>
              <w:t xml:space="preserve">        eliminarHijosPersonajesDeRanura(conn, idRanura, usuarioId);</w:t>
              <w:br/>
              <w:t xml:space="preserve">        eliminarPersonajesDeRanura(conn, idRanura, usuarioId);</w:t>
              <w:br/>
              <w:br/>
              <w:t xml:space="preserve">        // 2. Actualización de la metainformación del Save Slot</w:t>
              <w:br/>
              <w:t xml:space="preserve">        actualizarMetaRanura(conn, idRanura, usuarioId, ronda);</w:t>
              <w:br/>
              <w:br/>
              <w:t xml:space="preserve">        // 3. Persistencia secuencial de personajes e inventarios</w:t>
              <w:br/>
              <w:t xml:space="preserve">        for (Personaje p : personajes) {</w:t>
              <w:br/>
              <w:t xml:space="preserve">            int idGenerado = insertarPersonajePartida(conn, idRanura, usuarioId, p);</w:t>
              <w:br/>
              <w:t xml:space="preserve">            </w:t>
              <w:br/>
              <w:t xml:space="preserve">            if (p.getArmaEquipada() != null) {</w:t>
              <w:br/>
              <w:t xml:space="preserve">                insertarArmaEquipada(conn, idGenerado, p.getArmaEquipada());</w:t>
              <w:br/>
              <w:t xml:space="preserve">            }</w:t>
              <w:br/>
              <w:t xml:space="preserve">            </w:t>
              <w:br/>
              <w:t xml:space="preserve">            for (Perk perk : p.getPerks()) {</w:t>
              <w:br/>
              <w:t xml:space="preserve">                insertarPerkEquipada(conn, idGenerado, perk);</w:t>
              <w:br/>
              <w:t xml:space="preserve">            }</w:t>
              <w:br/>
              <w:t xml:space="preserve">            </w:t>
              <w:br/>
              <w:t xml:space="preserve">            for (Estado est : p.getEstadosActivos()) {</w:t>
              <w:br/>
              <w:t xml:space="preserve">                insertarEstadoActivo(conn, idGenerado, est);</w:t>
              <w:br/>
              <w:t xml:space="preserve">            }</w:t>
              <w:br/>
              <w:t xml:space="preserve">        }</w:t>
              <w:br/>
              <w:br/>
              <w:t xml:space="preserve">        conn.commit(); // CONFIRMACIÓN ATÓMICA DE LOS CAMBIOS (COMMIT)</w:t>
              <w:br/>
              <w:t xml:space="preserve">        return true;</w:t>
              <w:br/>
              <w:t xml:space="preserve">    } catch (SQLException e) {</w:t>
              <w:br/>
              <w:t xml:space="preserve">        if (conn != null) {</w:t>
              <w:br/>
              <w:t xml:space="preserve">            try {</w:t>
              <w:br/>
              <w:t xml:space="preserve">                conn.rollback(); // DESHACER CAMBIOS ANTE CUALQUIER FALLO (ROLLBACK)</w:t>
              <w:br/>
              <w:t xml:space="preserve">            } catch (SQLException ex) {</w:t>
              <w:br/>
              <w:t xml:space="preserve">                logger.error("Error crítico en transacción: rollback fallido", ex);</w:t>
              <w:br/>
              <w:t xml:space="preserve">            }</w:t>
              <w:br/>
              <w:t xml:space="preserve">        }</w:t>
              <w:br/>
              <w:t xml:space="preserve">        return false;</w:t>
              <w:br/>
              <w:t xml:space="preserve">    } finally {</w:t>
              <w:br/>
              <w:t xml:space="preserve">        liberarRecursos(conn); // RETORNO DE LA CONEXIÓN AL POOL</w:t>
              <w:br/>
              <w:t xml:space="preserve">    }</w:t>
              <w:br/>
              <w:t>}</w:t>
            </w:r>
          </w:p>
        </w:tc>
      </w:tr>
    </w:tbl>
    <w:p>
      <w:pPr>
        <w:spacing w:after="40" w:line="240" w:lineRule="auto" w:before="0"/>
      </w:pPr>
    </w:p>
    <w:p>
      <w:pPr>
        <w:spacing w:line="276" w:lineRule="auto" w:after="200"/>
      </w:pPr>
      <w:r>
        <w:rPr>
          <w:rFonts w:ascii="Calibri" w:hAnsi="Calibri"/>
          <w:color w:val="2D3748"/>
          <w:sz w:val="22"/>
        </w:rPr>
        <w:t>Análisis de Atomicidad: Si la escritura de un estado alterado o de una perk de personaje falla en la base de datos (por ejemplo, debido a una desconexión o a una clave foránea inválida), la base de datos revierte automáticamente toda la secuencia del guardado a su estado original previo al inicio del método. Esto evita al 100% que la partida se guarde de manera fragmentada o corrupta en el disco, garantizando una consistencia perfecta de la información.</w:t>
      </w:r>
    </w:p>
    <w:p>
      <w:pPr>
        <w:keepNext/>
        <w:spacing w:before="480" w:after="160"/>
      </w:pPr>
      <w:r>
        <w:rPr>
          <w:rFonts w:ascii="Calibri" w:hAnsi="Calibri"/>
          <w:b/>
          <w:color w:val="1A365D"/>
          <w:sz w:val="36"/>
        </w:rPr>
        <w:t>5. Instanciación Dinámica y Escalado mediante Java Reflection</w:t>
      </w:r>
    </w:p>
    <w:p>
      <w:pPr>
        <w:spacing w:line="276" w:lineRule="auto" w:after="200"/>
      </w:pPr>
      <w:r>
        <w:rPr>
          <w:rFonts w:ascii="Calibri" w:hAnsi="Calibri"/>
          <w:color w:val="2D3748"/>
          <w:sz w:val="22"/>
        </w:rPr>
        <w:t>Para lograr un acoplamiento débil entre el motor lúdico y el origen relacional persistente, y evitar el uso de bloques masivos condicionales (tales como switch-case redundantes) al cargar personajes desde MariaDB, el TrialService implementa instanciación dinámica basada en reflexión nativa de Java (Java Reflection):</w:t>
      </w:r>
    </w:p>
    <w:p>
      <w:pPr>
        <w:spacing w:line="276" w:lineRule="auto" w:after="200"/>
      </w:pPr>
      <w:r>
        <w:rPr>
          <w:rFonts w:ascii="Calibri" w:hAnsi="Calibri"/>
          <w:color w:val="2D3748"/>
          <w:sz w:val="22"/>
        </w:rPr>
        <w:t>La base de datos almacena en formato VARCHAR el nombre lógico de la clase concreta del personaje (por ejemplo, 'LeonKennedy' o 'Onryo'). El cargador dinámico de persistencia lee este string en tiempo de ejecución, localiza la clase correspondiente en la máquina virtual (JVM) mediante su nombre calificado de paquete, y la instancia dinámicamente llamando a su constructor declarado por defecto:</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single" w:sz="4" w:space="0" w:color="E2E8F0"/>
              <w:bottom w:val="single" w:sz="4" w:space="0" w:color="E2E8F0"/>
              <w:left w:val="single" w:sz="12" w:space="0" w:color="2B6CB0"/>
              <w:right w:val="single" w:sz="4" w:space="0" w:color="E2E8F0"/>
            </w:tcBorders>
          </w:tcPr>
          <w:p>
            <w:pPr>
              <w:spacing w:before="80" w:after="80" w:line="240" w:lineRule="auto"/>
            </w:pPr>
            <w:r>
              <w:rPr>
                <w:rFonts w:ascii="Courier New" w:hAnsi="Courier New"/>
                <w:color w:val="2D3748"/>
                <w:sz w:val="19"/>
              </w:rPr>
              <w:t>private Personaje cargarPersonajePolimorfico(String claseJava, String nombre) {</w:t>
              <w:br/>
              <w:t xml:space="preserve">    try {</w:t>
              <w:br/>
              <w:t xml:space="preserve">        // Carga dinámica de la clase en tiempo de ejecución</w:t>
              <w:br/>
              <w:t xml:space="preserve">        Class&lt;?&gt; clazz = Class.forName("com.dbd.entidades." + claseJava);</w:t>
              <w:br/>
              <w:t xml:space="preserve">        Personaje personaje = (Personaje) clazz.getDeclaredConstructor().newInstance();</w:t>
              <w:br/>
              <w:t xml:space="preserve">        personaje.setNombreVisible(nombre);</w:t>
              <w:br/>
              <w:t xml:space="preserve">        return personaje;</w:t>
              <w:br/>
              <w:t xml:space="preserve">    } catch (Exception e) {</w:t>
              <w:br/>
              <w:t xml:space="preserve">        logger.warn("Clase no hallada por reflection: {}. Usando superviviente por defecto.", claseJava);</w:t>
              <w:br/>
              <w:t xml:space="preserve">        return new LeonKennedy(); // Mecanismo de rescate por defecto ante fallos</w:t>
              <w:br/>
              <w:t xml:space="preserve">    }</w:t>
              <w:br/>
              <w:t>}</w:t>
            </w:r>
          </w:p>
        </w:tc>
      </w:tr>
    </w:tbl>
    <w:p>
      <w:pPr>
        <w:spacing w:after="40" w:line="240" w:lineRule="auto" w:before="0"/>
      </w:pPr>
    </w:p>
    <w:p>
      <w:pPr>
        <w:keepNext/>
        <w:spacing w:before="320" w:after="120"/>
      </w:pPr>
      <w:r>
        <w:rPr>
          <w:rFonts w:ascii="Calibri" w:hAnsi="Calibri"/>
          <w:b/>
          <w:color w:val="2B6CB0"/>
          <w:sz w:val="28"/>
        </w:rPr>
        <w:t>Algoritmo Matemático de Escalado de Dificultad</w:t>
      </w:r>
    </w:p>
    <w:p>
      <w:pPr>
        <w:spacing w:line="276" w:lineRule="auto" w:after="200"/>
      </w:pPr>
      <w:r>
        <w:rPr>
          <w:rFonts w:ascii="Calibri" w:hAnsi="Calibri"/>
          <w:color w:val="2D3748"/>
          <w:sz w:val="22"/>
        </w:rPr>
        <w:t>La dificultad configurada para la ranura de guardado influye de manera aritmética directa sobre los multiplicadores asignados en memoria a los atributos del combate en tiempo de simulación. La dificultad se gestiona a través del factor dimensional Alpha_d, que escala proporcionalmente la salud total de la ronda y la capacidad destructiva ofensiva de los asesinos rivales:</w:t>
      </w:r>
    </w:p>
    <w:p>
      <w:pPr>
        <w:spacing w:line="276" w:lineRule="auto" w:after="200"/>
      </w:pPr>
      <w:r>
        <w:rPr>
          <w:rFonts w:ascii="Calibri" w:hAnsi="Calibri"/>
          <w:color w:val="2D3748"/>
          <w:sz w:val="22"/>
        </w:rPr>
        <w:t>HP_Max = HP_Base * Alpha_d</w:t>
      </w:r>
    </w:p>
    <w:p>
      <w:pPr>
        <w:spacing w:line="276" w:lineRule="auto" w:after="200"/>
      </w:pPr>
      <w:r>
        <w:rPr>
          <w:rFonts w:ascii="Calibri" w:hAnsi="Calibri"/>
          <w:color w:val="2D3748"/>
          <w:sz w:val="22"/>
        </w:rPr>
        <w:t>Daño_Arma = Daño_Base * Alpha_d</w:t>
      </w:r>
    </w:p>
    <w:p>
      <w:pPr>
        <w:spacing w:line="276" w:lineRule="auto" w:after="200"/>
      </w:pPr>
      <w:r>
        <w:rPr>
          <w:rFonts w:ascii="Calibri" w:hAnsi="Calibri"/>
          <w:color w:val="2D3748"/>
          <w:sz w:val="22"/>
        </w:rPr>
        <w:t>El multiplicador de dificultad Alpha_d adopta valores discretos específicos leídos de la persistencia de MariaDB:</w:t>
      </w:r>
    </w:p>
    <w:p>
      <w:pPr>
        <w:pStyle w:val="ListBullet"/>
        <w:spacing w:line="276" w:lineRule="auto" w:after="80"/>
      </w:pPr>
      <w:r>
        <w:rPr>
          <w:rFonts w:ascii="Calibri" w:hAnsi="Calibri"/>
          <w:b/>
          <w:color w:val="2D3748"/>
          <w:sz w:val="22"/>
        </w:rPr>
        <w:t xml:space="preserve">• </w:t>
      </w:r>
      <w:r>
        <w:rPr>
          <w:rFonts w:ascii="Calibri" w:hAnsi="Calibri"/>
          <w:color w:val="2D3748"/>
          <w:sz w:val="22"/>
        </w:rPr>
        <w:t>Alpha_d = 0.8: Dificultad marcada como 'facil', disminuyendo la resistencia y el daño del rival.</w:t>
      </w:r>
    </w:p>
    <w:p>
      <w:pPr>
        <w:pStyle w:val="ListBullet"/>
        <w:spacing w:line="276" w:lineRule="auto" w:after="80"/>
      </w:pPr>
      <w:r>
        <w:rPr>
          <w:rFonts w:ascii="Calibri" w:hAnsi="Calibri"/>
          <w:b/>
          <w:color w:val="2D3748"/>
          <w:sz w:val="22"/>
        </w:rPr>
        <w:t xml:space="preserve">• </w:t>
      </w:r>
      <w:r>
        <w:rPr>
          <w:rFonts w:ascii="Calibri" w:hAnsi="Calibri"/>
          <w:color w:val="2D3748"/>
          <w:sz w:val="22"/>
        </w:rPr>
        <w:t>Alpha_d = 1.0: Dificultad marcada como 'normal', manteniendo el balance por defecto de la entidad.</w:t>
      </w:r>
    </w:p>
    <w:p>
      <w:pPr>
        <w:pStyle w:val="ListBullet"/>
        <w:spacing w:line="276" w:lineRule="auto" w:after="80"/>
      </w:pPr>
      <w:r>
        <w:rPr>
          <w:rFonts w:ascii="Calibri" w:hAnsi="Calibri"/>
          <w:b/>
          <w:color w:val="2D3748"/>
          <w:sz w:val="22"/>
        </w:rPr>
        <w:t xml:space="preserve">• </w:t>
      </w:r>
      <w:r>
        <w:rPr>
          <w:rFonts w:ascii="Calibri" w:hAnsi="Calibri"/>
          <w:color w:val="2D3748"/>
          <w:sz w:val="22"/>
        </w:rPr>
        <w:t>Alpha_d = 1.4: Dificultad marcada como 'extremo', incrementando drásticamente el desafío ofensivo/defensivo del oponente.</w:t>
      </w:r>
    </w:p>
    <w:p>
      <w:pPr>
        <w:keepNext/>
        <w:spacing w:before="480" w:after="160"/>
      </w:pPr>
      <w:r>
        <w:rPr>
          <w:rFonts w:ascii="Calibri" w:hAnsi="Calibri"/>
          <w:b/>
          <w:color w:val="1A365D"/>
          <w:sz w:val="36"/>
        </w:rPr>
        <w:t>6. Control de Calidad Automatizado y Suite de Pruebas Unitarias</w:t>
      </w:r>
    </w:p>
    <w:p>
      <w:pPr>
        <w:spacing w:line="276" w:lineRule="auto" w:after="200"/>
      </w:pPr>
      <w:r>
        <w:rPr>
          <w:rFonts w:ascii="Calibri" w:hAnsi="Calibri"/>
          <w:color w:val="2D3748"/>
          <w:sz w:val="22"/>
        </w:rPr>
        <w:t>Con el objetivo de garantizar la fiabilidad del motor del simulador frente a refactorizaciones de código, se ha desarrollado una suite rigurosa de pruebas lúdicas automatizadas utilizando JUnit 5. Las pruebas cubren tres escenarios de calidad exigidos a nivel profesional:</w:t>
      </w:r>
    </w:p>
    <w:p>
      <w:pPr>
        <w:pStyle w:val="ListBullet"/>
        <w:spacing w:line="276" w:lineRule="auto" w:after="80"/>
      </w:pPr>
      <w:r>
        <w:rPr>
          <w:rFonts w:ascii="Calibri" w:hAnsi="Calibri"/>
          <w:b/>
          <w:color w:val="2D3748"/>
          <w:sz w:val="22"/>
        </w:rPr>
        <w:t xml:space="preserve">1) Escenarios Normales: </w:t>
      </w:r>
      <w:r>
        <w:rPr>
          <w:rFonts w:ascii="Calibri" w:hAnsi="Calibri"/>
          <w:color w:val="2D3748"/>
          <w:sz w:val="22"/>
        </w:rPr>
        <w:t>Flujo estándar lúdico sin excepciones. Valida el correcto descuento de salud tras ataques normales, la reducción secuencial de cargas de Perks en combate, y la correcta aplicación matemática de fórmulas de curación.</w:t>
      </w:r>
    </w:p>
    <w:p>
      <w:pPr>
        <w:pStyle w:val="ListBullet"/>
        <w:spacing w:line="276" w:lineRule="auto" w:after="80"/>
      </w:pPr>
      <w:r>
        <w:rPr>
          <w:rFonts w:ascii="Calibri" w:hAnsi="Calibri"/>
          <w:b/>
          <w:color w:val="2D3748"/>
          <w:sz w:val="22"/>
        </w:rPr>
        <w:t xml:space="preserve">2) Escenarios Límite (Edge Cases): </w:t>
      </w:r>
      <w:r>
        <w:rPr>
          <w:rFonts w:ascii="Calibri" w:hAnsi="Calibri"/>
          <w:color w:val="2D3748"/>
          <w:sz w:val="22"/>
        </w:rPr>
        <w:t>Cómputo en los límites lógicos de ejecución. Comprueban, por ejemplo, que al recibir un daño crítico masivo enormemente superior a la salud actual del personaje, los puntos de vida nunca caigan en valores negativos, quedando bloqueados en 0 y provocando la muerte de la entidad.</w:t>
      </w:r>
    </w:p>
    <w:p>
      <w:pPr>
        <w:pStyle w:val="ListBullet"/>
        <w:spacing w:line="276" w:lineRule="auto" w:after="80"/>
      </w:pPr>
      <w:r>
        <w:rPr>
          <w:rFonts w:ascii="Calibri" w:hAnsi="Calibri"/>
          <w:b/>
          <w:color w:val="2D3748"/>
          <w:sz w:val="22"/>
        </w:rPr>
        <w:t xml:space="preserve">3) Escenarios de Error: </w:t>
      </w:r>
      <w:r>
        <w:rPr>
          <w:rFonts w:ascii="Calibri" w:hAnsi="Calibri"/>
          <w:color w:val="2D3748"/>
          <w:sz w:val="22"/>
        </w:rPr>
        <w:t>Verificación de las salvaguardas del sistema. Validan el lanzamiento de excepciones esperadas al ingresar datos anómalos o incoherentes, tales como curaciones de valor negativo, personajes nulos o invocaciones a Perks agotadas.</w:t>
      </w:r>
    </w:p>
    <w:p>
      <w:pPr>
        <w:spacing w:line="276" w:lineRule="auto" w:after="200"/>
      </w:pPr>
      <w:r>
        <w:rPr>
          <w:rFonts w:ascii="Calibri" w:hAnsi="Calibri"/>
          <w:color w:val="2D3748"/>
          <w:sz w:val="22"/>
        </w:rPr>
        <w:t>Implementación técnica de la suite de pruebas unitarias automatizadas con JUnit 5:</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single" w:sz="4" w:space="0" w:color="E2E8F0"/>
              <w:bottom w:val="single" w:sz="4" w:space="0" w:color="E2E8F0"/>
              <w:left w:val="single" w:sz="12" w:space="0" w:color="2B6CB0"/>
              <w:right w:val="single" w:sz="4" w:space="0" w:color="E2E8F0"/>
            </w:tcBorders>
          </w:tcPr>
          <w:p>
            <w:pPr>
              <w:spacing w:before="80" w:after="80" w:line="240" w:lineRule="auto"/>
            </w:pPr>
            <w:r>
              <w:rPr>
                <w:rFonts w:ascii="Courier New" w:hAnsi="Courier New"/>
                <w:color w:val="2D3748"/>
                <w:sz w:val="19"/>
              </w:rPr>
              <w:t>package com.dbd.tests;</w:t>
              <w:br/>
              <w:br/>
              <w:t>import static org.junit.jupiter.api.Assertions.*;</w:t>
              <w:br/>
              <w:t>import com.dbd.entidades.LeonKennedy;</w:t>
              <w:br/>
              <w:t>import com.dbd.entidades.Onryo;</w:t>
              <w:br/>
              <w:t>import com.dbd.entidades.Personaje;</w:t>
              <w:br/>
              <w:t>import org.junit.jupiter.api.BeforeEach;</w:t>
              <w:br/>
              <w:t>import org.junit.jupiter.api.Test;</w:t>
              <w:br/>
              <w:br/>
              <w:t>public class CombateRPGTest {</w:t>
              <w:br/>
              <w:br/>
              <w:t xml:space="preserve">    private Personaje superviviente;</w:t>
              <w:br/>
              <w:t xml:space="preserve">    private Personaje asesino;</w:t>
              <w:br/>
              <w:br/>
              <w:t xml:space="preserve">    @BeforeEach</w:t>
              <w:br/>
              <w:t xml:space="preserve">    public void setUp() {</w:t>
              <w:br/>
              <w:t xml:space="preserve">        superviviente = new LeonKennedy(); // Salud base: 100, Daño arma: 15</w:t>
              <w:br/>
              <w:t xml:space="preserve">        asesino = new Onryo();            // Salud base: 120, Daño arma: 25</w:t>
              <w:br/>
              <w:t xml:space="preserve">    }</w:t>
              <w:br/>
              <w:br/>
              <w:t xml:space="preserve">    @Test</w:t>
              <w:br/>
              <w:t xml:space="preserve">    public void testEscenarioNormalCombate() {</w:t>
              <w:br/>
              <w:t xml:space="preserve">        superviviente.realizarAccionTurno(asesino);</w:t>
              <w:br/>
              <w:t xml:space="preserve">        assertEquals(105, asesino.getVidaActual(), "El cálculo del daño normal debe ser correcto.");</w:t>
              <w:br/>
              <w:t xml:space="preserve">    }</w:t>
              <w:br/>
              <w:br/>
              <w:t xml:space="preserve">    @Test</w:t>
              <w:br/>
              <w:t xml:space="preserve">    public void testEscenarioLimiteMuertePersonaje() {</w:t>
              <w:br/>
              <w:t xml:space="preserve">        superviviente.recibirDanio(500); // Daño crítico masivo enormemente superior a la salud</w:t>
              <w:br/>
              <w:t xml:space="preserve">        assertEquals(0, superviviente.getVidaActual(), "La vida debe bloquearse en 0 ante daños masivos.");</w:t>
              <w:br/>
              <w:t xml:space="preserve">        assertFalse(superviviente.isVivo(), "El personaje debe transitar de forma inmediata al estado muerto.");</w:t>
              <w:br/>
              <w:t xml:space="preserve">    }</w:t>
              <w:br/>
              <w:br/>
              <w:t xml:space="preserve">    @Test</w:t>
              <w:br/>
              <w:t xml:space="preserve">    public void testEscenarioErrorCurasMaximas() {</w:t>
              <w:br/>
              <w:t xml:space="preserve">        superviviente.curar(50); // Intento de curación sobre salud máxima</w:t>
              <w:br/>
              <w:t xml:space="preserve">        assertEquals(100, superviviente.getVidaActual(), "La salud del personaje jamás debe exceder su HP máximo.");</w:t>
              <w:br/>
              <w:t xml:space="preserve">    }</w:t>
              <w:br/>
              <w:t>}</w:t>
            </w:r>
          </w:p>
        </w:tc>
      </w:tr>
    </w:tbl>
    <w:p>
      <w:pPr>
        <w:spacing w:after="40" w:line="240" w:lineRule="auto" w:before="0"/>
      </w:pPr>
    </w:p>
    <w:p>
      <w:pPr>
        <w:keepNext/>
        <w:spacing w:before="480" w:after="160"/>
      </w:pPr>
      <w:r>
        <w:rPr>
          <w:rFonts w:ascii="Calibri" w:hAnsi="Calibri"/>
          <w:b/>
          <w:color w:val="1A365D"/>
          <w:sz w:val="36"/>
        </w:rPr>
        <w:t>7. Control de Logros no Duplicados y Coherencia de Partidas</w:t>
      </w:r>
    </w:p>
    <w:p>
      <w:pPr>
        <w:spacing w:line="276" w:lineRule="auto" w:after="200"/>
      </w:pPr>
      <w:r>
        <w:rPr>
          <w:rFonts w:ascii="Calibri" w:hAnsi="Calibri"/>
          <w:color w:val="2D3748"/>
          <w:sz w:val="22"/>
        </w:rPr>
        <w:t>El backend incorpora un control transaccional estricto para mitigar la inyección de logros duplicados en el perfil de un mismo usuario. Antes de proceder a insertar un registro en la tabla relacional, el sistema realiza una validación lógica basada en un cruce exterior de tipo LEFT JOIN sobre la tabla intermedia muchos a muchos USUARIOS_LOGROS:</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single" w:sz="4" w:space="0" w:color="E2E8F0"/>
              <w:bottom w:val="single" w:sz="4" w:space="0" w:color="E2E8F0"/>
              <w:left w:val="single" w:sz="12" w:space="0" w:color="2B6CB0"/>
              <w:right w:val="single" w:sz="4" w:space="0" w:color="E2E8F0"/>
            </w:tcBorders>
          </w:tcPr>
          <w:p>
            <w:pPr>
              <w:spacing w:before="80" w:after="80" w:line="240" w:lineRule="auto"/>
            </w:pPr>
            <w:r>
              <w:rPr>
                <w:rFonts w:ascii="Courier New" w:hAnsi="Courier New"/>
                <w:color w:val="2D3748"/>
                <w:sz w:val="19"/>
              </w:rPr>
              <w:t xml:space="preserve">SELECT u.id, ul.logro_id </w:t>
              <w:br/>
              <w:t xml:space="preserve">FROM usuarios u </w:t>
              <w:br/>
              <w:t xml:space="preserve">LEFT JOIN USUARIOS_LOGROS ul ON u.id = ul.usuario_id AND ul.logro_id = ? </w:t>
              <w:br/>
              <w:t>WHERE u.id = ?;</w:t>
            </w:r>
          </w:p>
        </w:tc>
      </w:tr>
    </w:tbl>
    <w:p>
      <w:pPr>
        <w:spacing w:after="40" w:line="240" w:lineRule="auto" w:before="0"/>
      </w:pPr>
    </w:p>
    <w:p>
      <w:pPr>
        <w:spacing w:line="276" w:lineRule="auto" w:after="200"/>
      </w:pPr>
      <w:r>
        <w:rPr>
          <w:rFonts w:ascii="Calibri" w:hAnsi="Calibri"/>
          <w:color w:val="2D3748"/>
          <w:sz w:val="22"/>
        </w:rPr>
        <w:t>El resultado de la consulta es analizado por el controlador del backend. Si el campo de logro_id devuelto por el cruce resulta nulo (NULL), significa que la entidad asociada aún no dispone de la recompensa en su perfil, por lo que se procede con seguridad a inyectar el nuevo registro. En caso contrario, la transacción aborta la inserción DML de forma controlada, esquivando alertas de integridad referencial o violaciones de clave primaria duplicada.</w:t>
      </w:r>
    </w:p>
    <w:p>
      <w:pPr>
        <w:keepNext/>
        <w:spacing w:before="320" w:after="120"/>
      </w:pPr>
      <w:r>
        <w:rPr>
          <w:rFonts w:ascii="Calibri" w:hAnsi="Calibri"/>
          <w:b/>
          <w:color w:val="2B6CB0"/>
          <w:sz w:val="28"/>
        </w:rPr>
        <w:t>Sistema de Copia de Seguridad Instantánea (Snapshot)</w:t>
      </w:r>
    </w:p>
    <w:p>
      <w:pPr>
        <w:spacing w:line="276" w:lineRule="auto" w:after="200"/>
      </w:pPr>
      <w:r>
        <w:rPr>
          <w:rFonts w:ascii="Calibri" w:hAnsi="Calibri"/>
          <w:color w:val="2D3748"/>
          <w:sz w:val="22"/>
        </w:rPr>
        <w:t>Al finalizar cada simulación de turno o combate lúdico, el servidor de Spring Boot ejecuta en segundo plano un guardado rápido asíncrono (tipo Snapshot) sobre la ranura de guardado activa de la base de datos MariaDB. Este mecanismo aísla el progreso del jugador frente a interrupciones abruptas del navegador en Next.js o cortes en la conexión del cliente HTTP, garantizando la recuperación automática y consistente del estado exacto del combate al reconectarse.</w:t>
      </w:r>
    </w:p>
    <w:p>
      <w:pPr>
        <w:keepNext/>
        <w:spacing w:before="480" w:after="160"/>
      </w:pPr>
      <w:r>
        <w:rPr>
          <w:rFonts w:ascii="Calibri" w:hAnsi="Calibri"/>
          <w:b/>
          <w:color w:val="1A365D"/>
          <w:sz w:val="36"/>
        </w:rPr>
        <w:t>8. Seguridad Perimetral, Cookies HTTP e Inmunidad Criptográfica</w:t>
      </w:r>
    </w:p>
    <w:p>
      <w:pPr>
        <w:spacing w:line="276" w:lineRule="auto" w:after="200"/>
      </w:pPr>
      <w:r>
        <w:rPr>
          <w:rFonts w:ascii="Calibri" w:hAnsi="Calibri"/>
          <w:color w:val="2D3748"/>
          <w:sz w:val="22"/>
        </w:rPr>
        <w:t>La seguridad perimetral del servidor se rige bajo una filosofía de API REST sin estado (Stateless API), implementando un perímetro criptográfico robusto bajo el ecosistema de Spring Security configurado a nivel de filtro de red:</w:t>
      </w:r>
    </w:p>
    <w:p>
      <w:pPr>
        <w:pStyle w:val="ListBullet"/>
        <w:spacing w:line="276" w:lineRule="auto" w:after="80"/>
      </w:pPr>
      <w:r>
        <w:rPr>
          <w:rFonts w:ascii="Calibri" w:hAnsi="Calibri"/>
          <w:b/>
          <w:color w:val="2D3748"/>
          <w:sz w:val="22"/>
        </w:rPr>
        <w:t xml:space="preserve">A) Criptografía BCrypt para Contraseñas: </w:t>
      </w:r>
      <w:r>
        <w:rPr>
          <w:rFonts w:ascii="Calibri" w:hAnsi="Calibri"/>
          <w:color w:val="2D3748"/>
          <w:sz w:val="22"/>
        </w:rPr>
        <w:t>Las contraseñas enviadas durante el registro de cuenta en el AuthController son codificadas mediante un algoritmo estocástico de estiramiento de claves BCryptPasswordEncoder con un factor de coste de cálculo parametrizado en 10. La clave original en texto plano jamás se guarda ni se expone en la base de datos, garantizando la seguridad ante robos de esquemas.</w:t>
      </w:r>
    </w:p>
    <w:p>
      <w:pPr>
        <w:pStyle w:val="ListBullet"/>
        <w:spacing w:line="276" w:lineRule="auto" w:after="80"/>
      </w:pPr>
      <w:r>
        <w:rPr>
          <w:rFonts w:ascii="Calibri" w:hAnsi="Calibri"/>
          <w:b/>
          <w:color w:val="2D3748"/>
          <w:sz w:val="22"/>
        </w:rPr>
        <w:t xml:space="preserve">B) Firma Digital HMAC-SHA256 con JWT: </w:t>
      </w:r>
      <w:r>
        <w:rPr>
          <w:rFonts w:ascii="Calibri" w:hAnsi="Calibri"/>
          <w:color w:val="2D3748"/>
          <w:sz w:val="22"/>
        </w:rPr>
        <w:t>Ante una autenticación exitosa, el servidor crea un JSON Web Token (JWT) firmado simétricamente empleando el algoritmo robusto HMAC-SHA256, utilizando una clave de firma de 256 bits resguardada en variables de entorno del servidor.</w:t>
      </w:r>
    </w:p>
    <w:p>
      <w:pPr>
        <w:pStyle w:val="ListBullet"/>
        <w:spacing w:line="276" w:lineRule="auto" w:after="80"/>
      </w:pPr>
      <w:r>
        <w:rPr>
          <w:rFonts w:ascii="Calibri" w:hAnsi="Calibri"/>
          <w:b/>
          <w:color w:val="2D3748"/>
          <w:sz w:val="22"/>
        </w:rPr>
        <w:t xml:space="preserve">C) Mitigación XSS y CSRF mediante Cookies HTTP-Only: </w:t>
      </w:r>
      <w:r>
        <w:rPr>
          <w:rFonts w:ascii="Calibri" w:hAnsi="Calibri"/>
          <w:color w:val="2D3748"/>
          <w:sz w:val="22"/>
        </w:rPr>
        <w:t>Para prevenir la filtración de tokens mediante ataques Cross-Site Scripting (XSS) y restringir el secuestro de sesiones por Cross-Site Request Forgery (CSRF), el JWT no se envía en la respuesta JSON legible. En su lugar, el servidor inyecta el token de sesión en una cabecera de tipo Cookie HTTP-Only, Secure y con directiva SameSite=Strict. Esto bloquea cualquier lectura del token por parte de scripts JavaScript del lado del cliente y restringe su transmisión únicamente a peticiones legítimas del dominio de origen.</w:t>
      </w:r>
    </w:p>
    <w:p>
      <w:pPr>
        <w:pStyle w:val="ListBullet"/>
        <w:spacing w:line="276" w:lineRule="auto" w:after="80"/>
      </w:pPr>
      <w:r>
        <w:rPr>
          <w:rFonts w:ascii="Calibri" w:hAnsi="Calibri"/>
          <w:b/>
          <w:color w:val="2D3748"/>
          <w:sz w:val="22"/>
        </w:rPr>
        <w:t xml:space="preserve">D) Intercepción Dinámica en JwtFilter: </w:t>
      </w:r>
      <w:r>
        <w:rPr>
          <w:rFonts w:ascii="Calibri" w:hAnsi="Calibri"/>
          <w:color w:val="2D3748"/>
          <w:sz w:val="22"/>
        </w:rPr>
        <w:t>El filtro JwtFilter (heredero directo de OncePerRequestFilter) intercepta dinámicamente cada llamada HTTP entrante hacia las rutas restringidas del simulador (/api/game/**). Extrae la cookie segura, valida criptográficamente su firma simétrica HMAC, recupera la identidad del usuario y la inyecta directamente al contexto de seguridad nativo de Spring Security (SecurityContextHolder), garantizando un blindaje perimetral centralizado.</w:t>
      </w:r>
    </w:p>
    <w:p>
      <w:pPr>
        <w:keepNext/>
        <w:spacing w:before="320" w:after="120"/>
      </w:pPr>
      <w:r>
        <w:rPr>
          <w:rFonts w:ascii="Calibri" w:hAnsi="Calibri"/>
          <w:b/>
          <w:color w:val="2B6CB0"/>
          <w:sz w:val="28"/>
        </w:rPr>
        <w:t>Auditoría de Hardening de Kali Linux</w:t>
      </w:r>
    </w:p>
    <w:p>
      <w:pPr>
        <w:spacing w:line="276" w:lineRule="auto" w:after="200"/>
      </w:pPr>
      <w:r>
        <w:rPr>
          <w:rFonts w:ascii="Calibri" w:hAnsi="Calibri"/>
          <w:color w:val="2D3748"/>
          <w:sz w:val="22"/>
        </w:rPr>
        <w:t>Durante el proceso de compilación y despliegue del servidor backend en los entornos educativos Nebrija, se sometió al backend a un plan riguroso de hardening continuo y análisis dinámico de vulnerabilidades utilizando la suite especializada de Kali Linux:</w:t>
      </w:r>
    </w:p>
    <w:p>
      <w:pPr>
        <w:pStyle w:val="ListBullet"/>
        <w:spacing w:line="276" w:lineRule="auto" w:after="80"/>
      </w:pPr>
      <w:r>
        <w:rPr>
          <w:rFonts w:ascii="Calibri" w:hAnsi="Calibri"/>
          <w:b/>
          <w:color w:val="2D3748"/>
          <w:sz w:val="22"/>
        </w:rPr>
        <w:t xml:space="preserve">• Intercepción Dinámica con Burp Suite: </w:t>
      </w:r>
      <w:r>
        <w:rPr>
          <w:rFonts w:ascii="Calibri" w:hAnsi="Calibri"/>
          <w:color w:val="2D3748"/>
          <w:sz w:val="22"/>
        </w:rPr>
        <w:t>Se interceptó el tráfico de red HTTP entre el cliente Next.js y el servidor de Spring Boot para comprobar el cifrado y la inmutabilidad de la cookie de sesión JWT. El backend demostró rechazar firmemente con un código de estado HTTP 401 Unauthorized toda petición que careciera de una cookie con firma HMAC simétrica válida.</w:t>
      </w:r>
    </w:p>
    <w:p>
      <w:pPr>
        <w:pStyle w:val="ListBullet"/>
        <w:spacing w:line="276" w:lineRule="auto" w:after="80"/>
      </w:pPr>
      <w:r>
        <w:rPr>
          <w:rFonts w:ascii="Calibri" w:hAnsi="Calibri"/>
          <w:b/>
          <w:color w:val="2D3748"/>
          <w:sz w:val="22"/>
        </w:rPr>
        <w:t xml:space="preserve">• Inyección de Parámetros de Simulación: </w:t>
      </w:r>
      <w:r>
        <w:rPr>
          <w:rFonts w:ascii="Calibri" w:hAnsi="Calibri"/>
          <w:color w:val="2D3748"/>
          <w:sz w:val="22"/>
        </w:rPr>
        <w:t>Mediante ataques de inyección y fuzzing, se enviaron cargas de datos manipuladas con valores de vida negativos o daños arbitrariamente exorbitantes al endpoint /api/game/action. Las capas lógicas del validador abortaron los procesos DML y arrojaron excepciones controladas de forma consistente, manteniendo inalterable la integridad estructural de la base de datos MariaDB.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