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4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Entrenamiento y Validación del Modelo para Identificación de Proveedores Favoritos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2721_3956443927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validación vigente usa predicciones out-of-fold y tuning reproducible. Random Forest alcanza AUC-PR 0.671, AUC-ROC 0.999, precision 66.7%, recall 33.3% y F1 0.444 en el benchmark sintético.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2721_3956443927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23_3956443927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25_3956443927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27_3956443927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29_3956443927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31_3956443927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33_3956443927">
            <w:r>
              <w:rPr>
                <w:rStyle w:val="IndexLink"/>
              </w:rPr>
              <w:t>2. Objetivo de Consultoría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35_3956443927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37_3956443927">
            <w:r>
              <w:rPr>
                <w:rStyle w:val="IndexLink"/>
              </w:rPr>
              <w:t>3.1 Métricas de evaluación inicial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39_3956443927">
            <w:r>
              <w:rPr>
                <w:rStyle w:val="IndexLink"/>
              </w:rPr>
              <w:t>3.2 Registro de experimentos y pruebas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41_3956443927">
            <w:r>
              <w:rPr>
                <w:rStyle w:val="IndexLink"/>
              </w:rPr>
              <w:t>3.3 Validación cruzada y evaluación exhaustiva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43_3956443927">
            <w:r>
              <w:rPr>
                <w:rStyle w:val="IndexLink"/>
              </w:rPr>
              <w:t>3.4 Ajuste de hiperparámetros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45_3956443927">
            <w:r>
              <w:rPr>
                <w:rStyle w:val="IndexLink"/>
              </w:rPr>
              <w:t>3.5 Persistencia del modelo entrenado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47_3956443927">
            <w:r>
              <w:rPr>
                <w:rStyle w:val="IndexLink"/>
              </w:rPr>
              <w:t>3.6 Análisis comparativo del rendimiento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49_3956443927">
            <w:r>
              <w:rPr>
                <w:rStyle w:val="IndexLink"/>
              </w:rPr>
              <w:t>3.7 Interpretabilidad y documentación técnica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51_3956443927">
            <w:r>
              <w:rPr>
                <w:rStyle w:val="IndexLink"/>
              </w:rPr>
              <w:t>4. Actividades Realizadas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53_3956443927">
            <w:r>
              <w:rPr>
                <w:rStyle w:val="IndexLink"/>
              </w:rPr>
              <w:t>5. Grado de Cumplimiento del Producto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55_3956443927">
            <w:r>
              <w:rPr>
                <w:rStyle w:val="IndexLink"/>
              </w:rPr>
              <w:t>6. Dificultades y Limitaciones Encontradas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57_3956443927">
            <w:r>
              <w:rPr>
                <w:rStyle w:val="IndexLink"/>
              </w:rPr>
              <w:t>7.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59_3956443927">
            <w:r>
              <w:rPr>
                <w:rStyle w:val="IndexLink"/>
              </w:rPr>
              <w:t>8. Anexos</w:t>
              <w:tab/>
              <w:t>7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61_3956443927">
            <w:r>
              <w:rPr>
                <w:rStyle w:val="IndexLink"/>
              </w:rPr>
              <w:t>ANEXO TÉCNICO — PAGOS, MODALIDADES Y ARQUITECTURA OPERACIONAL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63_3956443927">
            <w:r>
              <w:rPr>
                <w:rStyle w:val="IndexLink"/>
              </w:rPr>
              <w:t>Resultados reproducibles de pagos y modalidades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65_3956443927">
            <w:r>
              <w:rPr>
                <w:rStyle w:val="IndexLink"/>
              </w:rPr>
              <w:t>Distribución de pagos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67_3956443927">
            <w:r>
              <w:rPr>
                <w:rStyle w:val="IndexLink"/>
              </w:rPr>
              <w:t>Modalidades por régimen</w:t>
              <w:tab/>
              <w:t>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69_3956443927">
            <w:r>
              <w:rPr>
                <w:rStyle w:val="IndexLink"/>
              </w:rPr>
              <w:t>Arquitectura operacional Spark-native</w:t>
              <w:tab/>
              <w:t>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71_3956443927">
            <w:r>
              <w:rPr>
                <w:rStyle w:val="IndexLink"/>
              </w:rPr>
              <w:t>Limitación institucional</w:t>
              <w:tab/>
              <w:t>8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73_3956443927">
            <w:r>
              <w:rPr>
                <w:rStyle w:val="IndexLink"/>
              </w:rPr>
              <w:t>Referencias Bibliográficas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2723_3956443927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Métricas out-of-fold del modelo de favoritismo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Configuración de tuning del Random Forest</w:t>
      </w:r>
    </w:p>
    <w:p>
      <w:pPr>
        <w:pStyle w:val="Heading1"/>
        <w:spacing w:lineRule="exact" w:line="240" w:before="240" w:after="120"/>
        <w:rPr/>
      </w:pPr>
      <w:bookmarkStart w:id="2" w:name="__RefHeading___Toc2725_3956443927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Importancia de variables del Random Forest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Resumen SHAP de favoritismo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Explicación SHAP de un caso priorizado</w:t>
      </w:r>
    </w:p>
    <w:p>
      <w:pPr>
        <w:pStyle w:val="Heading1"/>
        <w:spacing w:lineRule="exact" w:line="240" w:before="240" w:after="120"/>
        <w:rPr/>
      </w:pPr>
      <w:bookmarkStart w:id="3" w:name="__RefHeading___Toc2727_3956443927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2729_3956443927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2731_3956443927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documenta métricas iniciales, registro de experimentos, validación cruzada, tuning, persistencia, comparación de escenarios y documentación técnica para un eventual pase a certificación.</w:t>
      </w:r>
    </w:p>
    <w:p>
      <w:pPr>
        <w:pStyle w:val="Heading1"/>
        <w:spacing w:lineRule="exact" w:line="240" w:before="240" w:after="120"/>
        <w:rPr/>
      </w:pPr>
      <w:bookmarkStart w:id="6" w:name="__RefHeading___Toc2733_3956443927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2735_3956443927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2737_3956443927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Métricas de evaluación inicial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Métricas out-of-fold del modelo de favoritismo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0.671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0.999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66.7%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33.3%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F1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0.444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9" w:name="__RefHeading___Toc2739_3956443927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Registro de experimentos y pruebas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Los resultados de Regresión Logística, Random Forest y Gradient Boosting se almacenan en outputs/comparacion_modelos_favoritismo.json y .csv; la grilla de tuning y su resumen se almacenan en outputs/tuning_favoritismo_resultados.csv y outputs/tuning_favoritismo_resumen.json.</w:t>
      </w:r>
    </w:p>
    <w:p>
      <w:pPr>
        <w:pStyle w:val="Heading2"/>
        <w:spacing w:lineRule="exact" w:line="240" w:before="180" w:after="80"/>
        <w:rPr/>
      </w:pPr>
      <w:bookmarkStart w:id="10" w:name="__RefHeading___Toc2741_3956443927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Validación cruzada y evaluación exhaustiva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predicciones out-of-fold, StratifiedKFold 3-fold, mismas particiones para todos. La métrica primaria es AUC-PR por desbalance severo. La comparación usa exactamente las mismas particiones para todos los candidatos.</w:t>
      </w:r>
    </w:p>
    <w:p>
      <w:pPr>
        <w:pStyle w:val="Heading2"/>
        <w:spacing w:lineRule="exact" w:line="240" w:before="180" w:after="80"/>
        <w:rPr/>
      </w:pPr>
      <w:bookmarkStart w:id="11" w:name="__RefHeading___Toc2743_3956443927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Ajuste de hiperparámetros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Configuración de tuning del Random Forest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999"/>
        <w:gridCol w:w="4800"/>
      </w:tblGrid>
      <w:tr>
        <w:trPr>
          <w:tblHeader w:val="true"/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Elemento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Métrica de selección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average_precision (AUC-PR)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StratifiedKFold(n_splits=3, shuffle=True, random_state=42)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n_estimators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max_depth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min_samples_leaf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Mejor AUC-PR CV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0.844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12" w:name="__RefHeading___Toc2745_3956443927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Persistencia del modelo entrenado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modelo sklearn seleccionado se persiste en outputs/models/modelo_favoritismo_rf.joblib. Los modelos Spark se regeneran en runtime y se versionan mediante sus configuraciones, métricas y rankings reproducibles, evitando binarios Spark con metadata no determinística.</w:t>
      </w:r>
    </w:p>
    <w:p>
      <w:pPr>
        <w:pStyle w:val="Heading2"/>
        <w:spacing w:lineRule="exact" w:line="240" w:before="180" w:after="80"/>
        <w:rPr/>
      </w:pPr>
      <w:bookmarkStart w:id="13" w:name="__RefHeading___Toc2747_3956443927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3.6 Análisis comparativo del rendimiento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benchmark deliberadamente incluye hard negatives. La reducción respecto de resultados perfectos antiguos se considera una mejora metodológica, porque hace visible la incertidumbre y reduce el riesgo de sobreinterpretación.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Importancia de variables del Random Forest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4" w:name="__RefHeading___Toc2749_3956443927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3.7 Interpretabilidad y documentación técnica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Resumen SHAP de favoritismo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3. Explicación SHAP de un caso priorizado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documentación para un eventual pase a certificación queda trazada mediante run_manifest.json, diccionario de datos, linaje, parámetros y métricas. La certificación formal depende de CGR.</w:t>
      </w:r>
    </w:p>
    <w:p>
      <w:pPr>
        <w:pStyle w:val="Heading1"/>
        <w:spacing w:lineRule="exact" w:line="240" w:before="240" w:after="120"/>
        <w:rPr/>
      </w:pPr>
      <w:bookmarkStart w:id="15" w:name="__RefHeading___Toc2751_3956443927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Generación de predicciones OOF y comparación de candidatos.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Tuning sistemático por AUC-PR y persistencia de configuración.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Entrenamiento final y persistencia del Random Forest sklearn.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Generación de importancia de variables y explicaciones SHAP globales e individuales.</w:t>
      </w:r>
    </w:p>
    <w:p>
      <w:pPr>
        <w:pStyle w:val="Heading1"/>
        <w:spacing w:lineRule="exact" w:line="240" w:before="240" w:after="120"/>
        <w:rPr/>
      </w:pPr>
      <w:bookmarkStart w:id="16" w:name="__RefHeading___Toc2753_3956443927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Entrenamiento, validación, tuning, persistencia e interpretabilidad completados para el PoC. El pase por ambientes institucionales y la certificación funcional no pueden demostrarse fuera de CGR.</w:t>
      </w:r>
    </w:p>
    <w:p>
      <w:pPr>
        <w:pStyle w:val="Heading1"/>
        <w:spacing w:lineRule="exact" w:line="240" w:before="240" w:after="120"/>
        <w:rPr/>
      </w:pPr>
      <w:bookmarkStart w:id="17" w:name="__RefHeading___Toc2755_3956443927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clase positiva es pequeña y sintética; las métricas deben leerse como benchmark metodológico.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No existe todavía ground truth real validado por auditores para medir generalización productiva.</w:t>
      </w:r>
    </w:p>
    <w:p>
      <w:pPr>
        <w:pStyle w:val="Heading1"/>
        <w:spacing w:lineRule="exact" w:line="240" w:before="240" w:after="120"/>
        <w:rPr/>
      </w:pPr>
      <w:bookmarkStart w:id="18" w:name="__RefHeading___Toc2757_3956443927"/>
      <w:bookmarkEnd w:id="1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validación es reproducible y metodológicamente más exigente. Se recomienda mantener AUC-PR como métrica primaria, conservar SHAP para explicabilidad y repetir la evaluación con particiones temporales o por entidad cuando exista ground truth institucional.</w:t>
      </w:r>
    </w:p>
    <w:p>
      <w:pPr>
        <w:pStyle w:val="Heading1"/>
        <w:spacing w:lineRule="exact" w:line="240" w:before="240" w:after="120"/>
        <w:rPr/>
      </w:pPr>
      <w:bookmarkStart w:id="19" w:name="__RefHeading___Toc2759_3956443927"/>
      <w:bookmarkEnd w:id="1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Heading1"/>
        <w:spacing w:lineRule="auto" w:line="240" w:before="0" w:after="60"/>
        <w:rPr/>
      </w:pPr>
      <w:bookmarkStart w:id="20" w:name="__RefHeading___Toc2761_3956443927"/>
      <w:bookmarkEnd w:id="20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actualiza la descripción de la arquitectura operacional.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21" w:name="__RefHeading___Toc2763_3956443927"/>
      <w:bookmarkEnd w:id="21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6726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3709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452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218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1422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1314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22" w:name="__RefHeading___Toc2765_3956443927"/>
      <w:bookmarkEnd w:id="22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4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3" w:name="__RefHeading___Toc2767_3956443927"/>
      <w:bookmarkEnd w:id="23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5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4" w:name="__RefHeading___Toc2769_3956443927"/>
      <w:bookmarkEnd w:id="24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evidencia histórica de modelado Spark se conserva en modo local[*] para reproducibilidad. En paralelo, la ruta operacional TRAIN/INFERENCE admite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capacidad elimina el cuello de botella pandas del adaptador Spark anterior, pero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25" w:name="__RefHeading___Toc2771_3956443927"/>
      <w:bookmarkEnd w:id="25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6" w:name="__RefHeading___Toc2773_3956443927"/>
      <w:bookmarkEnd w:id="2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10"/>
      <w:footerReference w:type="default" r:id="rId11"/>
      <w:footerReference w:type="first" r:id="rId12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Entrenamiento y Validación del Modelo para Identificación de Proveedores Favoritos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header" Target="header1.xml"/><Relationship Id="rId11" Type="http://schemas.openxmlformats.org/officeDocument/2006/relationships/footer" Target="footer4.xml"/><Relationship Id="rId12" Type="http://schemas.openxmlformats.org/officeDocument/2006/relationships/footer" Target="footer5.xml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2026-08-10T17:45:11Z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2026-08-10T17:45:15Z</dcterms:modified>
  <cp:revision>2</cp:revision>
  <dc:subject/>
  <dc:title>Entrenamiento y Validación del Modelo para Identificación de Proveedores Favoritos - Prototipo independiente CGR 1.8.2</dc:title>
</cp:coreProperties>
</file>