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PRODUCTO N.° 6</w:t>
      </w:r>
    </w:p>
    <w:p>
      <w:pPr>
        <w:pStyle w:val="Normal"/>
        <w:keepNext w:val="false"/>
        <w:spacing w:lineRule="exact" w:line="240" w:before="0" w:after="260"/>
        <w:jc w:val="center"/>
        <w:rPr/>
      </w:pPr>
      <w:r>
        <w:rPr>
          <w:rFonts w:eastAsia="Arial" w:cs="Arial"/>
          <w:b/>
          <w:bCs/>
          <w:color w:val="000000"/>
          <w:sz w:val="22"/>
          <w:szCs w:val="22"/>
        </w:rPr>
        <w:t>Selección del Algoritmo y Desarrollo del Modelo para Detección de Fraccionamiento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2982_1837720301"/>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Isolation Forest se usa como detector no supervisado de referencia y Spark MLlib KMeans como implementación objetivo del TDR. El holdout independiente del benchmark sklearn muestra AUC-PR 0.171, por lo que las salidas se tratan como priorización de revisión y no como clasificación de irregularidades.</w:t>
      </w:r>
    </w:p>
    <w:p>
      <w:pPr>
        <w:pStyle w:val="Normal"/>
        <w:keepNext w:val="false"/>
        <w:spacing w:lineRule="exact" w:line="240" w:before="0" w:after="80"/>
        <w:jc w:val="both"/>
        <w:rPr/>
      </w:pPr>
      <w:r>
        <w:rPr>
          <w:rFonts w:eastAsia="Arial" w:cs="Arial"/>
          <w:color w:val="000000"/>
          <w:sz w:val="22"/>
          <w:szCs w:val="22"/>
        </w:rPr>
        <w:t>Nota metodológica: las métricas del benchmark sintético evalúan la coherencia del PoC y no estiman desempeño productivo. Las salidas sobre datos públicos son señales de priorización para revisión humana y no constituyen hallazgos ni determinaciones automáticas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2982_1837720301">
            <w:r>
              <w:rPr>
                <w:rStyle w:val="IndexLink"/>
              </w:rPr>
              <w:t>Resumen Ejecutivo</w:t>
              <w:tab/>
              <w:t>2</w:t>
            </w:r>
          </w:hyperlink>
        </w:p>
        <w:p>
          <w:pPr>
            <w:pStyle w:val="TOC1"/>
            <w:tabs>
              <w:tab w:val="clear" w:pos="9026"/>
              <w:tab w:val="right" w:pos="9025" w:leader="dot"/>
            </w:tabs>
            <w:rPr/>
          </w:pPr>
          <w:hyperlink w:anchor="__RefHeading___Toc2984_1837720301">
            <w:r>
              <w:rPr>
                <w:rStyle w:val="IndexLink"/>
              </w:rPr>
              <w:t>Índice de Tablas o Cuadros</w:t>
              <w:tab/>
              <w:t>2</w:t>
            </w:r>
          </w:hyperlink>
        </w:p>
        <w:p>
          <w:pPr>
            <w:pStyle w:val="TOC1"/>
            <w:tabs>
              <w:tab w:val="clear" w:pos="9026"/>
              <w:tab w:val="right" w:pos="9025" w:leader="dot"/>
            </w:tabs>
            <w:rPr/>
          </w:pPr>
          <w:hyperlink w:anchor="__RefHeading___Toc2986_1837720301">
            <w:r>
              <w:rPr>
                <w:rStyle w:val="IndexLink"/>
              </w:rPr>
              <w:t>Índice de Gráficos</w:t>
              <w:tab/>
              <w:t>2</w:t>
            </w:r>
          </w:hyperlink>
        </w:p>
        <w:p>
          <w:pPr>
            <w:pStyle w:val="TOC1"/>
            <w:tabs>
              <w:tab w:val="clear" w:pos="9026"/>
              <w:tab w:val="right" w:pos="9025" w:leader="dot"/>
            </w:tabs>
            <w:rPr/>
          </w:pPr>
          <w:hyperlink w:anchor="__RefHeading___Toc2988_1837720301">
            <w:r>
              <w:rPr>
                <w:rStyle w:val="IndexLink"/>
              </w:rPr>
              <w:t>Lista de Abreviaturas y Acrónimos</w:t>
              <w:tab/>
              <w:t>2</w:t>
            </w:r>
          </w:hyperlink>
        </w:p>
        <w:p>
          <w:pPr>
            <w:pStyle w:val="TOC1"/>
            <w:tabs>
              <w:tab w:val="clear" w:pos="9026"/>
              <w:tab w:val="right" w:pos="9025" w:leader="dot"/>
            </w:tabs>
            <w:rPr/>
          </w:pPr>
          <w:hyperlink w:anchor="__RefHeading___Toc2990_1837720301">
            <w:r>
              <w:rPr>
                <w:rStyle w:val="IndexLink"/>
              </w:rPr>
              <w:t>Glosario</w:t>
              <w:tab/>
              <w:t>3</w:t>
            </w:r>
          </w:hyperlink>
        </w:p>
        <w:p>
          <w:pPr>
            <w:pStyle w:val="TOC1"/>
            <w:tabs>
              <w:tab w:val="clear" w:pos="9026"/>
              <w:tab w:val="right" w:pos="9025" w:leader="dot"/>
            </w:tabs>
            <w:rPr/>
          </w:pPr>
          <w:hyperlink w:anchor="__RefHeading___Toc2992_1837720301">
            <w:r>
              <w:rPr>
                <w:rStyle w:val="IndexLink"/>
              </w:rPr>
              <w:t>1. Introducción</w:t>
              <w:tab/>
              <w:t>3</w:t>
            </w:r>
          </w:hyperlink>
        </w:p>
        <w:p>
          <w:pPr>
            <w:pStyle w:val="TOC1"/>
            <w:tabs>
              <w:tab w:val="clear" w:pos="9026"/>
              <w:tab w:val="right" w:pos="9025" w:leader="dot"/>
            </w:tabs>
            <w:rPr/>
          </w:pPr>
          <w:hyperlink w:anchor="__RefHeading___Toc2994_1837720301">
            <w:r>
              <w:rPr>
                <w:rStyle w:val="IndexLink"/>
              </w:rPr>
              <w:t>2. Objetivo de Consultoría</w:t>
              <w:tab/>
              <w:t>3</w:t>
            </w:r>
          </w:hyperlink>
        </w:p>
        <w:p>
          <w:pPr>
            <w:pStyle w:val="TOC1"/>
            <w:tabs>
              <w:tab w:val="clear" w:pos="9026"/>
              <w:tab w:val="right" w:pos="9025" w:leader="dot"/>
            </w:tabs>
            <w:rPr/>
          </w:pPr>
          <w:hyperlink w:anchor="__RefHeading___Toc2996_1837720301">
            <w:r>
              <w:rPr>
                <w:rStyle w:val="IndexLink"/>
              </w:rPr>
              <w:t>3. Productos Alcanzados</w:t>
              <w:tab/>
              <w:t>4</w:t>
            </w:r>
          </w:hyperlink>
        </w:p>
        <w:p>
          <w:pPr>
            <w:pStyle w:val="TOC2"/>
            <w:tabs>
              <w:tab w:val="clear" w:pos="8743"/>
              <w:tab w:val="right" w:pos="9025" w:leader="dot"/>
            </w:tabs>
            <w:rPr/>
          </w:pPr>
          <w:hyperlink w:anchor="__RefHeading___Toc2998_1837720301">
            <w:r>
              <w:rPr>
                <w:rStyle w:val="IndexLink"/>
              </w:rPr>
              <w:t>3.1 Patrones y tendencias identificadas</w:t>
              <w:tab/>
              <w:t>4</w:t>
            </w:r>
          </w:hyperlink>
        </w:p>
        <w:p>
          <w:pPr>
            <w:pStyle w:val="TOC2"/>
            <w:tabs>
              <w:tab w:val="clear" w:pos="8743"/>
              <w:tab w:val="right" w:pos="9025" w:leader="dot"/>
            </w:tabs>
            <w:rPr/>
          </w:pPr>
          <w:hyperlink w:anchor="__RefHeading___Toc3000_1837720301">
            <w:r>
              <w:rPr>
                <w:rStyle w:val="IndexLink"/>
              </w:rPr>
              <w:t>3.2 Análisis estadístico detallado</w:t>
              <w:tab/>
              <w:t>4</w:t>
            </w:r>
          </w:hyperlink>
        </w:p>
        <w:p>
          <w:pPr>
            <w:pStyle w:val="TOC2"/>
            <w:tabs>
              <w:tab w:val="clear" w:pos="8743"/>
              <w:tab w:val="right" w:pos="9025" w:leader="dot"/>
            </w:tabs>
            <w:rPr/>
          </w:pPr>
          <w:hyperlink w:anchor="__RefHeading___Toc3002_1837720301">
            <w:r>
              <w:rPr>
                <w:rStyle w:val="IndexLink"/>
              </w:rPr>
              <w:t>3.3 Propuesta fundamentada de algoritmos</w:t>
              <w:tab/>
              <w:t>4</w:t>
            </w:r>
          </w:hyperlink>
        </w:p>
        <w:p>
          <w:pPr>
            <w:pStyle w:val="TOC2"/>
            <w:tabs>
              <w:tab w:val="clear" w:pos="8743"/>
              <w:tab w:val="right" w:pos="9025" w:leader="dot"/>
            </w:tabs>
            <w:rPr/>
          </w:pPr>
          <w:hyperlink w:anchor="__RefHeading___Toc3004_1837720301">
            <w:r>
              <w:rPr>
                <w:rStyle w:val="IndexLink"/>
              </w:rPr>
              <w:t>3.4 Diseño y arquitectura</w:t>
              <w:tab/>
              <w:t>5</w:t>
            </w:r>
          </w:hyperlink>
        </w:p>
        <w:p>
          <w:pPr>
            <w:pStyle w:val="TOC2"/>
            <w:tabs>
              <w:tab w:val="clear" w:pos="8743"/>
              <w:tab w:val="right" w:pos="9025" w:leader="dot"/>
            </w:tabs>
            <w:rPr/>
          </w:pPr>
          <w:hyperlink w:anchor="__RefHeading___Toc3006_1837720301">
            <w:r>
              <w:rPr>
                <w:rStyle w:val="IndexLink"/>
              </w:rPr>
              <w:t>3.5 Reporte de implementación usando Apache Spark MLlib</w:t>
              <w:tab/>
              <w:t>5</w:t>
            </w:r>
          </w:hyperlink>
        </w:p>
        <w:p>
          <w:pPr>
            <w:pStyle w:val="TOC2"/>
            <w:tabs>
              <w:tab w:val="clear" w:pos="8743"/>
              <w:tab w:val="right" w:pos="9025" w:leader="dot"/>
            </w:tabs>
            <w:rPr/>
          </w:pPr>
          <w:hyperlink w:anchor="__RefHeading___Toc3008_1837720301">
            <w:r>
              <w:rPr>
                <w:rStyle w:val="IndexLink"/>
              </w:rPr>
              <w:t>3.6 Parámetros y configuraciones</w:t>
              <w:tab/>
              <w:t>5</w:t>
            </w:r>
          </w:hyperlink>
        </w:p>
        <w:p>
          <w:pPr>
            <w:pStyle w:val="TOC1"/>
            <w:tabs>
              <w:tab w:val="clear" w:pos="9026"/>
              <w:tab w:val="right" w:pos="9025" w:leader="dot"/>
            </w:tabs>
            <w:rPr/>
          </w:pPr>
          <w:hyperlink w:anchor="__RefHeading___Toc3010_1837720301">
            <w:r>
              <w:rPr>
                <w:rStyle w:val="IndexLink"/>
              </w:rPr>
              <w:t>4. Actividades Realizadas</w:t>
              <w:tab/>
              <w:t>5</w:t>
            </w:r>
          </w:hyperlink>
        </w:p>
        <w:p>
          <w:pPr>
            <w:pStyle w:val="TOC1"/>
            <w:tabs>
              <w:tab w:val="clear" w:pos="9026"/>
              <w:tab w:val="right" w:pos="9025" w:leader="dot"/>
            </w:tabs>
            <w:rPr/>
          </w:pPr>
          <w:hyperlink w:anchor="__RefHeading___Toc3012_1837720301">
            <w:r>
              <w:rPr>
                <w:rStyle w:val="IndexLink"/>
              </w:rPr>
              <w:t>5. Grado de Cumplimiento del Producto</w:t>
              <w:tab/>
              <w:t>5</w:t>
            </w:r>
          </w:hyperlink>
        </w:p>
        <w:p>
          <w:pPr>
            <w:pStyle w:val="TOC1"/>
            <w:tabs>
              <w:tab w:val="clear" w:pos="9026"/>
              <w:tab w:val="right" w:pos="9025" w:leader="dot"/>
            </w:tabs>
            <w:rPr/>
          </w:pPr>
          <w:hyperlink w:anchor="__RefHeading___Toc3014_1837720301">
            <w:r>
              <w:rPr>
                <w:rStyle w:val="IndexLink"/>
              </w:rPr>
              <w:t>6. Dificultades y Limitaciones Encontradas</w:t>
              <w:tab/>
              <w:t>5</w:t>
            </w:r>
          </w:hyperlink>
        </w:p>
        <w:p>
          <w:pPr>
            <w:pStyle w:val="TOC1"/>
            <w:tabs>
              <w:tab w:val="clear" w:pos="9026"/>
              <w:tab w:val="right" w:pos="9025" w:leader="dot"/>
            </w:tabs>
            <w:rPr/>
          </w:pPr>
          <w:hyperlink w:anchor="__RefHeading___Toc3016_1837720301">
            <w:r>
              <w:rPr>
                <w:rStyle w:val="IndexLink"/>
              </w:rPr>
              <w:t>7. Conclusiones y Recomendaciones</w:t>
              <w:tab/>
              <w:t>5</w:t>
            </w:r>
          </w:hyperlink>
        </w:p>
        <w:p>
          <w:pPr>
            <w:pStyle w:val="TOC1"/>
            <w:tabs>
              <w:tab w:val="clear" w:pos="9026"/>
              <w:tab w:val="right" w:pos="9025" w:leader="dot"/>
            </w:tabs>
            <w:rPr/>
          </w:pPr>
          <w:hyperlink w:anchor="__RefHeading___Toc3018_1837720301">
            <w:r>
              <w:rPr>
                <w:rStyle w:val="IndexLink"/>
              </w:rPr>
              <w:t>8. Anexos</w:t>
              <w:tab/>
              <w:t>6</w:t>
            </w:r>
          </w:hyperlink>
        </w:p>
        <w:p>
          <w:pPr>
            <w:pStyle w:val="TOC1"/>
            <w:tabs>
              <w:tab w:val="clear" w:pos="9026"/>
              <w:tab w:val="right" w:pos="9025" w:leader="dot"/>
            </w:tabs>
            <w:rPr/>
          </w:pPr>
          <w:hyperlink w:anchor="__RefHeading___Toc3020_1837720301">
            <w:r>
              <w:rPr>
                <w:rStyle w:val="IndexLink"/>
              </w:rPr>
              <w:t>Referencias Bibliográficas</w:t>
              <w:tab/>
              <w:t>6</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2984_1837720301"/>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Evaluación holdout de Isolation Forest</w:t>
      </w:r>
    </w:p>
    <w:p>
      <w:pPr>
        <w:pStyle w:val="Normal"/>
        <w:keepNext w:val="false"/>
        <w:spacing w:lineRule="exact" w:line="240" w:before="0" w:after="35"/>
        <w:jc w:val="left"/>
        <w:rPr/>
      </w:pPr>
      <w:r>
        <w:rPr>
          <w:rFonts w:eastAsia="Arial" w:cs="Arial"/>
          <w:color w:val="000000"/>
          <w:sz w:val="22"/>
          <w:szCs w:val="22"/>
        </w:rPr>
        <w:t>2. Implementación Spark MLlib para fraccionamiento</w:t>
      </w:r>
    </w:p>
    <w:p>
      <w:pPr>
        <w:pStyle w:val="Heading1"/>
        <w:spacing w:lineRule="exact" w:line="240" w:before="240" w:after="120"/>
        <w:rPr/>
      </w:pPr>
      <w:bookmarkStart w:id="2" w:name="__RefHeading___Toc2986_1837720301"/>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Detección de señales de posible fraccionamiento</w:t>
      </w:r>
    </w:p>
    <w:p>
      <w:pPr>
        <w:pStyle w:val="Heading1"/>
        <w:spacing w:lineRule="exact" w:line="240" w:before="240" w:after="120"/>
        <w:rPr/>
      </w:pPr>
      <w:bookmarkStart w:id="3" w:name="__RefHeading___Toc2988_1837720301"/>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2990_1837720301"/>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2992_1837720301"/>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producto cubre patrones, análisis estadístico, propuesta de algoritmos, arquitectura, implementación Spark MLlib y parámetros para la detección de patrones de compras anómalos.</w:t>
      </w:r>
    </w:p>
    <w:p>
      <w:pPr>
        <w:pStyle w:val="Heading1"/>
        <w:spacing w:lineRule="exact" w:line="240" w:before="240" w:after="120"/>
        <w:rPr/>
      </w:pPr>
      <w:bookmarkStart w:id="6" w:name="__RefHeading___Toc2994_1837720301"/>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Objetivo de consultoría tomado como referencia del TDR: disponer datos procesados y filtrados de fuentes externas e internas, y desarrollar modelos de Machine Learning que permitan identificar casos atípicos y patrones de riesgo relevantes para la labor del auditor. En este repositorio dicho objetivo se desarrolla únicamente como prototipo independiente.</w:t>
      </w:r>
    </w:p>
    <w:p>
      <w:pPr>
        <w:pStyle w:val="Heading1"/>
        <w:spacing w:lineRule="exact" w:line="240" w:before="240" w:after="120"/>
        <w:rPr/>
      </w:pPr>
      <w:bookmarkStart w:id="7" w:name="__RefHeading___Toc2996_1837720301"/>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2998_1837720301"/>
      <w:bookmarkEnd w:id="8"/>
      <w:r>
        <w:rPr>
          <w:rFonts w:eastAsia="Arial" w:cs="Arial" w:ascii="Arial" w:hAnsi="Arial"/>
          <w:b/>
          <w:bCs/>
          <w:color w:val="000000"/>
          <w:sz w:val="22"/>
          <w:szCs w:val="22"/>
        </w:rPr>
        <w:t>3.1 Patrones y tendencias identificadas</w:t>
      </w:r>
    </w:p>
    <w:p>
      <w:pPr>
        <w:pStyle w:val="Normal"/>
        <w:keepNext w:val="false"/>
        <w:spacing w:lineRule="exact" w:line="240" w:before="0" w:after="80"/>
        <w:jc w:val="both"/>
        <w:rPr/>
      </w:pPr>
      <w:r>
        <w:rPr>
          <w:rFonts w:eastAsia="Arial" w:cs="Arial"/>
          <w:color w:val="000000"/>
          <w:sz w:val="22"/>
          <w:szCs w:val="22"/>
        </w:rPr>
        <w:t>El caso de uso se caracteriza por grupos muy desbalanceados, concentración temporal y montos cercanos a cuantías de referencia. Estos patrones justifican combinar detección de anomalías con una señal interpretable de caja blanca.</w:t>
      </w:r>
    </w:p>
    <w:p>
      <w:pPr>
        <w:pStyle w:val="Normal"/>
        <w:keepNext w:val="true"/>
        <w:spacing w:lineRule="exact" w:line="240" w:before="0" w:after="35"/>
        <w:jc w:val="center"/>
        <w:rPr/>
      </w:pPr>
      <w:r>
        <w:rPr>
          <w:rFonts w:eastAsia="Arial" w:cs="Arial"/>
          <w:b/>
          <w:bCs/>
          <w:color w:val="000000"/>
          <w:sz w:val="22"/>
          <w:szCs w:val="22"/>
        </w:rPr>
        <w:t>Gráfico 1. Detección de señales de posible fraccionamiento</w:t>
      </w:r>
    </w:p>
    <w:p>
      <w:pPr>
        <w:pStyle w:val="Normal"/>
        <w:keepNext w:val="true"/>
        <w:spacing w:before="0" w:after="40"/>
        <w:jc w:val="center"/>
        <w:rPr/>
      </w:pPr>
      <w:r>
        <w:rPr/>
        <w:drawing>
          <wp:inline distT="0" distB="0" distL="0" distR="0">
            <wp:extent cx="5810250" cy="33337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3000_1837720301"/>
      <w:bookmarkEnd w:id="9"/>
      <w:r>
        <w:rPr>
          <w:rFonts w:eastAsia="Arial" w:cs="Arial" w:ascii="Arial" w:hAnsi="Arial"/>
          <w:b/>
          <w:bCs/>
          <w:color w:val="000000"/>
          <w:sz w:val="22"/>
          <w:szCs w:val="22"/>
        </w:rPr>
        <w:t>3.2 Análisis estadístico detallado</w:t>
      </w:r>
    </w:p>
    <w:p>
      <w:pPr>
        <w:pStyle w:val="Normal"/>
        <w:keepNext w:val="true"/>
        <w:spacing w:lineRule="exact" w:line="240" w:before="0" w:after="45"/>
        <w:jc w:val="center"/>
        <w:rPr/>
      </w:pPr>
      <w:r>
        <w:rPr>
          <w:rFonts w:eastAsia="Arial" w:cs="Arial"/>
          <w:b/>
          <w:bCs/>
          <w:color w:val="000000"/>
          <w:sz w:val="22"/>
          <w:szCs w:val="22"/>
        </w:rPr>
        <w:t>Tabla 1. Evaluación holdout de Isolation Forest</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Heading2"/>
        <w:spacing w:lineRule="exact" w:line="240" w:before="180" w:after="80"/>
        <w:rPr/>
      </w:pPr>
      <w:bookmarkStart w:id="10" w:name="__RefHeading___Toc3002_1837720301"/>
      <w:bookmarkEnd w:id="10"/>
      <w:r>
        <w:rPr>
          <w:rFonts w:eastAsia="Arial" w:cs="Arial" w:ascii="Arial" w:hAnsi="Arial"/>
          <w:b/>
          <w:bCs/>
          <w:color w:val="000000"/>
          <w:sz w:val="22"/>
          <w:szCs w:val="22"/>
        </w:rPr>
        <w:t>3.3 Propuesta fundamentada de algoritmos</w:t>
      </w:r>
    </w:p>
    <w:p>
      <w:pPr>
        <w:pStyle w:val="Normal"/>
        <w:keepNext w:val="false"/>
        <w:spacing w:lineRule="exact" w:line="240" w:before="0" w:after="80"/>
        <w:jc w:val="both"/>
        <w:rPr/>
      </w:pPr>
      <w:r>
        <w:rPr>
          <w:rFonts w:eastAsia="Arial" w:cs="Arial"/>
          <w:color w:val="000000"/>
          <w:sz w:val="22"/>
          <w:szCs w:val="22"/>
        </w:rPr>
        <w:t>Isolation Forest permite un ranking de anomalía sin requerir una clase positiva abundante. Spark KMeans aporta una implementación de clustering acorde al énfasis del TDR en Spark MLlib. La regla interpretable complementa ambos enfoques y facilita revisión humana.</w:t>
      </w:r>
    </w:p>
    <w:p>
      <w:pPr>
        <w:pStyle w:val="Heading2"/>
        <w:spacing w:lineRule="exact" w:line="240" w:before="180" w:after="80"/>
        <w:rPr/>
      </w:pPr>
      <w:bookmarkStart w:id="11" w:name="__RefHeading___Toc3004_1837720301"/>
      <w:bookmarkEnd w:id="11"/>
      <w:r>
        <w:rPr>
          <w:rFonts w:eastAsia="Arial" w:cs="Arial" w:ascii="Arial" w:hAnsi="Arial"/>
          <w:b/>
          <w:bCs/>
          <w:color w:val="000000"/>
          <w:sz w:val="22"/>
          <w:szCs w:val="22"/>
        </w:rPr>
        <w:t>3.4 Diseño y arquitectura</w:t>
      </w:r>
    </w:p>
    <w:p>
      <w:pPr>
        <w:pStyle w:val="Normal"/>
        <w:keepNext w:val="false"/>
        <w:spacing w:lineRule="exact" w:line="240" w:before="0" w:after="80"/>
        <w:jc w:val="both"/>
        <w:rPr/>
      </w:pPr>
      <w:r>
        <w:rPr>
          <w:rFonts w:eastAsia="Arial" w:cs="Arial"/>
          <w:color w:val="000000"/>
          <w:sz w:val="22"/>
          <w:szCs w:val="22"/>
        </w:rPr>
        <w:t>Los features se calculan desde Plata; la ruta sklearn evalúa Isolation Forest con holdout independiente, mientras la ruta Spark construye ventanas mediante Spark SQL y aplica KMeans MLlib. Los rankings se publican en Oro.</w:t>
      </w:r>
    </w:p>
    <w:p>
      <w:pPr>
        <w:pStyle w:val="Heading2"/>
        <w:spacing w:lineRule="exact" w:line="240" w:before="180" w:after="80"/>
        <w:rPr/>
      </w:pPr>
      <w:bookmarkStart w:id="12" w:name="__RefHeading___Toc3006_1837720301"/>
      <w:bookmarkEnd w:id="12"/>
      <w:r>
        <w:rPr>
          <w:rFonts w:eastAsia="Arial" w:cs="Arial" w:ascii="Arial" w:hAnsi="Arial"/>
          <w:b/>
          <w:bCs/>
          <w:color w:val="000000"/>
          <w:sz w:val="22"/>
          <w:szCs w:val="22"/>
        </w:rPr>
        <w:t>3.5 Reporte de implementación usando Apache Spark MLlib</w:t>
      </w:r>
    </w:p>
    <w:p>
      <w:pPr>
        <w:pStyle w:val="Normal"/>
        <w:keepNext w:val="true"/>
        <w:spacing w:lineRule="exact" w:line="240" w:before="0" w:after="45"/>
        <w:jc w:val="center"/>
        <w:rPr/>
      </w:pPr>
      <w:r>
        <w:rPr>
          <w:rFonts w:eastAsia="Arial" w:cs="Arial"/>
          <w:b/>
          <w:bCs/>
          <w:color w:val="000000"/>
          <w:sz w:val="22"/>
          <w:szCs w:val="22"/>
        </w:rPr>
        <w:t>Tabla 2. Implementación Spark MLlib para fraccionamiento</w:t>
      </w:r>
    </w:p>
    <w:tbl>
      <w:tblPr>
        <w:tblW w:w="8800" w:type="dxa"/>
        <w:jc w:val="left"/>
        <w:tblInd w:w="0" w:type="dxa"/>
        <w:tblLayout w:type="fixed"/>
        <w:tblCellMar>
          <w:top w:w="55" w:type="dxa"/>
          <w:left w:w="80" w:type="dxa"/>
          <w:bottom w:w="55" w:type="dxa"/>
          <w:right w:w="80" w:type="dxa"/>
        </w:tblCellMar>
      </w:tblPr>
      <w:tblGrid>
        <w:gridCol w:w="3300"/>
        <w:gridCol w:w="5499"/>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Elemento</w:t>
            </w:r>
          </w:p>
        </w:tc>
        <w:tc>
          <w:tcPr>
            <w:tcW w:w="54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Motor</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Apache Spark MLlib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Modo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local[*]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Algoritmo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KMeans + distancia al centroide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k</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Dataset</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lakehouse/plata/contratos_procesados.csv</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Top-K aciertos sintéticos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interpretable - positivos recuperados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Advertencia</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Sanity check sobre benchmark sintético; no estima desempeño productivo. Ejecución Spark real local; clúster CGR pendiente.</w:t>
            </w:r>
          </w:p>
        </w:tc>
      </w:tr>
    </w:tbl>
    <w:p>
      <w:pPr>
        <w:pStyle w:val="Heading2"/>
        <w:spacing w:lineRule="exact" w:line="240" w:before="180" w:after="80"/>
        <w:rPr/>
      </w:pPr>
      <w:bookmarkStart w:id="13" w:name="__RefHeading___Toc3008_1837720301"/>
      <w:bookmarkEnd w:id="13"/>
      <w:r>
        <w:rPr>
          <w:rFonts w:eastAsia="Arial" w:cs="Arial" w:ascii="Arial" w:hAnsi="Arial"/>
          <w:b/>
          <w:bCs/>
          <w:color w:val="000000"/>
          <w:sz w:val="22"/>
          <w:szCs w:val="22"/>
        </w:rPr>
        <w:t>3.6 Parámetros y configuraciones</w:t>
      </w:r>
    </w:p>
    <w:p>
      <w:pPr>
        <w:pStyle w:val="ListParagraph"/>
        <w:numPr>
          <w:ilvl w:val="0"/>
          <w:numId w:val="3"/>
        </w:numPr>
        <w:spacing w:lineRule="exact" w:line="240" w:before="0" w:after="50"/>
        <w:rPr/>
      </w:pPr>
      <w:r>
        <w:rPr>
          <w:rFonts w:eastAsia="Arial" w:cs="Arial"/>
          <w:color w:val="000000"/>
          <w:sz w:val="22"/>
          <w:szCs w:val="22"/>
        </w:rPr>
        <w:t>Isolation Forest: n_estimators=100, max_samples=0.5, contamination=auto.</w:t>
      </w:r>
    </w:p>
    <w:p>
      <w:pPr>
        <w:pStyle w:val="ListParagraph"/>
        <w:numPr>
          <w:ilvl w:val="0"/>
          <w:numId w:val="1"/>
        </w:numPr>
        <w:spacing w:lineRule="exact" w:line="240" w:before="0" w:after="50"/>
        <w:rPr/>
      </w:pPr>
      <w:r>
        <w:rPr>
          <w:rFonts w:eastAsia="Arial" w:cs="Arial"/>
          <w:color w:val="000000"/>
          <w:sz w:val="22"/>
          <w:szCs w:val="22"/>
        </w:rPr>
        <w:t>Spark KMeans: k=2; features=n_contratos_grupo, max_contratos_ventana_15d, monto_total_ventana_15d, pct_montos_bajo_umbral, monto_total_grupo.</w:t>
      </w:r>
    </w:p>
    <w:p>
      <w:pPr>
        <w:pStyle w:val="Heading1"/>
        <w:spacing w:lineRule="exact" w:line="240" w:before="240" w:after="120"/>
        <w:rPr/>
      </w:pPr>
      <w:bookmarkStart w:id="14" w:name="__RefHeading___Toc3010_1837720301"/>
      <w:bookmarkEnd w:id="14"/>
      <w:r>
        <w:rPr>
          <w:rFonts w:eastAsia="Arial" w:cs="Arial" w:ascii="Arial" w:hAnsi="Arial"/>
          <w:b/>
          <w:bCs/>
          <w:color w:val="000000"/>
          <w:sz w:val="22"/>
          <w:szCs w:val="22"/>
        </w:rPr>
        <w:t>4. Actividades Realizadas</w:t>
      </w:r>
    </w:p>
    <w:p>
      <w:pPr>
        <w:pStyle w:val="ListParagraph"/>
        <w:numPr>
          <w:ilvl w:val="0"/>
          <w:numId w:val="1"/>
        </w:numPr>
        <w:spacing w:lineRule="exact" w:line="240" w:before="0" w:after="50"/>
        <w:rPr/>
      </w:pPr>
      <w:r>
        <w:rPr>
          <w:rFonts w:eastAsia="Arial" w:cs="Arial"/>
          <w:color w:val="000000"/>
          <w:sz w:val="22"/>
          <w:szCs w:val="22"/>
        </w:rPr>
        <w:t>Separación de holdout final antes del tuning.</w:t>
      </w:r>
    </w:p>
    <w:p>
      <w:pPr>
        <w:pStyle w:val="ListParagraph"/>
        <w:numPr>
          <w:ilvl w:val="0"/>
          <w:numId w:val="1"/>
        </w:numPr>
        <w:spacing w:lineRule="exact" w:line="240" w:before="0" w:after="50"/>
        <w:rPr/>
      </w:pPr>
      <w:r>
        <w:rPr>
          <w:rFonts w:eastAsia="Arial" w:cs="Arial"/>
          <w:color w:val="000000"/>
          <w:sz w:val="22"/>
          <w:szCs w:val="22"/>
        </w:rPr>
        <w:t>Validaciones repetidas únicamente sobre desarrollo y selección por AUC-PR.</w:t>
      </w:r>
    </w:p>
    <w:p>
      <w:pPr>
        <w:pStyle w:val="ListParagraph"/>
        <w:numPr>
          <w:ilvl w:val="0"/>
          <w:numId w:val="1"/>
        </w:numPr>
        <w:spacing w:lineRule="exact" w:line="240" w:before="0" w:after="50"/>
        <w:rPr/>
      </w:pPr>
      <w:r>
        <w:rPr>
          <w:rFonts w:eastAsia="Arial" w:cs="Arial"/>
          <w:color w:val="000000"/>
          <w:sz w:val="22"/>
          <w:szCs w:val="22"/>
        </w:rPr>
        <w:t>Implementación de ventanas Spark SQL y KMeans con Spark MLlib.</w:t>
      </w:r>
    </w:p>
    <w:p>
      <w:pPr>
        <w:pStyle w:val="ListParagraph"/>
        <w:numPr>
          <w:ilvl w:val="0"/>
          <w:numId w:val="1"/>
        </w:numPr>
        <w:spacing w:lineRule="exact" w:line="240" w:before="0" w:after="50"/>
        <w:rPr/>
      </w:pPr>
      <w:r>
        <w:rPr>
          <w:rFonts w:eastAsia="Arial" w:cs="Arial"/>
          <w:color w:val="000000"/>
          <w:sz w:val="22"/>
          <w:szCs w:val="22"/>
        </w:rPr>
        <w:t>Publicación de ranking Spark y resumen JSON reproducible.</w:t>
      </w:r>
    </w:p>
    <w:p>
      <w:pPr>
        <w:pStyle w:val="Heading1"/>
        <w:spacing w:lineRule="exact" w:line="240" w:before="240" w:after="120"/>
        <w:rPr/>
      </w:pPr>
      <w:bookmarkStart w:id="15" w:name="__RefHeading___Toc3012_1837720301"/>
      <w:bookmarkEnd w:id="15"/>
      <w:r>
        <w:rPr>
          <w:rFonts w:eastAsia="Arial" w:cs="Arial" w:ascii="Arial" w:hAnsi="Arial"/>
          <w:b/>
          <w:bCs/>
          <w:color w:val="000000"/>
          <w:sz w:val="22"/>
          <w:szCs w:val="22"/>
        </w:rPr>
        <w:t>5. Grado de Cumplimiento del Producto</w:t>
      </w:r>
    </w:p>
    <w:p>
      <w:pPr>
        <w:pStyle w:val="Normal"/>
        <w:keepNext w:val="false"/>
        <w:spacing w:lineRule="exact" w:line="240" w:before="0" w:after="80"/>
        <w:jc w:val="both"/>
        <w:rPr/>
      </w:pPr>
      <w:r>
        <w:rPr>
          <w:rFonts w:eastAsia="Arial" w:cs="Arial"/>
          <w:color w:val="000000"/>
          <w:sz w:val="22"/>
          <w:szCs w:val="22"/>
        </w:rPr>
        <w:t>Selección y desarrollo completados en el PoC, incluida ejecución real con Spark MLlib. El rendimiento distribuido y la calibración sobre ground truth real requieren infraestructura y datos CGR.</w:t>
      </w:r>
    </w:p>
    <w:p>
      <w:pPr>
        <w:pStyle w:val="Heading1"/>
        <w:spacing w:lineRule="exact" w:line="240" w:before="240" w:after="120"/>
        <w:rPr/>
      </w:pPr>
      <w:bookmarkStart w:id="16" w:name="__RefHeading___Toc3014_1837720301"/>
      <w:bookmarkEnd w:id="16"/>
      <w:r>
        <w:rPr>
          <w:rFonts w:eastAsia="Arial" w:cs="Arial" w:ascii="Arial" w:hAnsi="Arial"/>
          <w:b/>
          <w:bCs/>
          <w:color w:val="000000"/>
          <w:sz w:val="22"/>
          <w:szCs w:val="22"/>
        </w:rPr>
        <w:t>6. Dificultades y Limitaciones Encontradas</w:t>
      </w:r>
    </w:p>
    <w:p>
      <w:pPr>
        <w:pStyle w:val="ListParagraph"/>
        <w:numPr>
          <w:ilvl w:val="0"/>
          <w:numId w:val="1"/>
        </w:numPr>
        <w:spacing w:lineRule="exact" w:line="240" w:before="0" w:after="50"/>
        <w:rPr/>
      </w:pPr>
      <w:r>
        <w:rPr>
          <w:rFonts w:eastAsia="Arial" w:cs="Arial"/>
          <w:color w:val="000000"/>
          <w:sz w:val="22"/>
          <w:szCs w:val="22"/>
        </w:rPr>
        <w:t>Solo existen 8 positivos sintéticos y 3 positivos en holdout; recall@K es especialmente inestable.</w:t>
      </w:r>
    </w:p>
    <w:p>
      <w:pPr>
        <w:pStyle w:val="ListParagraph"/>
        <w:numPr>
          <w:ilvl w:val="0"/>
          <w:numId w:val="1"/>
        </w:numPr>
        <w:spacing w:lineRule="exact" w:line="240" w:before="0" w:after="50"/>
        <w:rPr/>
      </w:pPr>
      <w:r>
        <w:rPr>
          <w:rFonts w:eastAsia="Arial" w:cs="Arial"/>
          <w:color w:val="000000"/>
          <w:sz w:val="22"/>
          <w:szCs w:val="22"/>
        </w:rPr>
        <w:t>La baja AUC-PR y baja precision del detector estadístico muestran que aún hay falsos positivos relevantes.</w:t>
      </w:r>
    </w:p>
    <w:p>
      <w:pPr>
        <w:pStyle w:val="Heading1"/>
        <w:spacing w:lineRule="exact" w:line="240" w:before="240" w:after="120"/>
        <w:rPr/>
      </w:pPr>
      <w:bookmarkStart w:id="17" w:name="__RefHeading___Toc3016_1837720301"/>
      <w:bookmarkEnd w:id="17"/>
      <w:r>
        <w:rPr>
          <w:rFonts w:eastAsia="Arial" w:cs="Arial" w:ascii="Arial" w:hAnsi="Arial"/>
          <w:b/>
          <w:bCs/>
          <w:color w:val="000000"/>
          <w:sz w:val="22"/>
          <w:szCs w:val="22"/>
        </w:rPr>
        <w:t>7. Conclusiones y Recomendaciones</w:t>
      </w:r>
    </w:p>
    <w:p>
      <w:pPr>
        <w:pStyle w:val="Normal"/>
        <w:keepNext w:val="false"/>
        <w:spacing w:lineRule="exact" w:line="240" w:before="0" w:after="80"/>
        <w:jc w:val="both"/>
        <w:rPr/>
      </w:pPr>
      <w:r>
        <w:rPr>
          <w:rFonts w:eastAsia="Arial" w:cs="Arial"/>
          <w:color w:val="000000"/>
          <w:sz w:val="22"/>
          <w:szCs w:val="22"/>
        </w:rPr>
        <w:t>El resultado principal es una arquitectura híbrida y honesta: detector no supervisado, clustering Spark y regla interpretable para priorización. Ninguna de estas señales debe convertirse automáticamente en un hallazgo de fraccionamiento.</w:t>
      </w:r>
    </w:p>
    <w:p>
      <w:pPr>
        <w:pStyle w:val="Heading1"/>
        <w:spacing w:lineRule="exact" w:line="240" w:before="240" w:after="120"/>
        <w:rPr/>
      </w:pPr>
      <w:bookmarkStart w:id="18" w:name="__RefHeading___Toc3018_1837720301"/>
      <w:bookmarkEnd w:id="18"/>
      <w:r>
        <w:rPr>
          <w:rFonts w:eastAsia="Arial" w:cs="Arial" w:ascii="Arial" w:hAnsi="Arial"/>
          <w:b/>
          <w:bCs/>
          <w:color w:val="000000"/>
          <w:sz w:val="22"/>
          <w:szCs w:val="22"/>
        </w:rPr>
        <w:t>8. Anexos</w:t>
      </w:r>
    </w:p>
    <w:p>
      <w:pPr>
        <w:pStyle w:val="ListParagraph"/>
        <w:numPr>
          <w:ilvl w:val="0"/>
          <w:numId w:val="1"/>
        </w:numPr>
        <w:spacing w:lineRule="exact" w:line="240" w:before="0" w:after="50"/>
        <w:rPr/>
      </w:pPr>
      <w:r>
        <w:rPr>
          <w:rFonts w:eastAsia="Arial" w:cs="Arial"/>
          <w:color w:val="000000"/>
          <w:sz w:val="22"/>
          <w:szCs w:val="22"/>
        </w:rPr>
        <w:t>Repositorio organizado con código, datasets sintéticos, evidencia reproducible y documentación: https://github.com/NoeCalle/cgr-analisis-datos</w:t>
      </w:r>
    </w:p>
    <w:p>
      <w:pPr>
        <w:pStyle w:val="ListParagraph"/>
        <w:numPr>
          <w:ilvl w:val="0"/>
          <w:numId w:val="1"/>
        </w:numPr>
        <w:spacing w:lineRule="exact" w:line="240" w:before="0" w:after="50"/>
        <w:rPr/>
      </w:pPr>
      <w:r>
        <w:rPr>
          <w:rFonts w:eastAsia="Arial" w:cs="Arial"/>
          <w:color w:val="000000"/>
          <w:sz w:val="22"/>
          <w:szCs w:val="22"/>
        </w:rPr>
        <w:t>Fuente única de cifras documentales: outputs/evidencia_documental.json.</w:t>
      </w:r>
    </w:p>
    <w:p>
      <w:pPr>
        <w:pStyle w:val="ListParagraph"/>
        <w:numPr>
          <w:ilvl w:val="0"/>
          <w:numId w:val="1"/>
        </w:numPr>
        <w:spacing w:lineRule="exact" w:line="240" w:before="0" w:after="50"/>
        <w:rPr/>
      </w:pPr>
      <w:r>
        <w:rPr>
          <w:rFonts w:eastAsia="Arial" w:cs="Arial"/>
          <w:color w:val="000000"/>
          <w:sz w:val="22"/>
          <w:szCs w:val="22"/>
        </w:rPr>
        <w:t>Trazabilidad de ejecución: outputs/run_manifest.json y outputs/linaje_datos.csv.</w:t>
      </w:r>
    </w:p>
    <w:p>
      <w:pPr>
        <w:pStyle w:val="Heading1"/>
        <w:spacing w:lineRule="exact" w:line="240" w:before="240" w:after="120"/>
        <w:rPr/>
      </w:pPr>
      <w:bookmarkStart w:id="19" w:name="__RefHeading___Toc3020_1837720301"/>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6"/>
      <w:footerReference w:type="default" r:id="rId7"/>
      <w:footerReference w:type="first" r:id="rId8"/>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6</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Selección del Algoritmo y Desarrollo del Modelo para Detección de Fraccionamiento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2026-08-08T15:49:22Z</dcterms:created>
  <dc:creator>Noé Calle</dc:creator>
  <dc:description>PROTOTIPO INDEPENDIENTE - no constituye una implementación oficial ni cuenta con aprobación institucional de la CGR.</dc:description>
  <dc:language>en-US</dc:language>
  <cp:lastModifiedBy/>
  <dcterms:modified xsi:type="dcterms:W3CDTF">2026-08-08T15:49:26Z</dcterms:modified>
  <cp:revision>2</cp:revision>
  <dc:subject/>
  <dc:title>Selección del Algoritmo y Desarrollo del Modelo para Detección de Fraccionamiento - Prototipo independiente CGR 1.8.2</dc:title>
</cp:coreProperties>
</file>