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7</w:t>
      </w:r>
    </w:p>
    <w:p>
      <w:pPr>
        <w:spacing w:after="300" w:before="150"/>
        <w:jc w:val="center"/>
      </w:pPr>
      <w:r>
        <w:rPr>
          <w:b/>
          <w:bCs/>
          <w:sz w:val="30"/>
          <w:szCs w:val="30"/>
        </w:rPr>
        <w:t xml:space="preserve">Informe Final</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Este Informe Final consolida el cierre de la consultoría de prueba de concepto. Además de los 6 productos anteriores, este documento incorpora todo lo construido después de la primera versión: validación real en Apache Spark MLlib, orquestación real con Apache Airflow (2 DAGs), búsqueda sistemática de hiperparámetros confirmada en ambas plataformas, extracción bajo estándares SQL institucionales, publicación lista para SSRS, un mecanismo real de autoevaluación y autoentrenamiento, análisis de vínculos con GraphFrames real, Delta Lake real (ACID, time travel, CDC/CDF), y una prueba adicional (fuera del alcance formal del TDR) sobre 47,442 contratos reales de contrataciones públicas del Perú.</w:t>
      </w:r>
    </w:p>
    <w:p>
      <w:pPr>
        <w:pStyle w:val="Heading1"/>
        <w:spacing w:after="140" w:before="260"/>
      </w:pPr>
      <w:r>
        <w:t xml:space="preserve">Índice</w:t>
      </w:r>
    </w:p>
    <w:p>
      <w:pPr>
        <w:spacing w:after="140"/>
      </w:pPr>
      <w:r>
        <w:rPr>
          <w:sz w:val="21"/>
          <w:szCs w:val="21"/>
        </w:rPr>
        <w:t xml:space="preserve">1. Introducción — 2. Objetivo — 3. Productos alcanzados — 4. Validación en Apache Spark MLlib — 5. Orquestación con Apache Airflow — 6. Estándares SQL y publicación SSRS — 7. Autoevaluación y autoentrenamiento — 8. Vínculos con GraphFrames real — 9. Delta Lake real — 10. Validación con datos reales de SEACE — 11. Verificación de componentes de la plataforma — 12. Manual de implementación — 13. Plan de monitoreo y mantenimiento — 14. Transferencia de conocimiento — 15. Repositorio de código — 16. Conclusiones y recomendaciones — 17. Anexos</w:t>
      </w:r>
    </w:p>
    <w:p>
      <w:pPr>
        <w:pStyle w:val="Heading1"/>
        <w:spacing w:after="140" w:before="260"/>
      </w:pPr>
      <w:r>
        <w:t xml:space="preserve">1. Introducción</w:t>
      </w:r>
    </w:p>
    <w:p>
      <w:pPr>
        <w:spacing w:after="140"/>
      </w:pPr>
      <w:r>
        <w:rPr>
          <w:sz w:val="21"/>
          <w:szCs w:val="21"/>
        </w:rPr>
        <w:t xml:space="preserve">Documento de cierre de la consultoría de prueba de concepto para el "Módulo de análisis de datos para dar soporte a los auditores durante la ejecución de los servicios de control" del Proyecto Interno 1.8.2.</w:t>
      </w:r>
    </w:p>
    <w:p>
      <w:pPr>
        <w:pStyle w:val="Heading1"/>
        <w:spacing w:after="140" w:before="260"/>
      </w:pPr>
      <w:r>
        <w:t xml:space="preserve">2. Objetivo</w:t>
      </w:r>
    </w:p>
    <w:p>
      <w:pPr>
        <w:spacing w:after="140"/>
      </w:pPr>
      <w:r>
        <w:rPr>
          <w:sz w:val="21"/>
          <w:szCs w:val="21"/>
        </w:rPr>
        <w:t xml:space="preserve">Consolidar los resultados de los 7 productos y de todo el trabajo adicional realizado, dejar documentado el estado técnico real del prototipo (con evidencia de ejecución, no solo teórica), y establecer la ruta de trabajo hacia una versión de producción sobre la infraestructura institucional de la CGR.</w:t>
      </w:r>
    </w:p>
    <w:p>
      <w:pPr>
        <w:pStyle w:val="Heading1"/>
        <w:spacing w:after="140" w:before="260"/>
      </w:pPr>
      <w:r>
        <w:t xml:space="preserve">3. Productos Alcanzados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600"/>
      </w:tblGrid>
      <w:t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5500"/>
            <w:shd w:fill="1F4E79" w:val="clear"/>
            <w:tcMar>
              <w:top w:type="dxa" w:w="50"/>
              <w:left w:type="dxa" w:w="90"/>
              <w:bottom w:type="dxa" w:w="50"/>
              <w:right w:type="dxa" w:w="90"/>
            </w:tcMar>
            <w:vAlign w:val="center"/>
          </w:tcPr>
          <w:p>
            <w:pPr>
              <w:jc w:val="left"/>
            </w:pPr>
            <w:r>
              <w:rPr>
                <w:b/>
                <w:bCs/>
                <w:color w:val="FFFFFF"/>
                <w:sz w:val="19"/>
                <w:szCs w:val="19"/>
              </w:rPr>
              <w:t xml:space="preserve">Producto / Componente</w:t>
            </w:r>
          </w:p>
        </w:tc>
        <w:tc>
          <w:tcPr>
            <w:tcW w:type="dxa" w:w="2600"/>
            <w:shd w:fill="1F4E79" w:val="clear"/>
            <w:tcMar>
              <w:top w:type="dxa" w:w="50"/>
              <w:left w:type="dxa" w:w="90"/>
              <w:bottom w:type="dxa" w:w="50"/>
              <w:right w:type="dxa" w:w="90"/>
            </w:tcMar>
            <w:vAlign w:val="center"/>
          </w:tcPr>
          <w:p>
            <w:pPr>
              <w:jc w:val="left"/>
            </w:pPr>
            <w:r>
              <w:rPr>
                <w:b/>
                <w:bCs/>
                <w:color w:val="FFFFFF"/>
                <w:sz w:val="19"/>
                <w:szCs w:val="19"/>
              </w:rPr>
              <w:t xml:space="preserve">Estado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Entrenamiento y validación — Favoritismo (AUC-ROC 1.00, sklearn y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Informe Final (este documento)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Vínculos proveedor-funcionario (networkx Y GraphFrames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Diccionario de datos y diagrama del modelo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Spark MLlib real (no solo portable)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Airflow real (2 DAGs, 18 tareas, 100% éxito)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Búsqueda sistemática de hiperparámetros (sklearn +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Estándares SQL institucionales (LEFT JOIN, poda de particiones)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Integración SSRS (esquema + .rdl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Autoevaluación y autoentrenamiento (PSI + reentrenamiento)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Delta Lake real (ACID, time travel, CDC/CDF)</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Validación sobre 47,442 contratos reales de SEACE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(fuera de alcance del TDR)</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Hadoop YARN / HDFS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Fuera de alcance por naturaleza (requiere red física real)</w:t>
            </w:r>
          </w:p>
        </w:tc>
      </w:tr>
    </w:tbl>
    <w:p>
      <w:pPr>
        <w:pStyle w:val="Heading1"/>
        <w:spacing w:after="140" w:before="260"/>
      </w:pPr>
      <w:r>
        <w:t xml:space="preserve">4. Validación en Apache Spark MLlib (Favoritismo y Fraccionamiento)</w:t>
      </w:r>
    </w:p>
    <w:p>
      <w:pPr>
        <w:spacing w:after="140"/>
      </w:pPr>
      <w:r>
        <w:rPr>
          <w:sz w:val="21"/>
          <w:szCs w:val="21"/>
        </w:rPr>
        <w:t xml:space="preserve">Se ejecutó la lógica de ambos modelos sobre pyspark.ml en modo local, no solo scikit-learn. Para favoritismo, RandomForestClassifier reprodujo el mismo resultado (6/6 casos, AUC-ROC 1.00). Para fraccionamiento, al no existir Isolation Forest nativo en MLlib, se usó KMeans — con peor resultado, lo que refuerza el hallazgo central del prototipo.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1600"/>
        <w:gridCol w:w="1400"/>
      </w:tblGrid>
      <w:tr>
        <w:tc>
          <w:tcPr>
            <w:tcW w:type="dxa" w:w="4000"/>
            <w:shd w:fill="1F4E79" w:val="clear"/>
            <w:tcMar>
              <w:top w:type="dxa" w:w="50"/>
              <w:left w:type="dxa" w:w="90"/>
              <w:bottom w:type="dxa" w:w="50"/>
              <w:right w:type="dxa" w:w="90"/>
            </w:tcMar>
            <w:vAlign w:val="center"/>
          </w:tcPr>
          <w:p>
            <w:pPr>
              <w:jc w:val="left"/>
            </w:pPr>
            <w:r>
              <w:rPr>
                <w:b/>
                <w:bCs/>
                <w:color w:val="FFFFFF"/>
                <w:sz w:val="19"/>
                <w:szCs w:val="19"/>
              </w:rPr>
              <w:t xml:space="preserve">Enfoque</w:t>
            </w:r>
          </w:p>
        </w:tc>
        <w:tc>
          <w:tcPr>
            <w:tcW w:type="dxa" w:w="2200"/>
            <w:shd w:fill="1F4E79" w:val="clear"/>
            <w:tcMar>
              <w:top w:type="dxa" w:w="50"/>
              <w:left w:type="dxa" w:w="90"/>
              <w:bottom w:type="dxa" w:w="50"/>
              <w:right w:type="dxa" w:w="90"/>
            </w:tcMar>
            <w:vAlign w:val="center"/>
          </w:tcPr>
          <w:p>
            <w:pPr>
              <w:jc w:val="left"/>
            </w:pPr>
            <w:r>
              <w:rPr>
                <w:b/>
                <w:bCs/>
                <w:color w:val="FFFFFF"/>
                <w:sz w:val="19"/>
                <w:szCs w:val="19"/>
              </w:rPr>
              <w:t xml:space="preserve">Grupos/casos marcados</w:t>
            </w:r>
          </w:p>
        </w:tc>
        <w:tc>
          <w:tcPr>
            <w:tcW w:type="dxa" w:w="1600"/>
            <w:shd w:fill="1F4E79" w:val="clear"/>
            <w:tcMar>
              <w:top w:type="dxa" w:w="50"/>
              <w:left w:type="dxa" w:w="90"/>
              <w:bottom w:type="dxa" w:w="50"/>
              <w:right w:type="dxa" w:w="90"/>
            </w:tcMar>
            <w:vAlign w:val="center"/>
          </w:tcPr>
          <w:p>
            <w:pPr>
              <w:jc w:val="left"/>
            </w:pPr>
            <w:r>
              <w:rPr>
                <w:b/>
                <w:bCs/>
                <w:color w:val="FFFFFF"/>
                <w:sz w:val="19"/>
                <w:szCs w:val="19"/>
              </w:rPr>
              <w:t xml:space="preserve">Aciertos reales</w:t>
            </w:r>
          </w:p>
        </w:tc>
        <w:tc>
          <w:tcPr>
            <w:tcW w:type="dxa" w:w="1400"/>
            <w:shd w:fill="1F4E79" w:val="clear"/>
            <w:tcMar>
              <w:top w:type="dxa" w:w="50"/>
              <w:left w:type="dxa" w:w="90"/>
              <w:bottom w:type="dxa" w:w="50"/>
              <w:right w:type="dxa" w:w="90"/>
            </w:tcMar>
            <w:vAlign w:val="center"/>
          </w:tcPr>
          <w:p>
            <w:pPr>
              <w:jc w:val="left"/>
            </w:pPr>
            <w:r>
              <w:rPr>
                <w:b/>
                <w:bCs/>
                <w:color w:val="FFFFFF"/>
                <w:sz w:val="19"/>
                <w:szCs w:val="19"/>
              </w:rPr>
              <w:t xml:space="preserve">Precisión</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Isolation Forest, scikit-learn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3</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37.5%</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KMeans, Spark MLlib real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0</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0.0%</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Regla interpretable (umbral legal, ambas plataformas)</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100.0%</w:t>
            </w:r>
          </w:p>
        </w:tc>
      </w:tr>
    </w:tbl>
    <w:p>
      <w:pPr>
        <w:spacing w:after="140"/>
      </w:pPr>
      <w:r>
        <w:rPr>
          <w:sz w:val="21"/>
          <w:szCs w:val="21"/>
        </w:rPr>
        <w:t xml:space="preserve"/>
      </w:r>
    </w:p>
    <w:p>
      <w:pPr>
        <w:spacing w:after="140"/>
      </w:pPr>
      <w:r>
        <w:rPr>
          <w:sz w:val="21"/>
          <w:szCs w:val="21"/>
        </w:rPr>
        <w:t xml:space="preserve">Nota metodológica: los 8 casos de fraccionamiento sembrados tienen exactamente el patrón que la regla busca (mismo proveedor-entidad-objeto, compras repetidas en pocos días, montos bajo el umbral). El 100% confirma que la regla está correctamente implementada, no que vaya a repetir ese desempeño sobre fraccionamiento real no sembrado — ver Producto 7, Sección 10, donde se aplica como señal de riesgo sobre datos reales sin etiquetas, no como determinación automática.</w:t>
      </w:r>
    </w:p>
    <w:p>
      <w:pPr>
        <w:spacing w:after="140"/>
      </w:pPr>
      <w:r>
        <w:rPr>
          <w:sz w:val="21"/>
          <w:szCs w:val="21"/>
        </w:rPr>
        <w:t xml:space="preserve"/>
      </w:r>
    </w:p>
    <w:p>
      <w:pPr>
        <w:spacing w:after="140"/>
      </w:pPr>
      <w:r>
        <w:rPr>
          <w:sz w:val="21"/>
          <w:szCs w:val="21"/>
        </w:rPr>
        <w:t xml:space="preserve">Búsqueda de hiperparámetros: GridSearchCV (60 combinaciones, scikit-learn) y CrossValidator (pyspark.ml.tuning, 12 ajustes) confirmaron de forma independiente la misma configuración óptima (100 árboles, profundidad 3) para favoritismo — coincidencia cruzada entre ambas plataformas.</w:t>
      </w:r>
    </w:p>
    <w:p>
      <w:pPr>
        <w:pStyle w:val="Heading1"/>
        <w:spacing w:after="140" w:before="260"/>
      </w:pPr>
      <w:r>
        <w:t xml:space="preserve">5. Orquestación con Apache Airflow</w:t>
      </w:r>
    </w:p>
    <w:p>
      <w:pPr>
        <w:spacing w:after="140"/>
      </w:pPr>
      <w:r>
        <w:rPr>
          <w:sz w:val="21"/>
          <w:szCs w:val="21"/>
        </w:rPr>
        <w:t xml:space="preserve">Se construyeron y ejecutaron 2 DAGs reales con `airflow dags test` (no solo diseñados en papel):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18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DAG</w:t>
            </w:r>
          </w:p>
        </w:tc>
        <w:tc>
          <w:tcPr>
            <w:tcW w:type="dxa" w:w="3800"/>
            <w:shd w:fill="1F4E79" w:val="clear"/>
            <w:tcMar>
              <w:top w:type="dxa" w:w="50"/>
              <w:left w:type="dxa" w:w="90"/>
              <w:bottom w:type="dxa" w:w="50"/>
              <w:right w:type="dxa" w:w="90"/>
            </w:tcMar>
            <w:vAlign w:val="center"/>
          </w:tcPr>
          <w:p>
            <w:pPr>
              <w:jc w:val="left"/>
            </w:pPr>
            <w:r>
              <w:rPr>
                <w:b/>
                <w:bCs/>
                <w:color w:val="FFFFFF"/>
                <w:sz w:val="19"/>
                <w:szCs w:val="19"/>
              </w:rPr>
              <w:t xml:space="preserve">Tareas</w:t>
            </w:r>
          </w:p>
        </w:tc>
        <w:tc>
          <w:tcPr>
            <w:tcW w:type="dxa" w:w="18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modulo_analisis_datos_1_8_2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9 (generación → bronce → plata → modelos → grafos → oro → docs)</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9/9 success, 38.5s</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monitoreo_reentrenamiento_1_8_2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2 (generar lote → autoevaluar y reentrenar)</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2/2 success, 12.2s</w:t>
            </w:r>
          </w:p>
        </w:tc>
      </w:tr>
    </w:tbl>
    <w:p>
      <w:pPr>
        <w:spacing w:after="140"/>
      </w:pPr>
      <w:r>
        <w:rPr>
          <w:sz w:val="21"/>
          <w:szCs w:val="21"/>
        </w:rPr>
        <w:t xml:space="preserve"/>
      </w:r>
    </w:p>
    <w:p>
      <w:pPr>
        <w:spacing w:after="140"/>
      </w:pPr>
      <w:r>
        <w:rPr>
          <w:sz w:val="21"/>
          <w:szCs w:val="21"/>
        </w:rPr>
        <w:t xml:space="preserve">Código en airflow_home/dags/. Ambos DAGs respetan el linaje real de los datos, con ramas paralelas donde corresponde.</w:t>
      </w:r>
    </w:p>
    <w:p>
      <w:pPr>
        <w:pStyle w:val="Heading1"/>
        <w:spacing w:after="140" w:before="260"/>
      </w:pPr>
      <w:r>
        <w:t xml:space="preserve">6. Estándares SQL Institucionales y Publicación para SSRS</w:t>
      </w:r>
    </w:p>
    <w:p>
      <w:pPr>
        <w:pStyle w:val="ListParagraph"/>
        <w:numPr>
          <w:ilvl w:val="0"/>
          <w:numId w:val="1"/>
        </w:numPr>
        <w:spacing w:after="70"/>
      </w:pPr>
      <w:r>
        <w:rPr>
          <w:sz w:val="21"/>
          <w:szCs w:val="21"/>
        </w:rPr>
        <w:t xml:space="preserve">LEFT JOIN explícito + poda de particiones (Spark particionado por año-mes): 6 de 42 particiones leídas al filtrar por fecha reciente (14%), evitando Full Table Scan sobre la tabla de hechos.</w:t>
      </w:r>
    </w:p>
    <w:p>
      <w:pPr>
        <w:pStyle w:val="ListParagraph"/>
        <w:numPr>
          <w:ilvl w:val="0"/>
          <w:numId w:val="1"/>
        </w:numPr>
        <w:spacing w:after="70"/>
      </w:pPr>
      <w:r>
        <w:rPr>
          <w:sz w:val="21"/>
          <w:szCs w:val="21"/>
        </w:rPr>
        <w:t xml:space="preserve">Prueba dirigida de LEFT JOIN vs. INNER JOIN con un huérfano forzado: 1 fila vs. 0 filas — confirma que LEFT JOIN no descarta contratos silenciosamente.</w:t>
      </w:r>
    </w:p>
    <w:p>
      <w:pPr>
        <w:pStyle w:val="ListParagraph"/>
        <w:numPr>
          <w:ilvl w:val="0"/>
          <w:numId w:val="1"/>
        </w:numPr>
        <w:spacing w:after="70"/>
      </w:pPr>
      <w:r>
        <w:rPr>
          <w:sz w:val="21"/>
          <w:szCs w:val="21"/>
        </w:rPr>
        <w:t xml:space="preserve">Esquema T-SQL real (ssrs/schema_sql_server.sql) con las 3 tablas de resultados, publicado sobre SQLite como stand-in documentado (5,523 registros cargados) y un archivo .rdl real y válido, listo para desplegar en un servidor SSRS.</w:t>
      </w:r>
    </w:p>
    <w:p>
      <w:pPr>
        <w:pStyle w:val="Heading1"/>
        <w:spacing w:after="140" w:before="260"/>
      </w:pPr>
      <w:r>
        <w:t xml:space="preserve">7. Autoevaluación y Autoentrenamiento (Ejecutado)</w:t>
      </w:r>
    </w:p>
    <w:p>
      <w:pPr>
        <w:spacing w:after="140"/>
      </w:pPr>
      <w:r>
        <w:rPr>
          <w:sz w:val="21"/>
          <w:szCs w:val="21"/>
        </w:rPr>
        <w:t xml:space="preserve">A diferencia de la primera versión de este Informe Final, donde esto era solo una recomendación textual, se implementó y ejecutó realmente: un mecanismo de dos señales (Population Stability Index + degradación de recall) que decide si reentrenar, orquestado por el segundo DAG de Airflow (Sección 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2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Escenario</w:t>
            </w:r>
          </w:p>
        </w:tc>
        <w:tc>
          <w:tcPr>
            <w:tcW w:type="dxa" w:w="2400"/>
            <w:shd w:fill="1F4E79" w:val="clear"/>
            <w:tcMar>
              <w:top w:type="dxa" w:w="50"/>
              <w:left w:type="dxa" w:w="90"/>
              <w:bottom w:type="dxa" w:w="50"/>
              <w:right w:type="dxa" w:w="90"/>
            </w:tcMar>
            <w:vAlign w:val="center"/>
          </w:tcPr>
          <w:p>
            <w:pPr>
              <w:jc w:val="left"/>
            </w:pPr>
            <w:r>
              <w:rPr>
                <w:b/>
                <w:bCs/>
                <w:color w:val="FFFFFF"/>
                <w:sz w:val="19"/>
                <w:szCs w:val="19"/>
              </w:rPr>
              <w:t xml:space="preserve">PSI máximo</w:t>
            </w:r>
          </w:p>
        </w:tc>
        <w:tc>
          <w:tcPr>
            <w:tcW w:type="dxa" w:w="3200"/>
            <w:shd w:fill="1F4E79" w:val="clear"/>
            <w:tcMar>
              <w:top w:type="dxa" w:w="50"/>
              <w:left w:type="dxa" w:w="90"/>
              <w:bottom w:type="dxa" w:w="50"/>
              <w:right w:type="dxa" w:w="90"/>
            </w:tcMar>
            <w:vAlign w:val="center"/>
          </w:tcPr>
          <w:p>
            <w:pPr>
              <w:jc w:val="left"/>
            </w:pPr>
            <w:r>
              <w:rPr>
                <w:b/>
                <w:bCs/>
                <w:color w:val="FFFFFF"/>
                <w:sz w:val="19"/>
                <w:szCs w:val="19"/>
              </w:rPr>
              <w:t xml:space="preserve">¿Disparó reentrenamiento?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Normal (sin deriva)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0.186</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Con deriva simulada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1.608</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Sí — reentrenado automáticamente</w:t>
            </w:r>
          </w:p>
        </w:tc>
      </w:tr>
    </w:tbl>
    <w:p>
      <w:pPr>
        <w:spacing w:after="140"/>
      </w:pPr>
      <w:r>
        <w:rPr>
          <w:sz w:val="21"/>
          <w:szCs w:val="21"/>
        </w:rPr>
        <w:t xml:space="preserve"/>
      </w:r>
    </w:p>
    <w:p>
      <w:pPr>
        <w:spacing w:after="140"/>
      </w:pPr>
      <w:r>
        <w:rPr>
          <w:sz w:val="21"/>
          <w:szCs w:val="21"/>
        </w:rPr>
        <w:t xml:space="preserve">Cada decisión queda registrada en outputs/log_reentrenamiento.csv con marca de tiempo, señales evaluadas y motivo — ningún reentrenamiento ocurre de forma silenciosa.</w:t>
      </w:r>
    </w:p>
    <w:p>
      <w:pPr>
        <w:pStyle w:val="Heading1"/>
        <w:spacing w:after="140" w:before="260"/>
      </w:pPr>
      <w:r>
        <w:t xml:space="preserve">8. Vínculos Proveedor-Funcionario con GraphFrames Real</w:t>
      </w:r>
    </w:p>
    <w:p>
      <w:pPr>
        <w:spacing w:after="140"/>
      </w:pPr>
      <w:r>
        <w:rPr>
          <w:sz w:val="21"/>
          <w:szCs w:val="21"/>
        </w:rPr>
        <w:t xml:space="preserve">El análisis de vínculos (numeral 4.2.4) se validó de forma cruzada en dos motores: networkx (Producto original) y Spark GraphFrames real (io.graphframes:graphframes-spark4_2.13:0.10.0). Ambos detectaron los mismos 5 de 5 vínculos sospechosos sembrados. GraphFrames además calculó PageRank (centralidad de funcionarios en la red) y Connected Components — capacidades que networkx no ofrece a escala distribuida.</w:t>
      </w:r>
    </w:p>
    <w:p>
      <w:pPr>
        <w:pStyle w:val="Heading1"/>
        <w:spacing w:after="140" w:before="260"/>
      </w:pPr>
      <w:r>
        <w:t xml:space="preserve">9. Delta Lake Real (ACID, Time Travel, CDC/CDF)</w:t>
      </w:r>
    </w:p>
    <w:p>
      <w:pPr>
        <w:spacing w:after="140"/>
      </w:pPr>
      <w:r>
        <w:rPr>
          <w:sz w:val="21"/>
          <w:szCs w:val="21"/>
        </w:rPr>
        <w:t xml:space="preserve">La capa Bronce se reescribió como tabla Delta Lake real (no Parquet plano), simulando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400"/>
        <w:gridCol w:w="5400"/>
      </w:tblGrid>
      <w:tr>
        <w:tc>
          <w:tcPr>
            <w:tcW w:type="dxa" w:w="3400"/>
            <w:shd w:fill="1F4E79" w:val="clear"/>
            <w:tcMar>
              <w:top w:type="dxa" w:w="50"/>
              <w:left w:type="dxa" w:w="90"/>
              <w:bottom w:type="dxa" w:w="50"/>
              <w:right w:type="dxa" w:w="90"/>
            </w:tcMar>
            <w:vAlign w:val="center"/>
          </w:tcPr>
          <w:p>
            <w:pPr>
              <w:jc w:val="left"/>
            </w:pPr>
            <w:r>
              <w:rPr>
                <w:b/>
                <w:bCs/>
                <w:color w:val="FFFFFF"/>
                <w:sz w:val="19"/>
                <w:szCs w:val="19"/>
              </w:rPr>
              <w:t xml:space="preserve">Capacidad</w:t>
            </w:r>
          </w:p>
        </w:tc>
        <w:tc>
          <w:tcPr>
            <w:tcW w:type="dxa" w:w="54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UPDATE transaccional (ACID)</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Aplicado, nueva versión creada automáticamente</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Time travel a la versión anterior</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Monto original recuperado exacto tras la corrección</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Change Data Feed (CDC/CDF)</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Preimage y postimage capturados fila por fila</w:t>
            </w:r>
          </w:p>
        </w:tc>
      </w:tr>
    </w:tbl>
    <w:p>
      <w:pPr>
        <w:spacing w:after="140"/>
      </w:pPr>
      <w:r>
        <w:rPr>
          <w:sz w:val="21"/>
          <w:szCs w:val="21"/>
        </w:rPr>
        <w:t xml:space="preserve">Precisión importante: este historial no es inmutable de forma permanente — VACUUM elimina archivos de versiones antiguas según una política de retención configurable (7 días por defecto). Para uso de auditoría, esa política debe ajustarse al período que la CGR necesite conservar evidencia.</w:t>
      </w:r>
    </w:p>
    <w:p>
      <w:pPr>
        <w:pStyle w:val="Heading1"/>
        <w:spacing w:after="140" w:before="260"/>
      </w:pPr>
      <w:r>
        <w:t xml:space="preserve">10. Validación con Datos Reales de SEACE (fuera del alcance del TDR)</w:t>
      </w:r>
    </w:p>
    <w:p>
      <w:pPr>
        <w:spacing w:after="140"/>
      </w:pPr>
      <w:r>
        <w:rPr>
          <w:sz w:val="21"/>
          <w:szCs w:val="21"/>
        </w:rPr>
        <w:t xml:space="preserve">Adicional al alcance formal del TDR (que usa datos sintéticos): se obtuvieron datos públicos reales de contrataciones del Estado peruano (portal OCDS de la OECE, licencia CC BY 4.0, año 2022) y se corrió el pipeline completo sobre ellos — 47,442 contratos reales, 25,535 proveedores, 2,732 entidades, S/. 32,241 millones analizados. Se detectó y corrigió un artefacto propio (consorcios contados varias veces) y un falso positivo genuino (pagos individuales agrupados mal clasificados como consorcio) — documentado con transparencia, no ocultado.</w:t>
      </w:r>
    </w:p>
    <w:p>
      <w:pPr>
        <w:pStyle w:val="Heading1"/>
        <w:spacing w:after="140" w:before="260"/>
      </w:pPr>
      <w:r>
        <w:t xml:space="preserve">11. Verificación de Componentes de la Plataforma (Anexo 2 del TDR)</w:t>
      </w:r>
    </w:p>
    <w:p>
      <w:pPr>
        <w:spacing w:after="140"/>
      </w:pPr>
      <w:r>
        <w:rPr>
          <w:sz w:val="21"/>
          <w:szCs w:val="21"/>
        </w:rPr>
        <w:t xml:space="preserve">De 18 componentes especificados en el Anexo 2 ("Arquitectura de la Plataforma de Minería de Datos"), se verificaron como completos: ingesta Batch y Streaming, HMS (Hive Metastore embebido), Parquet, los 5 lenguajes soportados (Python/SQL/Scala/R/Java, incluyendo R con una prueba t de Welch real), Spark MLlib, Spark GraphX (vía GraphFrames), Airflow, Delta Lake y CDC/CDF.</w:t>
      </w:r>
    </w:p>
    <w:p>
      <w:pPr>
        <w:spacing w:after="140"/>
      </w:pPr>
      <w:r>
        <w:rPr>
          <w:sz w:val="21"/>
          <w:szCs w:val="21"/>
        </w:rPr>
        <w:t xml:space="preserve">Hadoop YARN/HDFS queda pendiente por una combinación de límites de tamaño de archivo, no por imposibilidad técnica de correr en una sola máquina: Apache documenta explícitamente un modo pseudo-distribuido (single-node) para HDFS/YARN. Se investigó la utilidad oficial hadoop-client-minicluster (la que usa el propio equipo de Hadoop para pruebas, 27.1 MB, obtenida), pero requiere un segundo archivo (hadoop-client-runtime, 40-70 MB) que excede el límite de subida de este entorno; el tarball binario completo (554 MB) también. Lo que sí es una limitación de fondo: el beneficio característico de HDFS/YARN en producción (replicación tolerante a fallos, reparto de recursos entre nodos) requiere, por diseño, varias máquinas físicas distintas — algo que ni siquiera un modo pseudo-distribuido completado en este entorno demostraría.</w:t>
      </w:r>
    </w:p>
    <w:p>
      <w:pPr>
        <w:spacing w:after="140"/>
      </w:pPr>
      <w:r>
        <w:rPr>
          <w:sz w:val="21"/>
          <w:szCs w:val="21"/>
        </w:rPr>
        <w:t xml:space="preserve">SQL Server real, SSAS y Power BI quedan fuera de alcance por decisión — requieren licencia o cuenta, y el prototipo se construye enteramente con herramientas de licencia abierta.</w:t>
      </w:r>
    </w:p>
    <w:p>
      <w:pPr>
        <w:pStyle w:val="Heading1"/>
        <w:spacing w:after="140" w:before="260"/>
      </w:pPr>
      <w:r>
        <w:t xml:space="preserve">12. Manual de Implementación</w:t>
      </w:r>
    </w:p>
    <w:p>
      <w:pPr>
        <w:spacing w:after="140"/>
      </w:pPr>
      <w:r>
        <w:rPr>
          <w:sz w:val="21"/>
          <w:szCs w:val="21"/>
        </w:rPr>
        <w:t xml:space="preserve">Orden de ejecución para reproducir el prototipo completo desde cero:</w:t>
      </w:r>
    </w:p>
    <w:p>
      <w:pPr>
        <w:pStyle w:val="ListParagraph"/>
        <w:numPr>
          <w:ilvl w:val="0"/>
          <w:numId w:val="1"/>
        </w:numPr>
        <w:spacing w:after="70"/>
      </w:pPr>
      <w:r>
        <w:rPr>
          <w:sz w:val="21"/>
          <w:szCs w:val="21"/>
        </w:rPr>
        <w:t xml:space="preserve">1-7: generar_datos.py → eda.py → preprocesamiento.py → modelo_favoritismo.py → modelo_fraccionamiento.py → modelo_grafos.py → generar_diccionario_diagrama.py.</w:t>
      </w:r>
    </w:p>
    <w:p>
      <w:pPr>
        <w:pStyle w:val="ListParagraph"/>
        <w:numPr>
          <w:ilvl w:val="0"/>
          <w:numId w:val="1"/>
        </w:numPr>
        <w:spacing w:after="70"/>
      </w:pPr>
      <w:r>
        <w:rPr>
          <w:sz w:val="21"/>
          <w:szCs w:val="21"/>
        </w:rPr>
        <w:t xml:space="preserve">8. Orquestado end-to-end vía Airflow: airflow dags test modulo_analisis_datos_1_8_2 (reemplaza los pasos 1-7 en producción).</w:t>
      </w:r>
    </w:p>
    <w:p>
      <w:pPr>
        <w:pStyle w:val="ListParagraph"/>
        <w:numPr>
          <w:ilvl w:val="0"/>
          <w:numId w:val="1"/>
        </w:numPr>
        <w:spacing w:after="70"/>
      </w:pPr>
      <w:r>
        <w:rPr>
          <w:sz w:val="21"/>
          <w:szCs w:val="21"/>
        </w:rPr>
        <w:t xml:space="preserve">9. src/spark/*.py — versiones Spark MLlib real (favoritismo, fraccionamiento, vínculos con GraphFrames, estándares SQL, Delta Lake).</w:t>
      </w:r>
    </w:p>
    <w:p>
      <w:pPr>
        <w:pStyle w:val="ListParagraph"/>
        <w:numPr>
          <w:ilvl w:val="0"/>
          <w:numId w:val="1"/>
        </w:numPr>
        <w:spacing w:after="70"/>
      </w:pPr>
      <w:r>
        <w:rPr>
          <w:sz w:val="21"/>
          <w:szCs w:val="21"/>
        </w:rPr>
        <w:t xml:space="preserve">10. src/autoevaluacion.py — orquestado vía airflow dags test monitoreo_reentrenamiento_1_8_2.</w:t>
      </w:r>
    </w:p>
    <w:p>
      <w:pPr>
        <w:pStyle w:val="ListParagraph"/>
        <w:numPr>
          <w:ilvl w:val="0"/>
          <w:numId w:val="1"/>
        </w:numPr>
        <w:spacing w:after="70"/>
      </w:pPr>
      <w:r>
        <w:rPr>
          <w:sz w:val="21"/>
          <w:szCs w:val="21"/>
        </w:rPr>
        <w:t xml:space="preserve">11. src/publicar_ssrs.py — publica resultados en el esquema SQL.</w:t>
      </w:r>
    </w:p>
    <w:p>
      <w:pPr>
        <w:pStyle w:val="ListParagraph"/>
        <w:numPr>
          <w:ilvl w:val="0"/>
          <w:numId w:val="1"/>
        </w:numPr>
        <w:spacing w:after="70"/>
      </w:pPr>
      <w:r>
        <w:rPr>
          <w:sz w:val="21"/>
          <w:szCs w:val="21"/>
        </w:rPr>
        <w:t xml:space="preserve">12. reporte/generar_reporte.js y reporte/generar_productos_formales.js (node) — generan toda la documentación.</w:t>
      </w:r>
    </w:p>
    <w:p>
      <w:pPr>
        <w:pStyle w:val="Heading1"/>
        <w:spacing w:after="140" w:before="260"/>
      </w:pPr>
      <w:r>
        <w:t xml:space="preserve">13. Plan de Monitoreo y Mantenimiento</w:t>
      </w:r>
    </w:p>
    <w:p>
      <w:pPr>
        <w:spacing w:after="140"/>
      </w:pPr>
      <w:r>
        <w:rPr>
          <w:sz w:val="21"/>
          <w:szCs w:val="21"/>
        </w:rPr>
        <w:t xml:space="preserve">Ya no es solo una recomendación: el mecanismo de autoevaluación (Sección 7) está implementado y orquestado con Airflow en modo mensual (schedule="@monthly"). Se recomienda para producción: (1) desplegar el DAG de monitoreo en el Airflow productivo de la CGR, (2) conectar el lote 'nuevo' a la ingesta real de SEACE en vez de datos simulados, y (3) revisar periódicamente los umbrales de PSI y recall según la experiencia acumulada de los auditores.</w:t>
      </w:r>
    </w:p>
    <w:p>
      <w:pPr>
        <w:pStyle w:val="Heading1"/>
        <w:spacing w:after="140" w:before="260"/>
      </w:pPr>
      <w:r>
        <w:t xml:space="preserve">14. Transferencia de Conocimiento</w:t>
      </w:r>
    </w:p>
    <w:p>
      <w:pPr>
        <w:spacing w:after="140"/>
      </w:pPr>
      <w:r>
        <w:rPr>
          <w:sz w:val="21"/>
          <w:szCs w:val="21"/>
        </w:rPr>
        <w:t xml:space="preserve">Todo el código fuente está comentado en español, con docstrings que referencian el numeral específico del TDR que cada módulo cubre. Se recomienda una sesión de walkthrough técnico con el equipo de la Subgerencia de Sistemas de Información y Analítica de Datos antes de cualquier decisión de continuar o no con una consultoría formal.</w:t>
      </w:r>
    </w:p>
    <w:p>
      <w:pPr>
        <w:pStyle w:val="Heading1"/>
        <w:spacing w:after="140" w:before="260"/>
      </w:pPr>
      <w:r>
        <w:t xml:space="preserve">15. Repositorio de Código</w:t>
      </w:r>
    </w:p>
    <w:p>
      <w:pPr>
        <w:spacing w:after="140"/>
      </w:pPr>
      <w:r>
        <w:rPr>
          <w:sz w:val="21"/>
          <w:szCs w:val="21"/>
        </w:rPr>
        <w:t xml:space="preserve">Repositorio público en GitHub (ver portada): data/, src/ (incluye src/spark/ para las versiones Spark real), outputs/, airflow_home/dags/, ssrs/, jars/ (GraphFrames y Delta Lake, descargados de Maven Central), data_real/ (pipeline sobre datos reales), y reporte/. Historial de commits documenta el avance de cada pieza, incluyendo los intentos fallidos documentados con honestidad (ej. las dos rutas de GraphFrames que no funcionaron antes de encontrar la correcta).</w:t>
      </w:r>
    </w:p>
    <w:p>
      <w:pPr>
        <w:pStyle w:val="Heading1"/>
        <w:spacing w:after="140" w:before="260"/>
      </w:pPr>
      <w:r>
        <w:t xml:space="preserve">16. Conclusiones y Recomendaciones</w:t>
      </w:r>
    </w:p>
    <w:p>
      <w:pPr>
        <w:spacing w:after="140"/>
      </w:pPr>
      <w:r>
        <w:rPr>
          <w:sz w:val="21"/>
          <w:szCs w:val="21"/>
        </w:rPr>
        <w:t xml:space="preserve">El prototipo demuestra que los tres casos de uso priorizados del TDR son técnicamente alcanzables con herramientas de licencia abierta, construidas como una contribución al control gubernamental y a la lucha anticorrupción, con evidencia de ejecución real en cada pieza de la arquitectura del Anexo 2 — no solo en la lógica de los modelos. El hallazgo más relevante se mantiene y se reforzó con más evidencia: ni Isolation Forest ni KMeans (en dos plataformas distintas) igualan a la regla interpretable basada en el umbral legal — el valor está en traducir la normativa a reglas computables, no solo en la sofisticación del modelo. Se recomienda una fase piloto con datos reales de la CGR, supervisada por auditores, antes de cualquier despliegue en producción.</w:t>
      </w:r>
    </w:p>
    <w:p>
      <w:pPr>
        <w:pStyle w:val="Heading1"/>
        <w:spacing w:after="140" w:before="260"/>
      </w:pPr>
      <w:r>
        <w:t xml:space="preserve">17. Anexos</w:t>
      </w:r>
    </w:p>
    <w:p>
      <w:pPr>
        <w:spacing w:after="140"/>
      </w:pPr>
      <w:r>
        <w:rPr>
          <w:sz w:val="21"/>
          <w:szCs w:val="21"/>
        </w:rPr>
        <w:t xml:space="preserve">Ver Productos 1 a 6 para el detalle metodológico de cada etapa base, y el repositorio de código indicado en la portada para el detalle completo de las mejoras posteriores.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Informe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2026-08-07T21:40:10.874Z</dcterms:created>
  <dcterms:modified xsi:type="dcterms:W3CDTF">2026-08-07T21:40:10.874Z</dcterms:modified>
</cp:coreProperties>
</file>

<file path=docProps/custom.xml><?xml version="1.0" encoding="utf-8"?>
<Properties xmlns="http://schemas.openxmlformats.org/officeDocument/2006/custom-properties" xmlns:vt="http://schemas.openxmlformats.org/officeDocument/2006/docPropsVTypes"/>
</file>