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 al momento de este producto;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reproducible. Actualización posterior a este producto: se validó tanto en Spark DataFrames real (Producto 7, Sección 4) bajo los estándares SQL institucionales (LEFT JOIN, poda de particiones — Producto 7, Sección 6), como sobre 47,442 contratos reales de SEACE obtenidos del portal de datos abiertos de la OECE (Producto 7, Sección 10).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2026-08-07T20:51:35.325Z</dcterms:created>
  <dcterms:modified xsi:type="dcterms:W3CDTF">2026-08-07T20:51:35.325Z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