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6</w:t>
      </w:r>
    </w:p>
    <w:p>
      <w:pPr>
        <w:spacing w:after="300" w:before="150"/>
        <w:jc w:val="center"/>
      </w:pPr>
      <w:r>
        <w:rPr>
          <w:b/>
          <w:bCs/>
          <w:sz w:val="30"/>
          <w:szCs w:val="30"/>
        </w:rPr>
        <w:t xml:space="preserve">Selección y Desarrollo del Modelo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optó por combinar un modelo no supervisado de detección de anomalías (Isolation Forest) con una regla de negocio explícita basada en el umbral legal de Adjudicación Simplificada, tras confirmar que el modelo estadístico puro por sí solo es insuficiente.</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4.2.1 y 4.2.3 del TDR: técnicas de agrupamiento o detección de anomalías para identificar patrones de compras repetitivas o divididas.</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Propuesta fundamentada: se evaluó clustering (K-Means) y detección de anomalías (Isolation Forest); se eligió Isolation Forest por no requerir definir a priori el número de grupos, adecuado para un fenómeno de baja frecuencia como el fraccionamiento.</w:t>
      </w:r>
    </w:p>
    <w:p>
      <w:pPr>
        <w:pStyle w:val="ListParagraph"/>
        <w:numPr>
          <w:ilvl w:val="0"/>
          <w:numId w:val="1"/>
        </w:numPr>
        <w:spacing w:after="70"/>
      </w:pPr>
      <w:r>
        <w:rPr>
          <w:sz w:val="21"/>
          <w:szCs w:val="21"/>
        </w:rPr>
        <w:t xml:space="preserve">Arquitectura: Isolation Forest con 300 estimadores, contaminación estimada dinámicamente según la proporción esperada de casos atípicos.</w:t>
      </w:r>
    </w:p>
    <w:p>
      <w:pPr>
        <w:pStyle w:val="ListParagraph"/>
        <w:numPr>
          <w:ilvl w:val="0"/>
          <w:numId w:val="1"/>
        </w:numPr>
        <w:spacing w:after="70"/>
      </w:pPr>
      <w:r>
        <w:rPr>
          <w:sz w:val="21"/>
          <w:szCs w:val="21"/>
        </w:rPr>
        <w:t xml:space="preserve">Complemento interpretable: regla explícita (≥3 contratos en ventana de 15 días Y ≥70% de montos bajo el umbral legal), incorporada como artefacto de "caja blanca" adicional al modelo estadístico.</w:t>
      </w:r>
    </w:p>
    <w:p>
      <w:pPr>
        <w:pStyle w:val="ListParagraph"/>
        <w:numPr>
          <w:ilvl w:val="0"/>
          <w:numId w:val="1"/>
        </w:numPr>
        <w:spacing w:after="70"/>
      </w:pPr>
      <w:r>
        <w:rPr>
          <w:sz w:val="21"/>
          <w:szCs w:val="21"/>
        </w:rPr>
        <w:t xml:space="preserve">Reporte de implementación: prototipo en scikit-learn (IsolationForest). Actualización: se ejecutó también en Spark MLlib real usando KMeans (pyspark.ml.clustering), ya que MLlib no tiene Isolation Forest nativo y no existe un paquete confiable que lo agregue sin acceso a Maven. Resultado real en Spark: 0/8 casos detectados (peor que Isolation Forest, que detectó 3/8) — ver Producto 7, Sección 4.</w:t>
      </w:r>
    </w:p>
    <w:p>
      <w:pPr>
        <w:pStyle w:val="ListParagraph"/>
        <w:numPr>
          <w:ilvl w:val="0"/>
          <w:numId w:val="1"/>
        </w:numPr>
        <w:spacing w:after="70"/>
      </w:pPr>
      <w:r>
        <w:rPr>
          <w:sz w:val="21"/>
          <w:szCs w:val="21"/>
        </w:rPr>
        <w:t xml:space="preserve">Documentación de parámetros: ver src/modelo_fraccionamiento.py y src/spark/modelo_fraccionamiento_spark.py.</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Entrenamiento del modelo de detección de anomalías sobre el dataset del Producto 5, en scikit-learn y en Spark MLlib real.</w:t>
      </w:r>
    </w:p>
    <w:p>
      <w:pPr>
        <w:pStyle w:val="ListParagraph"/>
        <w:numPr>
          <w:ilvl w:val="0"/>
          <w:numId w:val="1"/>
        </w:numPr>
        <w:spacing w:after="70"/>
      </w:pPr>
      <w:r>
        <w:rPr>
          <w:sz w:val="21"/>
          <w:szCs w:val="21"/>
        </w:rPr>
        <w:t xml:space="preserve">Diseño y prueba de la regla interpretable basada en el umbral normativo, reproducida sin cambios en ambas plataformas.</w:t>
      </w:r>
    </w:p>
    <w:p>
      <w:pPr>
        <w:pStyle w:val="ListParagraph"/>
        <w:numPr>
          <w:ilvl w:val="0"/>
          <w:numId w:val="1"/>
        </w:numPr>
        <w:spacing w:after="70"/>
      </w:pPr>
      <w:r>
        <w:rPr>
          <w:sz w:val="21"/>
          <w:szCs w:val="21"/>
        </w:rPr>
        <w:t xml:space="preserve">Comparación cuantitativa entre los tres enfoques — Isolation Forest, KMeans en Spark, y la regla (ver Producto 7).</w:t>
      </w:r>
    </w:p>
    <w:p>
      <w:pPr>
        <w:pStyle w:val="Heading1"/>
        <w:spacing w:after="140" w:before="260"/>
      </w:pPr>
      <w:r>
        <w:t xml:space="preserve">5. Grado de Cumplimiento del Producto</w:t>
      </w:r>
    </w:p>
    <w:p>
      <w:pPr>
        <w:spacing w:after="140"/>
      </w:pPr>
      <w:r>
        <w:rPr>
          <w:sz w:val="21"/>
          <w:szCs w:val="21"/>
        </w:rPr>
        <w:t xml:space="preserve">100% completado, incluyendo la validación en Spark MLlib real. El hallazgo se reforzó con evidencia adicional: ni Isolation Forest ni KMeans (ambos algoritmos estadísticos, en dos plataformas distintas) igualan la precisión de la regla interpretable — documentado explícitamente en el Producto 7.</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Spark MLlib no incluye una implementación nativa de Isolation Forest, y el paquete GraphFrames/Delta que sí requerían Maven se resolvieron por separado (ver Producto 7) — pero Isolation Forest en sí no tiene equivalente instalable en MLlib, por lo que se usó KMeans como sustituto nativo, con peor resultado (0/8 vs. 3/8), reforzando aún más la conclusión de este producto.</w:t>
      </w:r>
    </w:p>
    <w:p>
      <w:pPr>
        <w:pStyle w:val="Heading1"/>
        <w:spacing w:after="140" w:before="260"/>
      </w:pPr>
      <w:r>
        <w:t xml:space="preserve">7. Conclusiones y Recomendaciones</w:t>
      </w:r>
    </w:p>
    <w:p>
      <w:pPr>
        <w:spacing w:after="140"/>
      </w:pPr>
      <w:r>
        <w:rPr>
          <w:sz w:val="21"/>
          <w:szCs w:val="21"/>
        </w:rPr>
        <w:t xml:space="preserve">El enfoque combinado (modelo + regla normativa) es el recomendado para producción, no el modelo estadístico de forma aislada.</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Selección y Desarrollo del Modelo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2026-08-07T20:51:35.365Z</dcterms:created>
  <dcterms:modified xsi:type="dcterms:W3CDTF">2026-08-07T20:51:35.365Z</dcterms:modified>
</cp:coreProperties>
</file>

<file path=docProps/custom.xml><?xml version="1.0" encoding="utf-8"?>
<Properties xmlns="http://schemas.openxmlformats.org/officeDocument/2006/custom-properties" xmlns:vt="http://schemas.openxmlformats.org/officeDocument/2006/docPropsVTypes"/>
</file>