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spacing w:lineRule="exact" w:line="240" w:before="0" w:after="160"/>
        <w:jc w:val="center"/>
        <w:rPr/>
      </w:pPr>
      <w:r>
        <w:rPr>
          <w:rFonts w:eastAsia="Arial" w:cs="Arial"/>
          <w:b/>
          <w:bCs/>
          <w:color w:val="000000"/>
          <w:sz w:val="22"/>
          <w:szCs w:val="22"/>
        </w:rPr>
        <w:t>CONTRALORÍA GENERAL DE LA REPÚBLICA</w:t>
      </w:r>
    </w:p>
    <w:p>
      <w:pPr>
        <w:pStyle w:val="Normal"/>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spacing w:lineRule="exact" w:line="240" w:before="0" w:after="180"/>
        <w:jc w:val="center"/>
        <w:rPr/>
      </w:pPr>
      <w:r>
        <w:rPr>
          <w:rFonts w:eastAsia="Arial" w:cs="Arial"/>
          <w:b/>
          <w:bCs/>
          <w:color w:val="000000"/>
          <w:sz w:val="22"/>
          <w:szCs w:val="22"/>
        </w:rPr>
        <w:t>INFORME FINAL / REPORTE TÉCNICO</w:t>
      </w:r>
    </w:p>
    <w:p>
      <w:pPr>
        <w:pStyle w:val="Normal"/>
        <w:spacing w:lineRule="exact" w:line="240" w:before="0" w:after="260"/>
        <w:jc w:val="center"/>
        <w:rPr/>
      </w:pPr>
      <w:r>
        <w:rPr>
          <w:rFonts w:eastAsia="Arial" w:cs="Arial"/>
          <w:b/>
          <w:bCs/>
          <w:color w:val="000000"/>
          <w:sz w:val="22"/>
          <w:szCs w:val="22"/>
        </w:rPr>
        <w:t>Informe Final Técnico Consolidado del Prototipo</w:t>
      </w:r>
    </w:p>
    <w:p>
      <w:pPr>
        <w:pStyle w:val="Normal"/>
        <w:spacing w:lineRule="exact" w:line="240" w:before="0" w:after="30"/>
        <w:jc w:val="center"/>
        <w:rPr/>
      </w:pPr>
      <w:r>
        <w:rPr>
          <w:rFonts w:eastAsia="Arial" w:cs="Arial"/>
          <w:b/>
          <w:bCs/>
          <w:color w:val="000000"/>
          <w:sz w:val="22"/>
          <w:szCs w:val="22"/>
        </w:rPr>
        <w:t>Nombre de la consultoría:</w:t>
      </w:r>
    </w:p>
    <w:p>
      <w:pPr>
        <w:pStyle w:val="Normal"/>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spacing w:lineRule="exact" w:line="240" w:before="0" w:after="30"/>
        <w:jc w:val="center"/>
        <w:rPr/>
      </w:pPr>
      <w:r>
        <w:rPr>
          <w:rFonts w:eastAsia="Arial" w:cs="Arial"/>
          <w:b/>
          <w:bCs/>
          <w:color w:val="000000"/>
          <w:sz w:val="22"/>
          <w:szCs w:val="22"/>
        </w:rPr>
        <w:t>Consultor:</w:t>
      </w:r>
    </w:p>
    <w:p>
      <w:pPr>
        <w:pStyle w:val="Normal"/>
        <w:spacing w:lineRule="exact" w:line="240" w:before="0" w:after="240"/>
        <w:jc w:val="center"/>
        <w:rPr/>
      </w:pPr>
      <w:r>
        <w:rPr>
          <w:rFonts w:eastAsia="Arial" w:cs="Arial"/>
          <w:color w:val="000000"/>
          <w:sz w:val="22"/>
          <w:szCs w:val="22"/>
        </w:rPr>
        <w:t>Noé Calle</w:t>
      </w:r>
    </w:p>
    <w:p>
      <w:pPr>
        <w:pStyle w:val="Normal"/>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spacing w:lineRule="exact" w:line="240" w:before="0" w:after="30"/>
        <w:jc w:val="center"/>
        <w:rPr/>
      </w:pPr>
      <w:r>
        <w:rPr>
          <w:rFonts w:eastAsia="Arial" w:cs="Arial"/>
          <w:b/>
          <w:bCs/>
          <w:color w:val="000000"/>
          <w:sz w:val="22"/>
          <w:szCs w:val="22"/>
        </w:rPr>
        <w:t>Repositorio de código y documentación:</w:t>
      </w:r>
    </w:p>
    <w:p>
      <w:pPr>
        <w:pStyle w:val="Normal"/>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3155877788"/>
      <w:bookmarkEnd w:id="0"/>
      <w:r>
        <w:rPr>
          <w:rFonts w:eastAsia="Arial" w:cs="Arial" w:ascii="Arial" w:hAnsi="Arial"/>
          <w:b/>
          <w:bCs/>
          <w:color w:val="000000"/>
          <w:sz w:val="22"/>
          <w:szCs w:val="22"/>
        </w:rPr>
        <w:t>Resumen Ejecutivo</w:t>
      </w:r>
    </w:p>
    <w:p>
      <w:pPr>
        <w:pStyle w:val="Normal"/>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3155877788">
            <w:r>
              <w:rPr>
                <w:rStyle w:val="IndexLink"/>
              </w:rPr>
              <w:t>Resumen Ejecutivo</w:t>
              <w:tab/>
              <w:t>2</w:t>
            </w:r>
          </w:hyperlink>
        </w:p>
        <w:p>
          <w:pPr>
            <w:pStyle w:val="TOC1"/>
            <w:tabs>
              <w:tab w:val="clear" w:pos="9026"/>
              <w:tab w:val="right" w:pos="9025" w:leader="dot"/>
            </w:tabs>
            <w:rPr/>
          </w:pPr>
          <w:hyperlink w:anchor="__RefHeading___Toc699_3155877788">
            <w:r>
              <w:rPr>
                <w:rStyle w:val="IndexLink"/>
              </w:rPr>
              <w:t>Índice de Tablas o Cuadros</w:t>
              <w:tab/>
              <w:t>2</w:t>
            </w:r>
          </w:hyperlink>
        </w:p>
        <w:p>
          <w:pPr>
            <w:pStyle w:val="TOC1"/>
            <w:tabs>
              <w:tab w:val="clear" w:pos="9026"/>
              <w:tab w:val="right" w:pos="9025" w:leader="dot"/>
            </w:tabs>
            <w:rPr/>
          </w:pPr>
          <w:hyperlink w:anchor="__RefHeading___Toc701_3155877788">
            <w:r>
              <w:rPr>
                <w:rStyle w:val="IndexLink"/>
              </w:rPr>
              <w:t>Índice de Gráficos</w:t>
              <w:tab/>
              <w:t>2</w:t>
            </w:r>
          </w:hyperlink>
        </w:p>
        <w:p>
          <w:pPr>
            <w:pStyle w:val="TOC1"/>
            <w:tabs>
              <w:tab w:val="clear" w:pos="9026"/>
              <w:tab w:val="right" w:pos="9025" w:leader="dot"/>
            </w:tabs>
            <w:rPr/>
          </w:pPr>
          <w:hyperlink w:anchor="__RefHeading___Toc703_3155877788">
            <w:r>
              <w:rPr>
                <w:rStyle w:val="IndexLink"/>
              </w:rPr>
              <w:t>Lista de Abreviaturas y Acrónimos</w:t>
              <w:tab/>
              <w:t>2</w:t>
            </w:r>
          </w:hyperlink>
        </w:p>
        <w:p>
          <w:pPr>
            <w:pStyle w:val="TOC1"/>
            <w:tabs>
              <w:tab w:val="clear" w:pos="9026"/>
              <w:tab w:val="right" w:pos="9025" w:leader="dot"/>
            </w:tabs>
            <w:rPr/>
          </w:pPr>
          <w:hyperlink w:anchor="__RefHeading___Toc705_3155877788">
            <w:r>
              <w:rPr>
                <w:rStyle w:val="IndexLink"/>
              </w:rPr>
              <w:t>Glosario</w:t>
              <w:tab/>
              <w:t>3</w:t>
            </w:r>
          </w:hyperlink>
        </w:p>
        <w:p>
          <w:pPr>
            <w:pStyle w:val="TOC1"/>
            <w:tabs>
              <w:tab w:val="clear" w:pos="9026"/>
              <w:tab w:val="right" w:pos="9025" w:leader="dot"/>
            </w:tabs>
            <w:rPr/>
          </w:pPr>
          <w:hyperlink w:anchor="__RefHeading___Toc707_3155877788">
            <w:r>
              <w:rPr>
                <w:rStyle w:val="IndexLink"/>
              </w:rPr>
              <w:t>1. Introducción</w:t>
              <w:tab/>
              <w:t>3</w:t>
            </w:r>
          </w:hyperlink>
        </w:p>
        <w:p>
          <w:pPr>
            <w:pStyle w:val="TOC1"/>
            <w:tabs>
              <w:tab w:val="clear" w:pos="9026"/>
              <w:tab w:val="right" w:pos="9025" w:leader="dot"/>
            </w:tabs>
            <w:rPr/>
          </w:pPr>
          <w:hyperlink w:anchor="__RefHeading___Toc709_3155877788">
            <w:r>
              <w:rPr>
                <w:rStyle w:val="IndexLink"/>
              </w:rPr>
              <w:t>2. Objetivo de Consultoría</w:t>
              <w:tab/>
              <w:t>4</w:t>
            </w:r>
          </w:hyperlink>
        </w:p>
        <w:p>
          <w:pPr>
            <w:pStyle w:val="TOC1"/>
            <w:tabs>
              <w:tab w:val="clear" w:pos="9026"/>
              <w:tab w:val="right" w:pos="9025" w:leader="dot"/>
            </w:tabs>
            <w:rPr/>
          </w:pPr>
          <w:hyperlink w:anchor="__RefHeading___Toc711_3155877788">
            <w:r>
              <w:rPr>
                <w:rStyle w:val="IndexLink"/>
              </w:rPr>
              <w:t>3. Productos Alcanzados</w:t>
              <w:tab/>
              <w:t>4</w:t>
            </w:r>
          </w:hyperlink>
        </w:p>
        <w:p>
          <w:pPr>
            <w:pStyle w:val="TOC2"/>
            <w:tabs>
              <w:tab w:val="clear" w:pos="8743"/>
              <w:tab w:val="right" w:pos="9025" w:leader="dot"/>
            </w:tabs>
            <w:rPr/>
          </w:pPr>
          <w:hyperlink w:anchor="__RefHeading___Toc713_3155877788">
            <w:r>
              <w:rPr>
                <w:rStyle w:val="IndexLink"/>
              </w:rPr>
              <w:t>3.1 Arquitectura, datos y trazabilidad</w:t>
              <w:tab/>
              <w:t>4</w:t>
            </w:r>
          </w:hyperlink>
        </w:p>
        <w:p>
          <w:pPr>
            <w:pStyle w:val="TOC2"/>
            <w:tabs>
              <w:tab w:val="clear" w:pos="8743"/>
              <w:tab w:val="right" w:pos="9025" w:leader="dot"/>
            </w:tabs>
            <w:rPr/>
          </w:pPr>
          <w:hyperlink w:anchor="__RefHeading___Toc715_3155877788">
            <w:r>
              <w:rPr>
                <w:rStyle w:val="IndexLink"/>
              </w:rPr>
              <w:t>3.2 Preparación y benchmark sintético</w:t>
              <w:tab/>
              <w:t>4</w:t>
            </w:r>
          </w:hyperlink>
        </w:p>
        <w:p>
          <w:pPr>
            <w:pStyle w:val="TOC2"/>
            <w:tabs>
              <w:tab w:val="clear" w:pos="8743"/>
              <w:tab w:val="right" w:pos="9025" w:leader="dot"/>
            </w:tabs>
            <w:rPr/>
          </w:pPr>
          <w:hyperlink w:anchor="__RefHeading___Toc717_3155877788">
            <w:r>
              <w:rPr>
                <w:rStyle w:val="IndexLink"/>
              </w:rPr>
              <w:t>3.3 Modelo de priorización de posible favoritismo</w:t>
              <w:tab/>
              <w:t>5</w:t>
            </w:r>
          </w:hyperlink>
        </w:p>
        <w:p>
          <w:pPr>
            <w:pStyle w:val="TOC2"/>
            <w:tabs>
              <w:tab w:val="clear" w:pos="8743"/>
              <w:tab w:val="right" w:pos="9025" w:leader="dot"/>
            </w:tabs>
            <w:rPr/>
          </w:pPr>
          <w:hyperlink w:anchor="__RefHeading___Toc719_3155877788">
            <w:r>
              <w:rPr>
                <w:rStyle w:val="IndexLink"/>
              </w:rPr>
              <w:t>3.4 Modelo de priorización de posible fraccionamiento</w:t>
              <w:tab/>
              <w:t>5</w:t>
            </w:r>
          </w:hyperlink>
        </w:p>
        <w:p>
          <w:pPr>
            <w:pStyle w:val="TOC2"/>
            <w:tabs>
              <w:tab w:val="clear" w:pos="8743"/>
              <w:tab w:val="right" w:pos="9025" w:leader="dot"/>
            </w:tabs>
            <w:rPr/>
          </w:pPr>
          <w:hyperlink w:anchor="__RefHeading___Toc721_3155877788">
            <w:r>
              <w:rPr>
                <w:rStyle w:val="IndexLink"/>
              </w:rPr>
              <w:t>3.5 Implementación Spark MLlib y GraphFrames</w:t>
              <w:tab/>
              <w:t>5</w:t>
            </w:r>
          </w:hyperlink>
        </w:p>
        <w:p>
          <w:pPr>
            <w:pStyle w:val="TOC2"/>
            <w:tabs>
              <w:tab w:val="clear" w:pos="8743"/>
              <w:tab w:val="right" w:pos="9025" w:leader="dot"/>
            </w:tabs>
            <w:rPr/>
          </w:pPr>
          <w:hyperlink w:anchor="__RefHeading___Toc723_3155877788">
            <w:r>
              <w:rPr>
                <w:rStyle w:val="IndexLink"/>
              </w:rPr>
              <w:t>3.6 Validación de integridad con datos públicos OCDS/OECE</w:t>
              <w:tab/>
              <w:t>6</w:t>
            </w:r>
          </w:hyperlink>
        </w:p>
        <w:p>
          <w:pPr>
            <w:pStyle w:val="TOC2"/>
            <w:tabs>
              <w:tab w:val="clear" w:pos="8743"/>
              <w:tab w:val="right" w:pos="9025" w:leader="dot"/>
            </w:tabs>
            <w:rPr/>
          </w:pPr>
          <w:hyperlink w:anchor="__RefHeading___Toc725_3155877788">
            <w:r>
              <w:rPr>
                <w:rStyle w:val="IndexLink"/>
              </w:rPr>
              <w:t>3.7 Autoevaluación, mantenimiento y gobernanza</w:t>
              <w:tab/>
              <w:t>6</w:t>
            </w:r>
          </w:hyperlink>
        </w:p>
        <w:p>
          <w:pPr>
            <w:pStyle w:val="TOC2"/>
            <w:tabs>
              <w:tab w:val="clear" w:pos="8743"/>
              <w:tab w:val="right" w:pos="9025" w:leader="dot"/>
            </w:tabs>
            <w:rPr/>
          </w:pPr>
          <w:hyperlink w:anchor="__RefHeading___Toc727_3155877788">
            <w:r>
              <w:rPr>
                <w:rStyle w:val="IndexLink"/>
              </w:rPr>
              <w:t>3.8 Reporting, documentación y reproducibilidad</w:t>
              <w:tab/>
              <w:t>6</w:t>
            </w:r>
          </w:hyperlink>
        </w:p>
        <w:p>
          <w:pPr>
            <w:pStyle w:val="TOC2"/>
            <w:tabs>
              <w:tab w:val="clear" w:pos="8743"/>
              <w:tab w:val="right" w:pos="9025" w:leader="dot"/>
            </w:tabs>
            <w:rPr/>
          </w:pPr>
          <w:hyperlink w:anchor="__RefHeading___Toc729_3155877788">
            <w:r>
              <w:rPr>
                <w:rStyle w:val="IndexLink"/>
              </w:rPr>
              <w:t>3.9 Matriz de cierre frente al TDR</w:t>
              <w:tab/>
              <w:t>7</w:t>
            </w:r>
          </w:hyperlink>
        </w:p>
        <w:p>
          <w:pPr>
            <w:pStyle w:val="TOC1"/>
            <w:tabs>
              <w:tab w:val="clear" w:pos="9026"/>
              <w:tab w:val="right" w:pos="9025" w:leader="dot"/>
            </w:tabs>
            <w:rPr/>
          </w:pPr>
          <w:hyperlink w:anchor="__RefHeading___Toc731_3155877788">
            <w:r>
              <w:rPr>
                <w:rStyle w:val="IndexLink"/>
              </w:rPr>
              <w:t>4. Conclusiones y Recomendaciones</w:t>
              <w:tab/>
              <w:t>7</w:t>
            </w:r>
          </w:hyperlink>
        </w:p>
        <w:p>
          <w:pPr>
            <w:pStyle w:val="TOC1"/>
            <w:tabs>
              <w:tab w:val="clear" w:pos="9026"/>
              <w:tab w:val="right" w:pos="9025" w:leader="dot"/>
            </w:tabs>
            <w:rPr/>
          </w:pPr>
          <w:hyperlink w:anchor="__RefHeading___Toc733_3155877788">
            <w:r>
              <w:rPr>
                <w:rStyle w:val="IndexLink"/>
              </w:rPr>
              <w:t>5. Anexos</w:t>
              <w:tab/>
              <w:t>7</w:t>
            </w:r>
          </w:hyperlink>
        </w:p>
        <w:p>
          <w:pPr>
            <w:pStyle w:val="TOC1"/>
            <w:tabs>
              <w:tab w:val="clear" w:pos="9026"/>
              <w:tab w:val="right" w:pos="9025" w:leader="dot"/>
            </w:tabs>
            <w:rPr/>
          </w:pPr>
          <w:hyperlink w:anchor="__RefHeading___Toc735_3155877788">
            <w:r>
              <w:rPr>
                <w:rStyle w:val="IndexLink"/>
              </w:rPr>
              <w:t>Referencias Bibliográficas</w:t>
              <w:tab/>
              <w:t>8</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3155877788"/>
      <w:bookmarkEnd w:id="1"/>
      <w:r>
        <w:rPr>
          <w:rFonts w:eastAsia="Arial" w:cs="Arial" w:ascii="Arial" w:hAnsi="Arial"/>
          <w:b/>
          <w:bCs/>
          <w:color w:val="000000"/>
          <w:sz w:val="22"/>
          <w:szCs w:val="22"/>
        </w:rPr>
        <w:t>Índice de Tablas o Cuadros</w:t>
      </w:r>
    </w:p>
    <w:p>
      <w:pPr>
        <w:pStyle w:val="Normal"/>
        <w:spacing w:lineRule="exact" w:line="240" w:before="0" w:after="35"/>
        <w:jc w:val="left"/>
        <w:rPr/>
      </w:pPr>
      <w:r>
        <w:rPr>
          <w:rFonts w:eastAsia="Arial" w:cs="Arial"/>
          <w:color w:val="000000"/>
          <w:sz w:val="22"/>
          <w:szCs w:val="22"/>
        </w:rPr>
        <w:t>1. Estado de componentes del prototipo</w:t>
      </w:r>
    </w:p>
    <w:p>
      <w:pPr>
        <w:pStyle w:val="Normal"/>
        <w:spacing w:lineRule="exact" w:line="240" w:before="0" w:after="35"/>
        <w:jc w:val="left"/>
        <w:rPr/>
      </w:pPr>
      <w:r>
        <w:rPr>
          <w:rFonts w:eastAsia="Arial" w:cs="Arial"/>
          <w:color w:val="000000"/>
          <w:sz w:val="22"/>
          <w:szCs w:val="22"/>
        </w:rPr>
        <w:t>2. Resumen del benchmark sintético</w:t>
      </w:r>
    </w:p>
    <w:p>
      <w:pPr>
        <w:pStyle w:val="Normal"/>
        <w:spacing w:lineRule="exact" w:line="240" w:before="0" w:after="35"/>
        <w:jc w:val="left"/>
        <w:rPr/>
      </w:pPr>
      <w:r>
        <w:rPr>
          <w:rFonts w:eastAsia="Arial" w:cs="Arial"/>
          <w:color w:val="000000"/>
          <w:sz w:val="22"/>
          <w:szCs w:val="22"/>
        </w:rPr>
        <w:t>3. Comparación de modelos de favoritismo</w:t>
      </w:r>
    </w:p>
    <w:p>
      <w:pPr>
        <w:pStyle w:val="Normal"/>
        <w:spacing w:lineRule="exact" w:line="240" w:before="0" w:after="35"/>
        <w:jc w:val="left"/>
        <w:rPr/>
      </w:pPr>
      <w:r>
        <w:rPr>
          <w:rFonts w:eastAsia="Arial" w:cs="Arial"/>
          <w:color w:val="000000"/>
          <w:sz w:val="22"/>
          <w:szCs w:val="22"/>
        </w:rPr>
        <w:t>4. Métricas holdout de fraccionamiento</w:t>
      </w:r>
    </w:p>
    <w:p>
      <w:pPr>
        <w:pStyle w:val="Normal"/>
        <w:spacing w:lineRule="exact" w:line="240" w:before="0" w:after="35"/>
        <w:jc w:val="left"/>
        <w:rPr/>
      </w:pPr>
      <w:r>
        <w:rPr>
          <w:rFonts w:eastAsia="Arial" w:cs="Arial"/>
          <w:color w:val="000000"/>
          <w:sz w:val="22"/>
          <w:szCs w:val="22"/>
        </w:rPr>
        <w:t>5. Validación de integridad OCDS/OECE</w:t>
      </w:r>
    </w:p>
    <w:p>
      <w:pPr>
        <w:pStyle w:val="Normal"/>
        <w:spacing w:lineRule="exact" w:line="240" w:before="0" w:after="35"/>
        <w:jc w:val="left"/>
        <w:rPr/>
      </w:pPr>
      <w:r>
        <w:rPr>
          <w:rFonts w:eastAsia="Arial" w:cs="Arial"/>
          <w:color w:val="000000"/>
          <w:sz w:val="22"/>
          <w:szCs w:val="22"/>
        </w:rPr>
        <w:t>6. Evidencia Spark y GraphFrames</w:t>
      </w:r>
    </w:p>
    <w:p>
      <w:pPr>
        <w:pStyle w:val="Normal"/>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3155877788"/>
      <w:bookmarkEnd w:id="2"/>
      <w:r>
        <w:rPr>
          <w:rFonts w:eastAsia="Arial" w:cs="Arial" w:ascii="Arial" w:hAnsi="Arial"/>
          <w:b/>
          <w:bCs/>
          <w:color w:val="000000"/>
          <w:sz w:val="22"/>
          <w:szCs w:val="22"/>
        </w:rPr>
        <w:t>Índice de Gráficos</w:t>
      </w:r>
    </w:p>
    <w:p>
      <w:pPr>
        <w:pStyle w:val="Normal"/>
        <w:spacing w:lineRule="exact" w:line="240" w:before="0" w:after="35"/>
        <w:jc w:val="left"/>
        <w:rPr/>
      </w:pPr>
      <w:r>
        <w:rPr>
          <w:rFonts w:eastAsia="Arial" w:cs="Arial"/>
          <w:color w:val="000000"/>
          <w:sz w:val="22"/>
          <w:szCs w:val="22"/>
        </w:rPr>
        <w:t>1. Diagrama del modelo de datos</w:t>
      </w:r>
    </w:p>
    <w:p>
      <w:pPr>
        <w:pStyle w:val="Normal"/>
        <w:spacing w:lineRule="exact" w:line="240" w:before="0" w:after="35"/>
        <w:jc w:val="left"/>
        <w:rPr/>
      </w:pPr>
      <w:r>
        <w:rPr>
          <w:rFonts w:eastAsia="Arial" w:cs="Arial"/>
          <w:color w:val="000000"/>
          <w:sz w:val="22"/>
          <w:szCs w:val="22"/>
        </w:rPr>
        <w:t>2. Resumen SHAP de favoritismo</w:t>
      </w:r>
    </w:p>
    <w:p>
      <w:pPr>
        <w:pStyle w:val="Normal"/>
        <w:spacing w:lineRule="exact" w:line="240" w:before="0" w:after="35"/>
        <w:jc w:val="left"/>
        <w:rPr/>
      </w:pPr>
      <w:r>
        <w:rPr>
          <w:rFonts w:eastAsia="Arial" w:cs="Arial"/>
          <w:color w:val="000000"/>
          <w:sz w:val="22"/>
          <w:szCs w:val="22"/>
        </w:rPr>
        <w:t>3. Detección de señales de fraccionamiento</w:t>
      </w:r>
    </w:p>
    <w:p>
      <w:pPr>
        <w:pStyle w:val="Normal"/>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3155877788"/>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3155877788"/>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3155877788"/>
      <w:bookmarkEnd w:id="5"/>
      <w:r>
        <w:rPr>
          <w:rFonts w:eastAsia="Arial" w:cs="Arial" w:ascii="Arial" w:hAnsi="Arial"/>
          <w:b/>
          <w:bCs/>
          <w:color w:val="000000"/>
          <w:sz w:val="22"/>
          <w:szCs w:val="22"/>
        </w:rPr>
        <w:t>1. Introducción</w:t>
      </w:r>
    </w:p>
    <w:p>
      <w:pPr>
        <w:pStyle w:val="Normal"/>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3155877788"/>
      <w:bookmarkEnd w:id="6"/>
      <w:r>
        <w:rPr>
          <w:rFonts w:eastAsia="Arial" w:cs="Arial" w:ascii="Arial" w:hAnsi="Arial"/>
          <w:b/>
          <w:bCs/>
          <w:color w:val="000000"/>
          <w:sz w:val="22"/>
          <w:szCs w:val="22"/>
        </w:rPr>
        <w:t>2. Objetivo de Consultoría</w:t>
      </w:r>
    </w:p>
    <w:p>
      <w:pPr>
        <w:pStyle w:val="Normal"/>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3155877788"/>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3155877788"/>
      <w:bookmarkEnd w:id="8"/>
      <w:r>
        <w:rPr>
          <w:rFonts w:eastAsia="Arial" w:cs="Arial" w:ascii="Arial" w:hAnsi="Arial"/>
          <w:b/>
          <w:bCs/>
          <w:color w:val="000000"/>
          <w:sz w:val="22"/>
          <w:szCs w:val="22"/>
        </w:rPr>
        <w:t>3.1 Arquitectura, datos y trazabilidad</w:t>
      </w:r>
    </w:p>
    <w:p>
      <w:pPr>
        <w:pStyle w:val="Normal"/>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spacing w:lineRule="exact" w:line="240" w:before="0" w:after="35"/>
        <w:jc w:val="center"/>
        <w:rPr/>
      </w:pPr>
      <w:r>
        <w:rPr>
          <w:rFonts w:eastAsia="Arial" w:cs="Arial"/>
          <w:b/>
          <w:bCs/>
          <w:color w:val="000000"/>
          <w:sz w:val="22"/>
          <w:szCs w:val="22"/>
        </w:rPr>
        <w:t>Gráfico 1. Diagrama del modelo de datos</w:t>
      </w:r>
    </w:p>
    <w:p>
      <w:pPr>
        <w:pStyle w:val="Normal"/>
        <w:spacing w:lineRule="exact" w:line="240"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3155877788"/>
      <w:bookmarkEnd w:id="9"/>
      <w:r>
        <w:rPr>
          <w:rFonts w:eastAsia="Arial" w:cs="Arial" w:ascii="Arial" w:hAnsi="Arial"/>
          <w:b/>
          <w:bCs/>
          <w:color w:val="000000"/>
          <w:sz w:val="22"/>
          <w:szCs w:val="22"/>
        </w:rPr>
        <w:t>3.2 Preparación y benchmark sintético</w:t>
      </w:r>
    </w:p>
    <w:p>
      <w:pPr>
        <w:pStyle w:val="Normal"/>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3155877788"/>
      <w:bookmarkEnd w:id="10"/>
      <w:r>
        <w:rPr>
          <w:rFonts w:eastAsia="Arial" w:cs="Arial" w:ascii="Arial" w:hAnsi="Arial"/>
          <w:b/>
          <w:bCs/>
          <w:color w:val="000000"/>
          <w:sz w:val="22"/>
          <w:szCs w:val="22"/>
        </w:rPr>
        <w:t>3.3 Modelo de priorización de posible favoritismo</w:t>
      </w:r>
    </w:p>
    <w:p>
      <w:pPr>
        <w:pStyle w:val="Normal"/>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spacing w:lineRule="exact" w:line="240" w:before="0" w:after="35"/>
        <w:jc w:val="center"/>
        <w:rPr/>
      </w:pPr>
      <w:r>
        <w:rPr>
          <w:rFonts w:eastAsia="Arial" w:cs="Arial"/>
          <w:b/>
          <w:bCs/>
          <w:color w:val="000000"/>
          <w:sz w:val="22"/>
          <w:szCs w:val="22"/>
        </w:rPr>
        <w:t>Gráfico 2. Resumen SHAP de favoritismo</w:t>
      </w:r>
    </w:p>
    <w:p>
      <w:pPr>
        <w:pStyle w:val="Normal"/>
        <w:spacing w:lineRule="exact" w:line="240"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3155877788"/>
      <w:bookmarkEnd w:id="11"/>
      <w:r>
        <w:rPr>
          <w:rFonts w:eastAsia="Arial" w:cs="Arial" w:ascii="Arial" w:hAnsi="Arial"/>
          <w:b/>
          <w:bCs/>
          <w:color w:val="000000"/>
          <w:sz w:val="22"/>
          <w:szCs w:val="22"/>
        </w:rPr>
        <w:t>3.4 Modelo de priorización de posible fraccionamiento</w:t>
      </w:r>
    </w:p>
    <w:p>
      <w:pPr>
        <w:pStyle w:val="Normal"/>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spacing w:lineRule="exact" w:line="240" w:before="0" w:after="35"/>
        <w:jc w:val="center"/>
        <w:rPr/>
      </w:pPr>
      <w:r>
        <w:rPr>
          <w:rFonts w:eastAsia="Arial" w:cs="Arial"/>
          <w:b/>
          <w:bCs/>
          <w:color w:val="000000"/>
          <w:sz w:val="22"/>
          <w:szCs w:val="22"/>
        </w:rPr>
        <w:t>Gráfico 3. Detección de señales de posible fraccionamiento</w:t>
      </w:r>
    </w:p>
    <w:p>
      <w:pPr>
        <w:pStyle w:val="Normal"/>
        <w:spacing w:lineRule="exact" w:line="240"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3155877788"/>
      <w:bookmarkEnd w:id="12"/>
      <w:r>
        <w:rPr>
          <w:rFonts w:eastAsia="Arial" w:cs="Arial" w:ascii="Arial" w:hAnsi="Arial"/>
          <w:b/>
          <w:bCs/>
          <w:color w:val="000000"/>
          <w:sz w:val="22"/>
          <w:szCs w:val="22"/>
        </w:rPr>
        <w:t>3.5 Implementación Spark MLlib y GraphFrames</w:t>
      </w:r>
    </w:p>
    <w:p>
      <w:pPr>
        <w:pStyle w:val="Normal"/>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spacing w:lineRule="exact" w:line="240" w:before="0" w:after="35"/>
        <w:jc w:val="center"/>
        <w:rPr/>
      </w:pPr>
      <w:r>
        <w:rPr>
          <w:rFonts w:eastAsia="Arial" w:cs="Arial"/>
          <w:b/>
          <w:bCs/>
          <w:color w:val="000000"/>
          <w:sz w:val="22"/>
          <w:szCs w:val="22"/>
        </w:rPr>
        <w:t>Gráfico 4. Red proveedor-funcionario sintética</w:t>
      </w:r>
    </w:p>
    <w:p>
      <w:pPr>
        <w:pStyle w:val="Normal"/>
        <w:spacing w:lineRule="exact" w:line="240"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3155877788"/>
      <w:bookmarkEnd w:id="13"/>
      <w:r>
        <w:rPr>
          <w:rFonts w:eastAsia="Arial" w:cs="Arial" w:ascii="Arial" w:hAnsi="Arial"/>
          <w:b/>
          <w:bCs/>
          <w:color w:val="000000"/>
          <w:sz w:val="22"/>
          <w:szCs w:val="22"/>
        </w:rPr>
        <w:t>3.6 Validación de integridad con datos públicos OCDS/OECE</w:t>
      </w:r>
    </w:p>
    <w:p>
      <w:pPr>
        <w:pStyle w:val="Normal"/>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3155877788"/>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3155877788"/>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3155877788"/>
      <w:bookmarkEnd w:id="16"/>
      <w:r>
        <w:rPr>
          <w:rFonts w:eastAsia="Arial" w:cs="Arial" w:ascii="Arial" w:hAnsi="Arial"/>
          <w:b/>
          <w:bCs/>
          <w:color w:val="000000"/>
          <w:sz w:val="22"/>
          <w:szCs w:val="22"/>
        </w:rPr>
        <w:t>3.9 Matriz de cierre frente al TDR</w:t>
      </w:r>
    </w:p>
    <w:p>
      <w:pPr>
        <w:pStyle w:val="Normal"/>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3155877788"/>
      <w:bookmarkEnd w:id="17"/>
      <w:r>
        <w:rPr>
          <w:rFonts w:eastAsia="Arial" w:cs="Arial" w:ascii="Arial" w:hAnsi="Arial"/>
          <w:b/>
          <w:bCs/>
          <w:color w:val="000000"/>
          <w:sz w:val="22"/>
          <w:szCs w:val="22"/>
        </w:rPr>
        <w:t>4. Conclusiones y Recomendaciones</w:t>
      </w:r>
    </w:p>
    <w:p>
      <w:pPr>
        <w:pStyle w:val="Normal"/>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3155877788"/>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30a3f995ba97b92caad15d43abe9bcace51f12a6.</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3155877788"/>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8</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2026-08-08T01:11:42Z</dcterms:created>
  <dc:creator>Noé Calle</dc:creator>
  <dc:description>PROTOTIPO INDEPENDIENTE - no constituye una implementación oficial ni cuenta con aprobación institucional de la CGR.</dc:description>
  <dc:language>en-US</dc:language>
  <cp:lastModifiedBy/>
  <dcterms:modified xsi:type="dcterms:W3CDTF">2026-08-08T01:11:44Z</dcterms:modified>
  <cp:revision>2</cp:revision>
  <dc:subject/>
  <dc:title>Informe Final Técnico Consolidado - Prototipo independiente CGR 1.8.2</dc:title>
</cp:coreProperties>
</file>