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w:t>
      </w:r>
    </w:p>
    <w:p>
      <w:pPr>
        <w:spacing w:after="160"/>
      </w:pPr>
      <w:r>
        <w:rPr>
          <w:sz w:val="22"/>
          <w:szCs w:val="22"/>
        </w:rPr>
        <w:t xml:space="preserve">El checklist de aceptación del TDR (Anexo 3, ítem 5) exige artefactos de explicabilidad tipo "caja blanca". Se generó la importancia de variables del modelo, que confirma que las señales más fuertes son el número de contratos ganados, la concentración en un solo tipo de objeto contractual y el monto total acumulado — variables directamente interpretables y auditables por un no especialista en ciencia de datos.</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3. Importancia de variables del modelo de favoritismo (artefacto de explicabilidad).</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4.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No incluye evaluación de vínculos por grafos (numeral 4.2.4 del TDR: relaciones proveedor-funcionario por DNI, RUC, direcciones, teléfonos), que requiere fuentes adicionales no simuladas aquí.</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el pipeline de orquestación (Airflow/DAGs) ni el proceso de certificación institucional descritos en el TDR.</w:t>
      </w:r>
    </w:p>
    <w:p>
      <w:pPr>
        <w:pStyle w:val="Heading1"/>
        <w:spacing w:after="150" w:before="300"/>
      </w:pPr>
      <w:r>
        <w:t xml:space="preserve">6. Ruta de Escalamiento a Producción</w:t>
      </w:r>
    </w:p>
    <w:p>
      <w:pPr>
        <w:spacing w:after="160"/>
      </w:pPr>
      <w:r>
        <w:rPr>
          <w:sz w:val="22"/>
          <w:szCs w:val="22"/>
        </w:rPr>
        <w:t xml:space="preserve">La lógica de features y modelado de este prototipo es directamente portable a Apache Spark MLlib (pyspark.ml) sobre el Lakehouse Hadoop descrito en el Anexo 2 del TDR: RandomForestClassifier e IsolationForest (o su equivalente con Bucketed Random Projection LSH / KMeans en MLlib) tienen APIs prácticamente idénticas a scikit-learn. El trabajo adicional para producción consiste principalmente en:</w:t>
      </w:r>
    </w:p>
    <w:p>
      <w:pPr>
        <w:pStyle w:val="ListParagraph"/>
        <w:numPr>
          <w:ilvl w:val="0"/>
          <w:numId w:val="1"/>
        </w:numPr>
        <w:spacing w:after="80"/>
      </w:pPr>
      <w:r>
        <w:rPr>
          <w:sz w:val="22"/>
          <w:szCs w:val="22"/>
        </w:rPr>
        <w:t xml:space="preserve">Conectar la ingesta real a las capas Plata/Oro del Lakehouse (reemplazando el generador sintético).</w:t>
      </w:r>
    </w:p>
    <w:p>
      <w:pPr>
        <w:pStyle w:val="ListParagraph"/>
        <w:numPr>
          <w:ilvl w:val="0"/>
          <w:numId w:val="1"/>
        </w:numPr>
        <w:spacing w:after="80"/>
      </w:pPr>
      <w:r>
        <w:rPr>
          <w:sz w:val="22"/>
          <w:szCs w:val="22"/>
        </w:rPr>
        <w:t xml:space="preserve">Migrar el feature engineering de pandas a Spark DataFrames / Spark SQL.</w:t>
      </w:r>
    </w:p>
    <w:p>
      <w:pPr>
        <w:pStyle w:val="ListParagraph"/>
        <w:numPr>
          <w:ilvl w:val="0"/>
          <w:numId w:val="1"/>
        </w:numPr>
        <w:spacing w:after="80"/>
      </w:pPr>
      <w:r>
        <w:rPr>
          <w:sz w:val="22"/>
          <w:szCs w:val="22"/>
        </w:rPr>
        <w:t xml:space="preserve">Orquestar el pipeline con Airflow (ya disponible en la plataforma de la CGR según el Anexo 2).</w:t>
      </w:r>
    </w:p>
    <w:p>
      <w:pPr>
        <w:pStyle w:val="ListParagraph"/>
        <w:numPr>
          <w:ilvl w:val="0"/>
          <w:numId w:val="1"/>
        </w:numPr>
        <w:spacing w:after="80"/>
      </w:pPr>
      <w:r>
        <w:rPr>
          <w:sz w:val="22"/>
          <w:szCs w:val="22"/>
        </w:rPr>
        <w:t xml:space="preserve">Añadir el módulo de análisis de grafos (proveedor-funcionario) con GraphX.</w:t>
      </w:r>
    </w:p>
    <w:p>
      <w:pPr>
        <w:pStyle w:val="ListParagraph"/>
        <w:numPr>
          <w:ilvl w:val="0"/>
          <w:numId w:val="1"/>
        </w:numPr>
        <w:spacing w:after="80"/>
      </w:pPr>
      <w:r>
        <w:rPr>
          <w:sz w:val="22"/>
          <w:szCs w:val="22"/>
        </w:rPr>
        <w:t xml:space="preserve">Publicar resultados hacia SQL Server / SSRS para consumo desde Power BI, tal como especifica la arquitectura institucional.</w:t>
      </w:r>
    </w:p>
    <w:p>
      <w:pPr>
        <w:pStyle w:val="Heading1"/>
        <w:spacing w:after="150" w:before="300"/>
      </w:pPr>
      <w:r>
        <w:t xml:space="preserve">7. Conclusión</w:t>
      </w:r>
    </w:p>
    <w:p>
      <w:pPr>
        <w:spacing w:after="160"/>
      </w:pPr>
      <w:r>
        <w:rPr>
          <w:sz w:val="22"/>
          <w:szCs w:val="22"/>
        </w:rPr>
        <w:t xml:space="preserve">Este prototipo demuestra en código abierto y en un plazo muy corto que los dos casos de uso centrales del TDR —favoritismo y fraccionamiento— son técnicamente alcanzables sin necesidad de comprometer de inmediato una consultoría individual de 180 días y S/. 72,000.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c43db6ec780e22abc1d646a0c738d0712b0eabbd.png"/><Relationship Id="rId12" Type="http://schemas.openxmlformats.org/officeDocument/2006/relationships/image" Target="media/4a41daf4206a5ac99a458805baa36d276a80aca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2026-08-06T19:18:23.706Z</dcterms:created>
  <dcterms:modified xsi:type="dcterms:W3CDTF">2026-08-06T19:18:23.707Z</dcterms:modified>
</cp:coreProperties>
</file>

<file path=docProps/custom.xml><?xml version="1.0" encoding="utf-8"?>
<Properties xmlns="http://schemas.openxmlformats.org/officeDocument/2006/custom-properties" xmlns:vt="http://schemas.openxmlformats.org/officeDocument/2006/docPropsVTypes"/>
</file>