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1_1895474408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Módulo de Análisis de Datos implementa una arquitectura reproducible para integrar información contractual, validar su calidad, construir señales de posible favoritismo y fraccionamiento, analizar vínculos y pagos, y priorizar casos para revisión humana. El perfil operacional utiliza Apache Spark MLlib: Random Forest para favoritismo y StandardScaler + KMeans + distancia al centroide para fraccionamiento. La selección/evaluación de ambos modelos está separada de TRAIN, la promoción es explícita, INFERENCE no reentrena y el monitor se liga al champion activo.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implementaciones sklearn se mantienen como benchmarks metodológicos y soporte de explicabilidad; no se presentan como los modelos servidos. Las métricas sintéticas verifican consistencia del pipeline y no constituyen estimaciones de desempeño productivo. Las salidas son señales de priorización y no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1_189547440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3_189547440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5_189547440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1895474408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189547440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1895474408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1895474408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189547440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7_1895474408">
            <w:r>
              <w:rPr>
                <w:rStyle w:val="IndexLink"/>
              </w:rPr>
              <w:t>3.1 Arquitectura de la herramienta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1895474408">
            <w:r>
              <w:rPr>
                <w:rStyle w:val="IndexLink"/>
              </w:rPr>
              <w:t>3.2 Contrato de datos y preprocesamiento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1895474408">
            <w:r>
              <w:rPr>
                <w:rStyle w:val="IndexLink"/>
              </w:rPr>
              <w:t>3.3 Modelos operacionales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1895474408">
            <w:r>
              <w:rPr>
                <w:rStyle w:val="IndexLink"/>
              </w:rPr>
              <w:t>3.4 Benchmarks complementarios e interpretabilidad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1895474408">
            <w:r>
              <w:rPr>
                <w:rStyle w:val="IndexLink"/>
              </w:rPr>
              <w:t>3.5 Evaluación, fingerprint y TRAIN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1895474408">
            <w:r>
              <w:rPr>
                <w:rStyle w:val="IndexLink"/>
              </w:rPr>
              <w:t>3.6 TRAIN, candidate, champion e INFERENCE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1895474408">
            <w:r>
              <w:rPr>
                <w:rStyle w:val="IndexLink"/>
              </w:rPr>
              <w:t>3.7 Monitoreo y mantenimiento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1895474408">
            <w:r>
              <w:rPr>
                <w:rStyle w:val="IndexLink"/>
              </w:rPr>
              <w:t>3.8 GraphFrames y vínculos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1895474408">
            <w:r>
              <w:rPr>
                <w:rStyle w:val="IndexLink"/>
              </w:rPr>
              <w:t>3.9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1895474408">
            <w:r>
              <w:rPr>
                <w:rStyle w:val="IndexLink"/>
              </w:rPr>
              <w:t>3.10 Airflow, reporting y documentación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1895474408">
            <w:r>
              <w:rPr>
                <w:rStyle w:val="IndexLink"/>
              </w:rPr>
              <w:t>3.11 Estado frente al TDR y dependencias institucionales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1895474408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1895474408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1895474408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1895474408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1895474408">
            <w:r>
              <w:rPr>
                <w:rStyle w:val="IndexLink"/>
              </w:rPr>
              <w:t>Distribución de pagos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1895474408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1895474408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1895474408">
            <w:r>
              <w:rPr>
                <w:rStyle w:val="IndexLink"/>
              </w:rPr>
              <w:t>Limitación institucional</w:t>
              <w:tab/>
              <w:t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1895474408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3_1895474408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Arquitectura y decisiones principales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Modelos operacionales y métricas holdout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metodológica sklearn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Benchmark complementario Isolation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MLOps, monitoreo y seguridad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Estado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5_1895474408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 de variables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Señales de posible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797_1895474408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799_1895474408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1_1895474408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técnica se organiza alrededor del estado vigente de la herramienta: qué problema resuelve, qué contrato de datos utiliza, qué modelos sirve, cómo se evalúan, cómo se promueven y qué controles evitan leakage, train-serving skew o publicación de resultados con artefactos inconsistentes. El historial de correcciones se conserva en Git y pull requests; no es necesario para comprender la arquitectura actual.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repositorio no utiliza accesos internos CGR. Las fuentes, ground truth, identidades, clúster, DEV/QA/PROD, SQL Server/SSRS real, criterios de aceptación, certificación, marcha blanca y transferencia formal permanecen como dependencias institucionales.</w:t>
      </w:r>
    </w:p>
    <w:p>
      <w:pPr>
        <w:pStyle w:val="Heading1"/>
        <w:spacing w:lineRule="exact" w:line="240" w:before="240" w:after="120"/>
        <w:rPr/>
      </w:pPr>
      <w:bookmarkStart w:id="6" w:name="__RefHeading___Toc803_1895474408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El presente informe documenta cómo ese objetivo se implementa en un prototipo independiente, reproducible y preparado para integración institucional sin atribuirle aprobación CGR.</w:t>
      </w:r>
    </w:p>
    <w:p>
      <w:pPr>
        <w:pStyle w:val="Heading1"/>
        <w:spacing w:lineRule="exact" w:line="240" w:before="240" w:after="120"/>
        <w:rPr/>
      </w:pPr>
      <w:bookmarkStart w:id="7" w:name="__RefHeading___Toc805_1895474408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07_1895474408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Arquitectura de la herramienta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fuentes se desacoplan mediante conectores y mappings YAML hacia un esquema canónico. Después del mapping/casteo se ejecutan quality gates antes de feature engineering. TRAIN ajusta y congela el preprocesador; INFERENCE reutiliza ese estado sin FIT. El model registry separa perfiles sklearn y spark_mllib, y el perfil operacional objetivo es spark_mllib.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Arquitectura y decisiones principales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Fundamento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Esquema canónico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acoplar modelos a nombres físicos de tablas/columnas.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antes del modelado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Impiden que duplicados, claves rotas o montos inválidos generen señales artificiales.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FIT solo en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train-serving skew y mantiene inferencia reproducible.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 en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Limita influencia de extremos mediante P99 aprendido solo en TRAIN.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original en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Preserva la semántica de comparación con cuantías normativas.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distribuido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materializar el corpus contractual en pandas/driver.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 separada de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 que entrenar cambie serving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store versionado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Permite verificar conjuntos completos y ejecutar rollback explícito.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09_1895474408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Contrato de datos y preprocesamiento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canónico soporta contracts, suppliers, entities, officials y payments. INFERENCE exige los atributos estructurales de contracts, pero no labels. TRAIN añade label_favoritismo y label_fraccionamiento. El preprocesador aprende medianas, modas y P99 durante TRAIN y se congela para serving.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se modelan como variables separadas.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Favoritismo agrega señales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Fraccionamiento agrega por proveedor-entidad-objeto_familia.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objeto_familia aplica normalización lexical conservadora y auditable.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Cantidad y monto de la ventana de 15 días proceden del mismo intervalo seleccionado.</w:t>
      </w:r>
    </w:p>
    <w:p>
      <w:pPr>
        <w:pStyle w:val="Heading2"/>
        <w:spacing w:lineRule="exact" w:line="240" w:before="180" w:after="80"/>
        <w:rPr/>
      </w:pPr>
      <w:bookmarkStart w:id="10" w:name="__RefHeading___Toc811_1895474408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Modelos operacionales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Modelos operacionales y métricas holdout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2200"/>
        <w:gridCol w:w="899"/>
        <w:gridCol w:w="900"/>
        <w:gridCol w:w="901"/>
        <w:gridCol w:w="900"/>
        <w:gridCol w:w="899"/>
        <w:gridCol w:w="9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Recall@K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 (numTrees=100, maxDepth=3)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reserva 591 pares para holdout antes del FIT del preprocesador y usa AUC-PR como métrica primaria por desbalance. Fraccionamiento reserva 62 grupos; KMeans se ajusta sin labels y las etiquetas se usan para seleccionar/evaluar la capacidad de priorización del ranking.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anteriores corresponden al benchmark sintético/local de la evidencia vigente. Deben utilizarse para verificar el método y el pipeline, no para afirmar precisión sobre expedientes institucionales.</w:t>
      </w:r>
    </w:p>
    <w:p>
      <w:pPr>
        <w:pStyle w:val="Heading2"/>
        <w:spacing w:lineRule="exact" w:line="240" w:before="180" w:after="80"/>
        <w:rPr/>
      </w:pPr>
      <w:bookmarkStart w:id="11" w:name="__RefHeading___Toc813_1895474408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3.4 Benchmarks complementarios e interpretabilidad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metodológica sklearn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comparación sklearn no define el champion; se conserva para contrastar familias de modelos y para evidencia SHAP. La Feature Importance del Random Forest Spark es la explicación directamente ligada al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Benchmark complementario Isolation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sklearn de compatibilidad; no es el modelo servido.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5_1895474408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3.5 Evaluación, fingerprint y TRAIN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evaluadores Spark registran el fingerprint SHA-256 del corpus canónico. TRAIN exige que las evidencias de favoritismo y fraccionamiento correspondan al mismo fingerprint. La selección ocurre en desarrollo y el holdout final no se utiliza para reconfigurar el modelo.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Cuando source.type=spark_sql, la evaluación dispone de ruta distribuida: integrar_spark, split, FIT/TRANSFORM, features y métricas permanecen en Spark. Las observaciones no se materializan con toPandas. Este contrato permite que la evidencia requerida por TRAIN exista también sobre un corpus Spark institucional.</w:t>
      </w:r>
    </w:p>
    <w:p>
      <w:pPr>
        <w:pStyle w:val="Heading2"/>
        <w:spacing w:lineRule="exact" w:line="240" w:before="180" w:after="80"/>
        <w:rPr/>
      </w:pPr>
      <w:bookmarkStart w:id="13" w:name="__RefHeading___Toc817_1895474408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3.6 TRAIN, candidate, champion e INFERENCE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produce un candidate y no cambia el champion. La promoción valida rutas y hashes, publica un conjunto versionado y actualiza el registry solo después del gate de integridad. INFERENCE verifica el champion antes del scoring y antes de publicar; los rankings se generan inicialmente en staging.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consume labels.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ejecuta FIT, training ni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promoción técnica del PoC no equivale a aprobación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registry conserva historial para rollback explícito.</w:t>
      </w:r>
    </w:p>
    <w:p>
      <w:pPr>
        <w:pStyle w:val="Heading2"/>
        <w:spacing w:lineRule="exact" w:line="240" w:before="180" w:after="80"/>
        <w:rPr/>
      </w:pPr>
      <w:bookmarkStart w:id="14" w:name="__RefHeading___Toc819_1895474408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3.7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MLOps, monitoreo y seguridad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Comportamiento vigente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monitorizado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El monitor lee el perfil spark_mllib activo del registry.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seleccionadas.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de features y distribución de score_anomalia.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existen labels válidos.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Puede generar candidate; no existe autopromoción.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de candidate/champion y verificación antes/después de inference.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Tests no privilegiados separados del job con escritura persistente.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Datos reales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Rankings identificables y datasets crudos fuera del repositorio público.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resumen de monitoreo mantiene automatic_promotion=false. Un lote sin labels puede aportar evidencia de drift, pero no debe convertirse automáticamente en ground truth.</w:t>
      </w:r>
    </w:p>
    <w:p>
      <w:pPr>
        <w:pStyle w:val="Heading2"/>
        <w:spacing w:lineRule="exact" w:line="240" w:before="180" w:after="80"/>
        <w:rPr/>
      </w:pPr>
      <w:bookmarkStart w:id="15" w:name="__RefHeading___Toc821_1895474408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3.8 GraphFrames y vínculos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incorpora NetworkX/GraphFrames para representar relaciones proveedor-funcionario cuando las variables necesarias están disponibles. La evidencia pública utiliza datos sintéticos para no afirmar vínculos institucionales no observados.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Evidencia GraphFrames registrada: 280 vértices y 3130 aristas.</w:t>
      </w:r>
    </w:p>
    <w:p>
      <w:pPr>
        <w:pStyle w:val="Heading2"/>
        <w:spacing w:lineRule="exact" w:line="240" w:before="180" w:after="80"/>
        <w:rPr/>
      </w:pPr>
      <w:bookmarkStart w:id="16" w:name="__RefHeading___Toc823_1895474408"/>
      <w:bookmarkEnd w:id="16"/>
      <w:r>
        <w:rPr>
          <w:rFonts w:eastAsia="Arial" w:cs="Arial"/>
          <w:b/>
          <w:bCs/>
          <w:color w:val="000000"/>
          <w:sz w:val="22"/>
          <w:szCs w:val="22"/>
        </w:rPr>
        <w:t>3.9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prueba con datos abiertos utiliza la relación Contract(main_ocid, awardID) -&gt; Award(main_ocid, id) -&gt; awards_suppliers(main_ocid, awards_id), porque el adjudicatario debe resolverse respecto de la adjudicación vinculada al contrato.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Indicador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con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relación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evidencia reproducible contiene 47,254 contratos analíticos válidos. Como no existen etiquetas institucionales de favoritismo/fraccionamiento, esta prueba verifica portabilidad de features y reglas, pero no valida el champion.</w:t>
      </w:r>
    </w:p>
    <w:p>
      <w:pPr>
        <w:pStyle w:val="Heading2"/>
        <w:spacing w:lineRule="exact" w:line="240" w:before="180" w:after="80"/>
        <w:rPr/>
      </w:pPr>
      <w:bookmarkStart w:id="17" w:name="__RefHeading___Toc825_1895474408"/>
      <w:bookmarkEnd w:id="17"/>
      <w:r>
        <w:rPr>
          <w:rFonts w:eastAsia="Arial" w:cs="Arial"/>
          <w:b/>
          <w:bCs/>
          <w:color w:val="000000"/>
          <w:sz w:val="22"/>
          <w:szCs w:val="22"/>
        </w:rPr>
        <w:t>3.10 Airflow, reporting y documentación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DAGs separados para reproducibilidad, TRAIN, INFERENCE y monitoreo.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TRAIN/INFERENCE aceptan master Spark configurable; spark_sql mantiene DataFrame Spark hasta Parquet distribuido.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SQL Server/SSRS se entrega como contrato DDL, vistas, roles de referencia y RDL con Shared Data Source.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se generan desde evidencia machine-readable.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Diccionario, linaje, run manifest, model registry y auditorías completan la trazabilidad.</w:t>
      </w:r>
    </w:p>
    <w:p>
      <w:pPr>
        <w:pStyle w:val="Heading2"/>
        <w:spacing w:lineRule="exact" w:line="240" w:before="180" w:after="80"/>
        <w:rPr/>
      </w:pPr>
      <w:bookmarkStart w:id="18" w:name="__RefHeading___Toc827_1895474408"/>
      <w:bookmarkEnd w:id="18"/>
      <w:r>
        <w:rPr>
          <w:rFonts w:eastAsia="Arial" w:cs="Arial"/>
          <w:b/>
          <w:bCs/>
          <w:color w:val="000000"/>
          <w:sz w:val="22"/>
          <w:szCs w:val="22"/>
        </w:rPr>
        <w:t>3.11 Estado frente al TDR y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Estado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799"/>
        <w:gridCol w:w="5000"/>
      </w:tblGrid>
      <w:tr>
        <w:trPr>
          <w:tblHeader w:val="true"/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calidad, preprocesamiento y feature engineering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 Spark con CV/tuning/holdout propios.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 con selección/holdout propios + señal interpretable.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distribuida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Spark-native; performance productiva pendiente de clúster real.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reproducible con escenario sintético.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Candidate/champion, hashes, promoción explícita, rollback e inference sin retraining.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Reporting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SQL Server/SSRS preparado; despliegue institucional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Seguridad/DEV/QA/PROD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Controles de repo implementados; identidad/infraestructura real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y umbrales productivos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Certificación, marcha blanca y transferencia formal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dependencias institucionales se mantienen explícitas para evitar que un PoC reproducible sea presentado como una implantación productiva certificada.</w:t>
      </w:r>
    </w:p>
    <w:p>
      <w:pPr>
        <w:pStyle w:val="Heading1"/>
        <w:spacing w:lineRule="exact" w:line="240" w:before="240" w:after="120"/>
        <w:rPr/>
      </w:pPr>
      <w:bookmarkStart w:id="19" w:name="__RefHeading___Toc829_1895474408"/>
      <w:bookmarkEnd w:id="19"/>
      <w:r>
        <w:rPr>
          <w:rFonts w:eastAsia="Arial" w:cs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resultado es una herramienta de priorización con contratos técnicos claros: esquema canónico, quality gates, preprocesamiento congelado, modelos Spark evaluados con holdout independiente, evidence fingerprinting, candidate/champion separados, promoción explícita, inference sin training, monitoreo registry-aware y reporting desacoplado de infraestructura. La documentación principal explica estas decisiones y su fundamento, mientras el historial de desarrollo queda relegado a Git/PR y notas de release.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adopción institucional se recomienda mantener intacta la separación evaluación/TRAIN/promoción/INFERENCE, ejecutar evaluación sobre el mismo corpus real que alimentará TRAIN, definir ground truth y criterios de aceptación con auditores, y validar capacidad, seguridad, observabilidad y reporting en DEV/QA/PROD antes de cualquier marcha blanca.</w:t>
      </w:r>
    </w:p>
    <w:p>
      <w:pPr>
        <w:pStyle w:val="Heading1"/>
        <w:spacing w:lineRule="exact" w:line="240" w:before="240" w:after="120"/>
        <w:rPr/>
      </w:pPr>
      <w:bookmarkStart w:id="20" w:name="__RefHeading___Toc831_1895474408"/>
      <w:bookmarkEnd w:id="20"/>
      <w:r>
        <w:rPr>
          <w:rFonts w:eastAsia="Arial" w:cs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README.md — descripción funcional y decisiones de diseño.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docs/Arquitectura_MLOps.md — model lifecycle, registry, promotion y rollback.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docs/Evaluacion_Spark_y_Performance.md — evaluación distribuida y límites de performance.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docs/Seguridad_y_Gobernanza.md — seguridad y controles demostrables.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docs/Integracion_Datos.md — contrato de fuentes y mappings.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docs/Auditoria_TDR_Completo.md — matriz de evidencia frente al TDR.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docs/Dependencias_Institucionales_CGR.md — dependencias de cierre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outputs/model_registry.json — perfil activo, champion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y outputs/linaje_datos.csv — trazabilidad reproducible.</w:t>
      </w:r>
    </w:p>
    <w:p>
      <w:pPr>
        <w:pStyle w:val="Heading1"/>
        <w:spacing w:lineRule="auto" w:line="240" w:before="240" w:after="60"/>
        <w:rPr/>
      </w:pPr>
      <w:bookmarkStart w:id="21" w:name="__RefHeading___Toc833_1895474408"/>
      <w:bookmarkEnd w:id="21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22" w:name="__RefHeading___Toc835_1895474408"/>
      <w:bookmarkEnd w:id="22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23" w:name="__RefHeading___Toc837_1895474408"/>
      <w:bookmarkEnd w:id="23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4" w:name="__RefHeading___Toc839_1895474408"/>
      <w:bookmarkEnd w:id="24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5" w:name="__RefHeading___Toc841_1895474408"/>
      <w:bookmarkEnd w:id="25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6" w:name="__RefHeading___Toc843_1895474408"/>
      <w:bookmarkEnd w:id="26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7" w:name="__RefHeading___Toc845_1895474408"/>
      <w:bookmarkEnd w:id="27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2371</Words>
  <Characters>15698</Characters>
  <CharactersWithSpaces>17719</CharactersWithSpaces>
  <Paragraphs>337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2026-10-12T18:33:47Z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2026-10-12T18:33:49Z</dcterms:modified>
  <cp:revision>2</cp:revision>
  <dc:subject/>
  <dc:title>Informe Final Técnico Consolidado - Prototipo independiente CGR 1.8.2</dc:title>
</cp:coreProperties>
</file>