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3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Selección del Algoritmo y Modelo para Identificación de Proveedores Favoritos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2242_1895474408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serving objetivo utiliza Apache Spark MLlib con RandomForestClassificationModel. La evaluación operacional reserva un holdout antes del FIT y selecciona hiperparámetros únicamente sobre desarrollo; el benchmark sklearn permanece como comparación metodológica y soporte SHAP.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Nota metodológica: Las métricas obtenidas con el benchmark sintético verifican coherencia metodológica y funcionamiento reproducible del pipeline; no estiman por sí solas desempeño productivo. Las salidas son señales de priorización para revisión humana y no constituyen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2242_1895474408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44_1895474408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46_1895474408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48_1895474408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50_1895474408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52_1895474408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54_1895474408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56_1895474408">
            <w:r>
              <w:rPr>
                <w:rStyle w:val="IndexLink"/>
              </w:rPr>
              <w:t>3. Productos Alcanzados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58_1895474408">
            <w:r>
              <w:rPr>
                <w:rStyle w:val="IndexLink"/>
              </w:rPr>
              <w:t>3.1 Patrones y unidad analítica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60_1895474408">
            <w:r>
              <w:rPr>
                <w:rStyle w:val="IndexLink"/>
              </w:rPr>
              <w:t>3.2 Comparación metodológica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62_1895474408">
            <w:r>
              <w:rPr>
                <w:rStyle w:val="IndexLink"/>
              </w:rPr>
              <w:t>3.3 Modelo operacional Apache Spark MLlib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64_1895474408">
            <w:r>
              <w:rPr>
                <w:rStyle w:val="IndexLink"/>
              </w:rPr>
              <w:t>3.4 Interpretabilidad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66_1895474408">
            <w:r>
              <w:rPr>
                <w:rStyle w:val="IndexLink"/>
              </w:rPr>
              <w:t>4. Actividades Realizadas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68_1895474408">
            <w:r>
              <w:rPr>
                <w:rStyle w:val="IndexLink"/>
              </w:rPr>
              <w:t>5. Grado de Cumplimiento del Producto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70_1895474408">
            <w:r>
              <w:rPr>
                <w:rStyle w:val="IndexLink"/>
              </w:rPr>
              <w:t>6. Dificultades y Limitaciones Encontradas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72_1895474408">
            <w:r>
              <w:rPr>
                <w:rStyle w:val="IndexLink"/>
              </w:rPr>
              <w:t>7. Conclusiones y Recomendaciones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74_1895474408">
            <w:r>
              <w:rPr>
                <w:rStyle w:val="IndexLink"/>
              </w:rPr>
              <w:t>8. Anexos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76_1895474408">
            <w:r>
              <w:rPr>
                <w:rStyle w:val="IndexLink"/>
              </w:rPr>
              <w:t>ANEXO TÉCNICO — PAGOS, MODALIDADES Y ARQUITECTURA OPERACIONAL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78_1895474408">
            <w:r>
              <w:rPr>
                <w:rStyle w:val="IndexLink"/>
              </w:rPr>
              <w:t>Resultados reproducibles de pagos y modalidades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80_1895474408">
            <w:r>
              <w:rPr>
                <w:rStyle w:val="IndexLink"/>
              </w:rPr>
              <w:t>Distribución de pagos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82_1895474408">
            <w:r>
              <w:rPr>
                <w:rStyle w:val="IndexLink"/>
              </w:rPr>
              <w:t>Modalidades por régimen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84_1895474408">
            <w:r>
              <w:rPr>
                <w:rStyle w:val="IndexLink"/>
              </w:rPr>
              <w:t>Arquitectura operacional Spark-native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86_1895474408">
            <w:r>
              <w:rPr>
                <w:rStyle w:val="IndexLink"/>
              </w:rPr>
              <w:t>Limitación institucional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88_1895474408">
            <w:r>
              <w:rPr>
                <w:rStyle w:val="IndexLink"/>
              </w:rPr>
              <w:t>Referencias Bibliográficas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2244_1895474408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Comparación metodológica sklearn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Modelo Spark MLlib servido</w:t>
      </w:r>
    </w:p>
    <w:p>
      <w:pPr>
        <w:pStyle w:val="Heading1"/>
        <w:spacing w:lineRule="exact" w:line="240" w:before="240" w:after="120"/>
        <w:rPr/>
      </w:pPr>
      <w:bookmarkStart w:id="2" w:name="__RefHeading___Toc2246_1895474408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Concentración de proveedores por entidad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Importancia/explicabilidad de variables</w:t>
      </w:r>
    </w:p>
    <w:p>
      <w:pPr>
        <w:pStyle w:val="Heading1"/>
        <w:spacing w:lineRule="exact" w:line="240" w:before="240" w:after="120"/>
        <w:rPr/>
      </w:pPr>
      <w:bookmarkStart w:id="3" w:name="__RefHeading___Toc2248_1895474408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2250_1895474408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2252_1895474408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Este producto fundamenta la selección del algoritmo y diferencia explícitamente el modelo servido de los benchmarks de compatibilidad.</w:t>
      </w:r>
    </w:p>
    <w:p>
      <w:pPr>
        <w:pStyle w:val="Heading1"/>
        <w:spacing w:lineRule="exact" w:line="240" w:before="240" w:after="120"/>
        <w:rPr/>
      </w:pPr>
      <w:bookmarkStart w:id="6" w:name="__RefHeading___Toc2254_1895474408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7" w:name="__RefHeading___Toc2256_1895474408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2258_1895474408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Patrones y unidad analítica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riesgo se prioriza a nivel proveedor-entidad mediante frecuencia, montos, diversidad de objetos, modalidad, temporalidad y relación con funcionarios disponibles.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Concentración de proveedores por entidad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9" w:name="__RefHeading___Toc2260_1895474408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Comparación metodológica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Comparación metodológica sklearn</w:t>
      </w:r>
    </w:p>
    <w:tbl>
      <w:tblPr>
        <w:tblW w:w="87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200"/>
        <w:gridCol w:w="1300"/>
        <w:gridCol w:w="1299"/>
        <w:gridCol w:w="1300"/>
        <w:gridCol w:w="1301"/>
        <w:gridCol w:w="1299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Modelo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F1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Random Forest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0.991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100.0%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90.9%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0.952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Regresión Logística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0.751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55.3%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95.5%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0.700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Gradient Boosting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0.911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100.0%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90.9%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0.952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AUC-PR se prioriza por el desbalance de la clase positiva. El benchmark sklearn permite comparar familias de modelos y producir SHAP, pero no define el champion activo.</w:t>
      </w:r>
    </w:p>
    <w:p>
      <w:pPr>
        <w:pStyle w:val="Heading2"/>
        <w:spacing w:lineRule="exact" w:line="240" w:before="180" w:after="80"/>
        <w:rPr/>
      </w:pPr>
      <w:bookmarkStart w:id="10" w:name="__RefHeading___Toc2262_1895474408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Modelo operacional Apache Spark MLlib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2. Modelo Spark MLlib servido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999"/>
        <w:gridCol w:w="5800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Elemento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Evidencia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Framework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PySpark / Apache Spark MLlib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Algoritmo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RandomForestClassificationModel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Pipeline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spark_operational_features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monto_capped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5-fold estratificado determinístico solo en desarrollo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591 pares; 8 positivos sintéticos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 holdout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 holdout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Configuración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numTrees=100; maxDepth=3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Random Forest se utiliza porque representa relaciones no lineales, admite ponderación ante desbalance y proporciona Feature Importance directamente ligada al modelo Spark servido.</w:t>
      </w:r>
    </w:p>
    <w:p>
      <w:pPr>
        <w:pStyle w:val="Heading2"/>
        <w:spacing w:lineRule="exact" w:line="240" w:before="180" w:after="80"/>
        <w:rPr/>
      </w:pPr>
      <w:bookmarkStart w:id="11" w:name="__RefHeading___Toc2264_1895474408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3.4 Interpretabilidad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Feature Importance del champion Spark constituye evidencia principal de variables utilizadas. SHAP sobre el benchmark sklearn se conserva como explicación complementaria y no sustituye la evidencia del modelo servido.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2. Importancia de variables del benchmark de favoritismo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1"/>
        <w:spacing w:lineRule="exact" w:line="240" w:before="240" w:after="120"/>
        <w:rPr/>
      </w:pPr>
      <w:bookmarkStart w:id="12" w:name="__RefHeading___Toc2266_1895474408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4. Actividades Realizadas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Comparación de Regresión Logística, Random Forest y Gradient Boosting.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Selección/tuning con AUC-PR en desarrollo.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Implementación RandomForestClassificationModel con Apache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Registro de Feature Importance y evidencia PySpark reproducible.</w:t>
      </w:r>
    </w:p>
    <w:p>
      <w:pPr>
        <w:pStyle w:val="Heading1"/>
        <w:spacing w:lineRule="exact" w:line="240" w:before="240" w:after="120"/>
        <w:rPr/>
      </w:pPr>
      <w:bookmarkStart w:id="13" w:name="__RefHeading___Toc2268_1895474408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5. Grado de Cumplimiento del Producto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selección, implementación MLlib y evaluación del pipeline servido son reproducibles. La aceptación productiva necesita ground truth, umbrales y pruebas institucionales.</w:t>
      </w:r>
    </w:p>
    <w:p>
      <w:pPr>
        <w:pStyle w:val="Heading1"/>
        <w:spacing w:lineRule="exact" w:line="240" w:before="240" w:after="120"/>
        <w:rPr/>
      </w:pPr>
      <w:bookmarkStart w:id="14" w:name="__RefHeading___Toc2270_1895474408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6. Dificultades y Limitaciones Encontradas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El benchmark sintético puede ser más separable que un corpus institucional.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estabilidad por periodo/segmento debe validarse con datos históricos CGR.</w:t>
      </w:r>
    </w:p>
    <w:p>
      <w:pPr>
        <w:pStyle w:val="Heading1"/>
        <w:spacing w:lineRule="exact" w:line="240" w:before="240" w:after="120"/>
        <w:rPr/>
      </w:pPr>
      <w:bookmarkStart w:id="15" w:name="__RefHeading___Toc2272_1895474408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7.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Random Forest Spark es el modelo operacional del PoC para favoritismo; sklearn se mantiene como benchmark/explicabilidad. Las métricas sintéticas no deben extrapolarse como desempeño productivo.</w:t>
      </w:r>
    </w:p>
    <w:p>
      <w:pPr>
        <w:pStyle w:val="Heading1"/>
        <w:spacing w:lineRule="exact" w:line="240" w:before="240" w:after="120"/>
        <w:rPr/>
      </w:pPr>
      <w:bookmarkStart w:id="16" w:name="__RefHeading___Toc2274_1895474408"/>
      <w:bookmarkEnd w:id="16"/>
      <w:r>
        <w:rPr>
          <w:rFonts w:eastAsia="Arial" w:cs="Arial"/>
          <w:b/>
          <w:bCs/>
          <w:color w:val="000000"/>
          <w:sz w:val="22"/>
          <w:szCs w:val="22"/>
        </w:rPr>
        <w:t>8. Anexos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Heading1"/>
        <w:spacing w:lineRule="auto" w:line="240" w:before="240" w:after="60"/>
        <w:rPr/>
      </w:pPr>
      <w:bookmarkStart w:id="17" w:name="__RefHeading___Toc2276_1895474408"/>
      <w:bookmarkEnd w:id="17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8" w:name="__RefHeading___Toc2278_1895474408"/>
      <w:bookmarkEnd w:id="18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9" w:name="__RefHeading___Toc2280_1895474408"/>
      <w:bookmarkEnd w:id="19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3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0" w:name="__RefHeading___Toc2282_1895474408"/>
      <w:bookmarkEnd w:id="20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1" w:name="__RefHeading___Toc2284_1895474408"/>
      <w:bookmarkEnd w:id="21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2" w:name="__RefHeading___Toc2286_1895474408"/>
      <w:bookmarkEnd w:id="22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3" w:name="__RefHeading___Toc2288_1895474408"/>
      <w:bookmarkEnd w:id="23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Selección del Algoritmo y Modelo para Identificación de Proveedores Favoritos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2026-10-12T18:33:46Z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2026-10-12T18:33:51Z</dcterms:modified>
  <cp:revision>2</cp:revision>
  <dc:subject/>
  <dc:title>Selección del Algoritmo y Modelo para Identificación de Proveedores Favoritos - Prototipo independiente CGR 1.8.2</dc:title>
</cp:coreProperties>
</file>